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FCE82A">
      <w:pPr>
        <w:jc w:val="center"/>
        <w:rPr>
          <w:rFonts w:ascii="宋体" w:hAnsi="Calibri" w:eastAsia="宋体" w:cs="Times New Roman"/>
          <w:color w:val="000000"/>
          <w:sz w:val="30"/>
          <w:szCs w:val="30"/>
          <w:highlight w:val="none"/>
        </w:rPr>
      </w:pPr>
      <w:bookmarkStart w:id="0" w:name="OLE_LINK31"/>
      <w:bookmarkStart w:id="1" w:name="OLE_LINK30"/>
    </w:p>
    <w:p w14:paraId="4F2FEA30">
      <w:pPr>
        <w:spacing w:line="276" w:lineRule="auto"/>
        <w:jc w:val="center"/>
        <w:rPr>
          <w:rFonts w:hint="eastAsia" w:ascii="Calibri" w:hAnsi="宋体" w:eastAsia="宋体" w:cs="Times New Roman"/>
          <w:b/>
          <w:bCs/>
          <w:color w:val="000000"/>
          <w:spacing w:val="-8"/>
          <w:sz w:val="44"/>
          <w:szCs w:val="40"/>
          <w:highlight w:val="none"/>
        </w:rPr>
      </w:pPr>
      <w:r>
        <w:rPr>
          <w:rFonts w:hint="eastAsia" w:ascii="Calibri" w:hAnsi="宋体" w:eastAsia="宋体" w:cs="Times New Roman"/>
          <w:b/>
          <w:bCs/>
          <w:color w:val="000000"/>
          <w:spacing w:val="-8"/>
          <w:sz w:val="44"/>
          <w:szCs w:val="40"/>
          <w:highlight w:val="none"/>
        </w:rPr>
        <w:t>中国重汽集团杭州发动机有限公司</w:t>
      </w:r>
    </w:p>
    <w:p w14:paraId="64176D7F">
      <w:pPr>
        <w:spacing w:line="276" w:lineRule="auto"/>
        <w:jc w:val="center"/>
        <w:rPr>
          <w:rFonts w:ascii="Calibri" w:hAnsi="Calibri" w:eastAsia="宋体" w:cs="Times New Roman"/>
          <w:color w:val="000000"/>
          <w:sz w:val="24"/>
          <w:szCs w:val="24"/>
          <w:highlight w:val="none"/>
        </w:rPr>
      </w:pPr>
      <w:r>
        <w:rPr>
          <w:rFonts w:hint="eastAsia" w:ascii="Calibri" w:hAnsi="宋体" w:eastAsia="宋体" w:cs="Times New Roman"/>
          <w:b/>
          <w:bCs/>
          <w:color w:val="000000"/>
          <w:spacing w:val="-8"/>
          <w:sz w:val="44"/>
          <w:szCs w:val="40"/>
          <w:highlight w:val="none"/>
        </w:rPr>
        <w:t>试车台架系统更新改造项目招标公告</w:t>
      </w:r>
    </w:p>
    <w:p w14:paraId="635C9B46">
      <w:pPr>
        <w:pStyle w:val="17"/>
        <w:rPr>
          <w:highlight w:val="none"/>
        </w:rPr>
      </w:pPr>
    </w:p>
    <w:p w14:paraId="7C559F76">
      <w:pPr>
        <w:pStyle w:val="17"/>
        <w:rPr>
          <w:highlight w:val="none"/>
        </w:rPr>
      </w:pPr>
    </w:p>
    <w:p w14:paraId="18753DFD">
      <w:pPr>
        <w:pStyle w:val="17"/>
        <w:rPr>
          <w:highlight w:val="none"/>
        </w:rPr>
      </w:pPr>
    </w:p>
    <w:p w14:paraId="6991E827">
      <w:pPr>
        <w:pStyle w:val="17"/>
        <w:rPr>
          <w:highlight w:val="none"/>
        </w:rPr>
      </w:pPr>
    </w:p>
    <w:p w14:paraId="0F7B40BD">
      <w:pPr>
        <w:pStyle w:val="17"/>
        <w:rPr>
          <w:highlight w:val="none"/>
        </w:rPr>
      </w:pPr>
    </w:p>
    <w:p w14:paraId="64C3C889">
      <w:pPr>
        <w:pStyle w:val="17"/>
        <w:rPr>
          <w:highlight w:val="none"/>
        </w:rPr>
      </w:pPr>
    </w:p>
    <w:p w14:paraId="7ABA2F46">
      <w:pPr>
        <w:jc w:val="right"/>
        <w:rPr>
          <w:rFonts w:ascii="Calibri" w:hAnsi="Calibri" w:eastAsia="宋体" w:cs="Times New Roman"/>
          <w:color w:val="000000"/>
          <w:sz w:val="28"/>
          <w:szCs w:val="28"/>
          <w:highlight w:val="none"/>
        </w:rPr>
      </w:pPr>
    </w:p>
    <w:p w14:paraId="445E5030">
      <w:pPr>
        <w:jc w:val="center"/>
        <w:rPr>
          <w:rFonts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招</w:t>
      </w:r>
    </w:p>
    <w:p w14:paraId="244F6C5E">
      <w:pPr>
        <w:jc w:val="center"/>
        <w:rPr>
          <w:rFonts w:ascii="黑体" w:hAnsi="宋体" w:eastAsia="黑体" w:cs="Times New Roman"/>
          <w:color w:val="000000"/>
          <w:sz w:val="72"/>
          <w:szCs w:val="72"/>
          <w:highlight w:val="none"/>
        </w:rPr>
      </w:pPr>
    </w:p>
    <w:p w14:paraId="77E38775">
      <w:pPr>
        <w:jc w:val="center"/>
        <w:rPr>
          <w:rFonts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标</w:t>
      </w:r>
    </w:p>
    <w:p w14:paraId="68FFF6CC">
      <w:pPr>
        <w:jc w:val="center"/>
        <w:rPr>
          <w:rFonts w:ascii="黑体" w:hAnsi="宋体" w:eastAsia="黑体" w:cs="Times New Roman"/>
          <w:color w:val="000000"/>
          <w:sz w:val="72"/>
          <w:szCs w:val="72"/>
          <w:highlight w:val="none"/>
        </w:rPr>
      </w:pPr>
    </w:p>
    <w:p w14:paraId="27F7BF2C">
      <w:pPr>
        <w:jc w:val="center"/>
        <w:rPr>
          <w:rFonts w:ascii="宋体" w:hAnsi="Calibri" w:eastAsia="宋体" w:cs="Times New Roman"/>
          <w:color w:val="000000"/>
          <w:sz w:val="28"/>
          <w:szCs w:val="28"/>
          <w:highlight w:val="none"/>
        </w:rPr>
      </w:pPr>
      <w:r>
        <w:rPr>
          <w:rFonts w:hint="eastAsia" w:ascii="黑体" w:hAnsi="宋体" w:eastAsia="黑体" w:cs="Times New Roman"/>
          <w:color w:val="000000"/>
          <w:sz w:val="72"/>
          <w:szCs w:val="72"/>
          <w:highlight w:val="none"/>
        </w:rPr>
        <w:t>书</w:t>
      </w:r>
    </w:p>
    <w:p w14:paraId="42599304">
      <w:pPr>
        <w:spacing w:line="860" w:lineRule="exact"/>
        <w:rPr>
          <w:rFonts w:ascii="华文仿宋" w:hAnsi="华文仿宋" w:eastAsia="华文仿宋"/>
          <w:b/>
          <w:bCs/>
          <w:sz w:val="32"/>
          <w:szCs w:val="28"/>
          <w:highlight w:val="none"/>
        </w:rPr>
      </w:pPr>
      <w:r>
        <w:rPr>
          <w:rFonts w:hint="eastAsia" w:ascii="华文仿宋" w:hAnsi="华文仿宋" w:eastAsia="华文仿宋"/>
          <w:sz w:val="32"/>
          <w:szCs w:val="28"/>
          <w:highlight w:val="none"/>
        </w:rPr>
        <w:t xml:space="preserve">                </w:t>
      </w:r>
      <w:r>
        <w:rPr>
          <w:rFonts w:hint="eastAsia" w:ascii="华文仿宋" w:hAnsi="华文仿宋" w:eastAsia="华文仿宋"/>
          <w:b/>
          <w:bCs/>
          <w:sz w:val="32"/>
          <w:szCs w:val="28"/>
          <w:highlight w:val="none"/>
        </w:rPr>
        <w:t xml:space="preserve"> </w:t>
      </w:r>
    </w:p>
    <w:p w14:paraId="00A33A59">
      <w:pPr>
        <w:spacing w:line="860" w:lineRule="exact"/>
        <w:rPr>
          <w:rFonts w:ascii="华文仿宋" w:hAnsi="华文仿宋" w:eastAsia="华文仿宋"/>
          <w:b/>
          <w:bCs/>
          <w:sz w:val="32"/>
          <w:szCs w:val="28"/>
          <w:highlight w:val="none"/>
        </w:rPr>
      </w:pPr>
      <w:r>
        <w:rPr>
          <w:rFonts w:hint="eastAsia" w:ascii="华文仿宋" w:hAnsi="华文仿宋" w:eastAsia="华文仿宋"/>
          <w:b/>
          <w:bCs/>
          <w:sz w:val="32"/>
          <w:szCs w:val="28"/>
          <w:highlight w:val="none"/>
        </w:rPr>
        <w:t xml:space="preserve">                      </w:t>
      </w:r>
    </w:p>
    <w:p w14:paraId="16701AEB">
      <w:pPr>
        <w:spacing w:line="860" w:lineRule="exact"/>
        <w:rPr>
          <w:rFonts w:ascii="华文仿宋" w:hAnsi="华文仿宋" w:eastAsia="华文仿宋"/>
          <w:b/>
          <w:bCs/>
          <w:sz w:val="32"/>
          <w:szCs w:val="28"/>
          <w:highlight w:val="none"/>
        </w:rPr>
      </w:pPr>
      <w:r>
        <w:rPr>
          <w:rFonts w:hint="eastAsia" w:ascii="华文仿宋" w:hAnsi="华文仿宋" w:eastAsia="华文仿宋"/>
          <w:b/>
          <w:bCs/>
          <w:sz w:val="32"/>
          <w:szCs w:val="28"/>
          <w:highlight w:val="none"/>
        </w:rPr>
        <w:t xml:space="preserve">                   </w:t>
      </w:r>
    </w:p>
    <w:p w14:paraId="2C5EDF6C">
      <w:pPr>
        <w:pStyle w:val="17"/>
        <w:rPr>
          <w:b/>
          <w:bCs/>
          <w:highlight w:val="none"/>
        </w:rPr>
      </w:pPr>
    </w:p>
    <w:p w14:paraId="68899AB0">
      <w:pPr>
        <w:jc w:val="center"/>
        <w:rPr>
          <w:rFonts w:hint="eastAsia" w:ascii="宋体" w:hAnsi="Calibri" w:eastAsia="宋体" w:cs="Times New Roman"/>
          <w:color w:val="000000"/>
          <w:sz w:val="28"/>
          <w:szCs w:val="28"/>
          <w:highlight w:val="none"/>
          <w:lang w:eastAsia="zh-CN"/>
        </w:rPr>
      </w:pPr>
      <w:r>
        <w:rPr>
          <w:rFonts w:hint="eastAsia" w:ascii="宋体" w:hAnsi="宋体" w:eastAsia="宋体" w:cs="Times New Roman"/>
          <w:color w:val="000000"/>
          <w:sz w:val="28"/>
          <w:szCs w:val="28"/>
          <w:highlight w:val="none"/>
        </w:rPr>
        <w:t>招</w:t>
      </w:r>
      <w:r>
        <w:rPr>
          <w:rFonts w:ascii="宋体" w:hAnsi="宋体" w:eastAsia="宋体" w:cs="Times New Roman"/>
          <w:color w:val="000000"/>
          <w:sz w:val="28"/>
          <w:szCs w:val="28"/>
          <w:highlight w:val="none"/>
        </w:rPr>
        <w:t xml:space="preserve"> </w:t>
      </w:r>
      <w:r>
        <w:rPr>
          <w:rFonts w:hint="eastAsia" w:ascii="宋体" w:hAnsi="宋体" w:eastAsia="宋体" w:cs="Times New Roman"/>
          <w:color w:val="000000"/>
          <w:sz w:val="28"/>
          <w:szCs w:val="28"/>
          <w:highlight w:val="none"/>
        </w:rPr>
        <w:t>标</w:t>
      </w:r>
      <w:r>
        <w:rPr>
          <w:rFonts w:ascii="宋体" w:hAnsi="宋体" w:eastAsia="宋体" w:cs="Times New Roman"/>
          <w:color w:val="000000"/>
          <w:sz w:val="28"/>
          <w:szCs w:val="28"/>
          <w:highlight w:val="none"/>
        </w:rPr>
        <w:t xml:space="preserve"> </w:t>
      </w:r>
      <w:r>
        <w:rPr>
          <w:rFonts w:hint="eastAsia" w:ascii="宋体" w:hAnsi="宋体" w:eastAsia="宋体" w:cs="Times New Roman"/>
          <w:color w:val="000000"/>
          <w:sz w:val="28"/>
          <w:szCs w:val="28"/>
          <w:highlight w:val="none"/>
        </w:rPr>
        <w:t>人：</w:t>
      </w:r>
      <w:r>
        <w:rPr>
          <w:rFonts w:hint="eastAsia" w:ascii="宋体" w:hAnsi="宋体" w:eastAsia="宋体" w:cs="Times New Roman"/>
          <w:color w:val="000000"/>
          <w:sz w:val="28"/>
          <w:szCs w:val="28"/>
          <w:highlight w:val="none"/>
          <w:lang w:eastAsia="zh-CN"/>
        </w:rPr>
        <w:t>中国重汽集团杭州发动机有限公司</w:t>
      </w:r>
    </w:p>
    <w:p w14:paraId="4E122F5B">
      <w:pPr>
        <w:jc w:val="center"/>
        <w:rPr>
          <w:rFonts w:ascii="宋体" w:hAnsi="Calibri" w:eastAsia="宋体" w:cs="Times New Roman"/>
          <w:color w:val="000000"/>
          <w:sz w:val="28"/>
          <w:szCs w:val="28"/>
          <w:highlight w:val="none"/>
        </w:rPr>
      </w:pPr>
      <w:r>
        <w:rPr>
          <w:rFonts w:hint="eastAsia" w:ascii="Calibri" w:hAnsi="Calibri" w:eastAsia="宋体" w:cs="Times New Roman"/>
          <w:color w:val="000000"/>
          <w:sz w:val="28"/>
          <w:szCs w:val="28"/>
          <w:highlight w:val="none"/>
        </w:rPr>
        <w:t>2025年</w:t>
      </w:r>
      <w:r>
        <w:rPr>
          <w:rFonts w:hint="eastAsia" w:ascii="Calibri" w:hAnsi="Calibri" w:eastAsia="宋体" w:cs="Times New Roman"/>
          <w:color w:val="000000"/>
          <w:sz w:val="28"/>
          <w:szCs w:val="28"/>
          <w:highlight w:val="none"/>
          <w:lang w:val="en-US" w:eastAsia="zh-CN"/>
        </w:rPr>
        <w:t>12</w:t>
      </w:r>
      <w:r>
        <w:rPr>
          <w:rFonts w:hint="eastAsia" w:ascii="Calibri" w:hAnsi="Calibri" w:eastAsia="宋体" w:cs="Times New Roman"/>
          <w:color w:val="000000"/>
          <w:sz w:val="28"/>
          <w:szCs w:val="28"/>
          <w:highlight w:val="none"/>
        </w:rPr>
        <w:t>月</w:t>
      </w:r>
    </w:p>
    <w:p w14:paraId="6900FBDC">
      <w:pPr>
        <w:keepNext/>
        <w:keepLines/>
        <w:jc w:val="center"/>
        <w:rPr>
          <w:rFonts w:ascii="Calibri" w:hAnsi="Calibri" w:eastAsia="宋体" w:cs="Times New Roman"/>
          <w:b/>
          <w:bCs/>
          <w:kern w:val="44"/>
          <w:sz w:val="36"/>
          <w:szCs w:val="44"/>
          <w:highlight w:val="none"/>
        </w:rPr>
        <w:sectPr>
          <w:footerReference r:id="rId4" w:type="first"/>
          <w:footerReference r:id="rId3" w:type="default"/>
          <w:pgSz w:w="11906" w:h="16838"/>
          <w:pgMar w:top="1588" w:right="1418" w:bottom="1134" w:left="1418" w:header="851" w:footer="992" w:gutter="0"/>
          <w:pgNumType w:fmt="decimal" w:start="1"/>
          <w:cols w:space="720" w:num="1"/>
          <w:titlePg/>
          <w:docGrid w:type="lines" w:linePitch="312" w:charSpace="0"/>
        </w:sectPr>
      </w:pPr>
    </w:p>
    <w:sdt>
      <w:sdtPr>
        <w:rPr>
          <w:rFonts w:ascii="宋体" w:hAnsi="宋体" w:eastAsia="宋体" w:cs="宋体"/>
          <w:b/>
          <w:bCs/>
          <w:sz w:val="48"/>
          <w:szCs w:val="48"/>
          <w:highlight w:val="none"/>
        </w:rPr>
        <w:id w:val="147459055"/>
        <w15:color w:val="DBDBDB"/>
        <w:docPartObj>
          <w:docPartGallery w:val="Table of Contents"/>
          <w:docPartUnique/>
        </w:docPartObj>
      </w:sdtPr>
      <w:sdtEndPr>
        <w:rPr>
          <w:rFonts w:hint="eastAsia" w:ascii="Calibri" w:hAnsi="Calibri" w:eastAsia="宋体" w:cs="Times New Roman"/>
          <w:b/>
          <w:bCs/>
          <w:kern w:val="44"/>
          <w:sz w:val="21"/>
          <w:szCs w:val="44"/>
          <w:highlight w:val="none"/>
        </w:rPr>
      </w:sdtEndPr>
      <w:sdtContent>
        <w:p w14:paraId="37B4CFD2">
          <w:pPr>
            <w:spacing w:line="480" w:lineRule="auto"/>
            <w:jc w:val="center"/>
            <w:rPr>
              <w:rFonts w:cs="宋体"/>
              <w:b/>
              <w:bCs/>
              <w:sz w:val="48"/>
              <w:szCs w:val="48"/>
              <w:highlight w:val="none"/>
            </w:rPr>
          </w:pPr>
          <w:r>
            <w:rPr>
              <w:rFonts w:ascii="宋体" w:hAnsi="宋体" w:eastAsia="宋体" w:cs="宋体"/>
              <w:b/>
              <w:bCs/>
              <w:sz w:val="48"/>
              <w:szCs w:val="48"/>
              <w:highlight w:val="none"/>
            </w:rPr>
            <w:t>目录</w:t>
          </w:r>
        </w:p>
        <w:p w14:paraId="21ED944C">
          <w:pPr>
            <w:pStyle w:val="24"/>
            <w:tabs>
              <w:tab w:val="right" w:leader="dot" w:pos="9071"/>
            </w:tabs>
            <w:spacing w:line="480" w:lineRule="auto"/>
            <w:rPr>
              <w:color w:val="auto"/>
              <w:sz w:val="32"/>
              <w:szCs w:val="32"/>
              <w:highlight w:val="none"/>
            </w:rPr>
          </w:pPr>
          <w:r>
            <w:rPr>
              <w:rFonts w:hint="eastAsia" w:ascii="Calibri" w:hAnsi="Calibri"/>
              <w:bCs/>
              <w:kern w:val="44"/>
              <w:sz w:val="36"/>
              <w:szCs w:val="44"/>
              <w:highlight w:val="none"/>
            </w:rPr>
            <w:fldChar w:fldCharType="begin"/>
          </w:r>
          <w:r>
            <w:rPr>
              <w:rFonts w:hint="eastAsia" w:ascii="Calibri" w:hAnsi="Calibri"/>
              <w:bCs/>
              <w:kern w:val="44"/>
              <w:sz w:val="36"/>
              <w:szCs w:val="44"/>
              <w:highlight w:val="none"/>
            </w:rPr>
            <w:instrText xml:space="preserve">TOC \o "1-1" \h \u </w:instrText>
          </w:r>
          <w:r>
            <w:rPr>
              <w:rFonts w:hint="eastAsia" w:ascii="Calibri" w:hAnsi="Calibri"/>
              <w:bCs/>
              <w:kern w:val="44"/>
              <w:sz w:val="36"/>
              <w:szCs w:val="44"/>
              <w:highlight w:val="none"/>
            </w:rPr>
            <w:fldChar w:fldCharType="separate"/>
          </w:r>
          <w:r>
            <w:rPr>
              <w:highlight w:val="none"/>
            </w:rPr>
            <w:fldChar w:fldCharType="begin"/>
          </w:r>
          <w:r>
            <w:rPr>
              <w:highlight w:val="none"/>
            </w:rPr>
            <w:instrText xml:space="preserve"> HYPERLINK \l "_Toc25915" </w:instrText>
          </w:r>
          <w:r>
            <w:rPr>
              <w:highlight w:val="none"/>
            </w:rPr>
            <w:fldChar w:fldCharType="separate"/>
          </w:r>
          <w:r>
            <w:rPr>
              <w:rFonts w:hint="eastAsia" w:ascii="Calibri" w:hAnsi="Calibri"/>
              <w:bCs/>
              <w:color w:val="auto"/>
              <w:kern w:val="44"/>
              <w:sz w:val="32"/>
              <w:szCs w:val="32"/>
              <w:highlight w:val="none"/>
            </w:rPr>
            <w:t>第一部分 投标人须知前附表</w:t>
          </w:r>
          <w:r>
            <w:rPr>
              <w:color w:val="auto"/>
              <w:sz w:val="32"/>
              <w:szCs w:val="32"/>
              <w:highlight w:val="none"/>
            </w:rPr>
            <w:tab/>
          </w:r>
          <w:r>
            <w:rPr>
              <w:color w:val="auto"/>
              <w:sz w:val="32"/>
              <w:szCs w:val="32"/>
              <w:highlight w:val="none"/>
            </w:rPr>
            <w:fldChar w:fldCharType="end"/>
          </w:r>
          <w:r>
            <w:rPr>
              <w:rFonts w:hint="eastAsia"/>
              <w:color w:val="auto"/>
              <w:sz w:val="32"/>
              <w:szCs w:val="32"/>
              <w:highlight w:val="none"/>
            </w:rPr>
            <w:t>3</w:t>
          </w:r>
        </w:p>
        <w:p w14:paraId="02E96B2C">
          <w:pPr>
            <w:pStyle w:val="24"/>
            <w:tabs>
              <w:tab w:val="right" w:leader="dot" w:pos="9071"/>
            </w:tabs>
            <w:spacing w:line="480" w:lineRule="auto"/>
            <w:rPr>
              <w:color w:val="auto"/>
              <w:sz w:val="32"/>
              <w:szCs w:val="32"/>
              <w:highlight w:val="none"/>
            </w:rPr>
          </w:pPr>
          <w:r>
            <w:rPr>
              <w:highlight w:val="none"/>
            </w:rPr>
            <w:fldChar w:fldCharType="begin"/>
          </w:r>
          <w:r>
            <w:rPr>
              <w:highlight w:val="none"/>
            </w:rPr>
            <w:instrText xml:space="preserve"> HYPERLINK \l "_Toc15609" </w:instrText>
          </w:r>
          <w:r>
            <w:rPr>
              <w:highlight w:val="none"/>
            </w:rPr>
            <w:fldChar w:fldCharType="separate"/>
          </w:r>
          <w:r>
            <w:rPr>
              <w:rFonts w:hint="eastAsia" w:ascii="Calibri" w:hAnsi="Calibri"/>
              <w:bCs/>
              <w:color w:val="auto"/>
              <w:kern w:val="44"/>
              <w:sz w:val="32"/>
              <w:szCs w:val="32"/>
              <w:highlight w:val="none"/>
            </w:rPr>
            <w:t>第二部分 投标人须知</w:t>
          </w:r>
          <w:r>
            <w:rPr>
              <w:color w:val="auto"/>
              <w:sz w:val="32"/>
              <w:szCs w:val="32"/>
              <w:highlight w:val="none"/>
            </w:rPr>
            <w:tab/>
          </w:r>
          <w:r>
            <w:rPr>
              <w:color w:val="auto"/>
              <w:sz w:val="32"/>
              <w:szCs w:val="32"/>
              <w:highlight w:val="none"/>
            </w:rPr>
            <w:fldChar w:fldCharType="end"/>
          </w:r>
          <w:r>
            <w:rPr>
              <w:rFonts w:hint="eastAsia"/>
              <w:color w:val="auto"/>
              <w:sz w:val="32"/>
              <w:szCs w:val="32"/>
              <w:highlight w:val="none"/>
            </w:rPr>
            <w:t>7</w:t>
          </w:r>
        </w:p>
        <w:p w14:paraId="612F77D8">
          <w:pPr>
            <w:pStyle w:val="24"/>
            <w:tabs>
              <w:tab w:val="right" w:leader="dot" w:pos="9071"/>
            </w:tabs>
            <w:spacing w:line="480" w:lineRule="auto"/>
            <w:rPr>
              <w:color w:val="auto"/>
              <w:sz w:val="32"/>
              <w:szCs w:val="32"/>
              <w:highlight w:val="none"/>
            </w:rPr>
          </w:pPr>
          <w:r>
            <w:rPr>
              <w:highlight w:val="none"/>
            </w:rPr>
            <w:fldChar w:fldCharType="begin"/>
          </w:r>
          <w:r>
            <w:rPr>
              <w:highlight w:val="none"/>
            </w:rPr>
            <w:instrText xml:space="preserve"> HYPERLINK \l "_Toc22879" </w:instrText>
          </w:r>
          <w:r>
            <w:rPr>
              <w:highlight w:val="none"/>
            </w:rPr>
            <w:fldChar w:fldCharType="separate"/>
          </w:r>
          <w:r>
            <w:rPr>
              <w:rFonts w:hint="eastAsia" w:ascii="Calibri" w:hAnsi="Calibri"/>
              <w:bCs/>
              <w:color w:val="auto"/>
              <w:kern w:val="44"/>
              <w:sz w:val="32"/>
              <w:szCs w:val="32"/>
              <w:highlight w:val="none"/>
            </w:rPr>
            <w:t>第三部分 投标文件编制</w:t>
          </w:r>
          <w:r>
            <w:rPr>
              <w:color w:val="auto"/>
              <w:sz w:val="32"/>
              <w:szCs w:val="32"/>
              <w:highlight w:val="none"/>
            </w:rPr>
            <w:tab/>
          </w:r>
          <w:r>
            <w:rPr>
              <w:color w:val="auto"/>
              <w:sz w:val="32"/>
              <w:szCs w:val="32"/>
              <w:highlight w:val="none"/>
            </w:rPr>
            <w:fldChar w:fldCharType="end"/>
          </w:r>
          <w:r>
            <w:rPr>
              <w:rFonts w:hint="eastAsia"/>
              <w:color w:val="auto"/>
              <w:sz w:val="32"/>
              <w:szCs w:val="32"/>
              <w:highlight w:val="none"/>
            </w:rPr>
            <w:t>13</w:t>
          </w:r>
        </w:p>
        <w:p w14:paraId="6FB416F8">
          <w:pPr>
            <w:pStyle w:val="24"/>
            <w:tabs>
              <w:tab w:val="right" w:leader="dot" w:pos="9071"/>
            </w:tabs>
            <w:spacing w:line="480" w:lineRule="auto"/>
            <w:rPr>
              <w:color w:val="auto"/>
              <w:sz w:val="32"/>
              <w:szCs w:val="32"/>
              <w:highlight w:val="none"/>
            </w:rPr>
          </w:pPr>
          <w:r>
            <w:rPr>
              <w:highlight w:val="none"/>
            </w:rPr>
            <w:fldChar w:fldCharType="begin"/>
          </w:r>
          <w:r>
            <w:rPr>
              <w:highlight w:val="none"/>
            </w:rPr>
            <w:instrText xml:space="preserve"> HYPERLINK \l "_Toc9849" </w:instrText>
          </w:r>
          <w:r>
            <w:rPr>
              <w:highlight w:val="none"/>
            </w:rPr>
            <w:fldChar w:fldCharType="separate"/>
          </w:r>
          <w:r>
            <w:rPr>
              <w:rFonts w:hint="eastAsia" w:ascii="Calibri" w:hAnsi="Calibri"/>
              <w:bCs/>
              <w:color w:val="auto"/>
              <w:kern w:val="44"/>
              <w:sz w:val="32"/>
              <w:szCs w:val="32"/>
              <w:highlight w:val="none"/>
            </w:rPr>
            <w:t>第四部分 技术标书</w:t>
          </w:r>
          <w:r>
            <w:rPr>
              <w:rFonts w:hint="eastAsia" w:ascii="Calibri"/>
              <w:bCs/>
              <w:color w:val="auto"/>
              <w:spacing w:val="-8"/>
              <w:sz w:val="32"/>
              <w:szCs w:val="32"/>
              <w:highlight w:val="none"/>
            </w:rPr>
            <w:t xml:space="preserve"> </w:t>
          </w:r>
          <w:r>
            <w:rPr>
              <w:color w:val="auto"/>
              <w:sz w:val="32"/>
              <w:szCs w:val="32"/>
              <w:highlight w:val="none"/>
            </w:rPr>
            <w:tab/>
          </w:r>
          <w:r>
            <w:rPr>
              <w:color w:val="auto"/>
              <w:sz w:val="32"/>
              <w:szCs w:val="32"/>
              <w:highlight w:val="none"/>
            </w:rPr>
            <w:fldChar w:fldCharType="end"/>
          </w:r>
          <w:r>
            <w:rPr>
              <w:rFonts w:hint="eastAsia"/>
              <w:color w:val="auto"/>
              <w:sz w:val="32"/>
              <w:szCs w:val="32"/>
              <w:highlight w:val="none"/>
            </w:rPr>
            <w:t>16</w:t>
          </w:r>
        </w:p>
        <w:p w14:paraId="240DCBC8">
          <w:pPr>
            <w:pStyle w:val="24"/>
            <w:tabs>
              <w:tab w:val="right" w:leader="dot" w:pos="9071"/>
            </w:tabs>
            <w:spacing w:line="480" w:lineRule="auto"/>
            <w:rPr>
              <w:rFonts w:hint="default" w:eastAsia="宋体"/>
              <w:color w:val="auto"/>
              <w:sz w:val="32"/>
              <w:szCs w:val="32"/>
              <w:highlight w:val="none"/>
              <w:lang w:val="en-US" w:eastAsia="zh-CN"/>
            </w:rPr>
          </w:pPr>
          <w:r>
            <w:rPr>
              <w:highlight w:val="none"/>
            </w:rPr>
            <w:fldChar w:fldCharType="begin"/>
          </w:r>
          <w:r>
            <w:rPr>
              <w:highlight w:val="none"/>
            </w:rPr>
            <w:instrText xml:space="preserve"> HYPERLINK \l "_Toc28859" </w:instrText>
          </w:r>
          <w:r>
            <w:rPr>
              <w:highlight w:val="none"/>
            </w:rPr>
            <w:fldChar w:fldCharType="separate"/>
          </w:r>
          <w:r>
            <w:rPr>
              <w:rFonts w:hint="eastAsia"/>
              <w:color w:val="auto"/>
              <w:sz w:val="32"/>
              <w:szCs w:val="32"/>
              <w:highlight w:val="none"/>
            </w:rPr>
            <w:t>第五部分</w:t>
          </w:r>
          <w:r>
            <w:rPr>
              <w:color w:val="auto"/>
              <w:sz w:val="32"/>
              <w:szCs w:val="32"/>
              <w:highlight w:val="none"/>
            </w:rPr>
            <w:t xml:space="preserve"> </w:t>
          </w:r>
          <w:r>
            <w:rPr>
              <w:rFonts w:hint="eastAsia"/>
              <w:color w:val="auto"/>
              <w:sz w:val="32"/>
              <w:szCs w:val="32"/>
              <w:highlight w:val="none"/>
            </w:rPr>
            <w:t>设备采购合同</w:t>
          </w:r>
          <w:r>
            <w:rPr>
              <w:color w:val="auto"/>
              <w:sz w:val="32"/>
              <w:szCs w:val="32"/>
              <w:highlight w:val="none"/>
            </w:rPr>
            <w:tab/>
          </w:r>
          <w:r>
            <w:rPr>
              <w:color w:val="auto"/>
              <w:sz w:val="32"/>
              <w:szCs w:val="32"/>
              <w:highlight w:val="none"/>
            </w:rPr>
            <w:fldChar w:fldCharType="end"/>
          </w:r>
          <w:r>
            <w:rPr>
              <w:rFonts w:hint="eastAsia"/>
              <w:color w:val="auto"/>
              <w:sz w:val="32"/>
              <w:szCs w:val="32"/>
              <w:highlight w:val="none"/>
              <w:lang w:val="en-US" w:eastAsia="zh-CN"/>
            </w:rPr>
            <w:t>41</w:t>
          </w:r>
        </w:p>
        <w:p w14:paraId="7A86F176">
          <w:pPr>
            <w:pStyle w:val="24"/>
            <w:tabs>
              <w:tab w:val="right" w:leader="dot" w:pos="9071"/>
            </w:tabs>
            <w:spacing w:line="480" w:lineRule="auto"/>
            <w:rPr>
              <w:rFonts w:hint="default" w:eastAsia="宋体"/>
              <w:highlight w:val="none"/>
              <w:lang w:val="en-US" w:eastAsia="zh-CN"/>
            </w:rPr>
          </w:pPr>
          <w:r>
            <w:rPr>
              <w:highlight w:val="none"/>
            </w:rPr>
            <w:fldChar w:fldCharType="begin"/>
          </w:r>
          <w:r>
            <w:rPr>
              <w:highlight w:val="none"/>
            </w:rPr>
            <w:instrText xml:space="preserve"> HYPERLINK \l "_Toc29691" </w:instrText>
          </w:r>
          <w:r>
            <w:rPr>
              <w:highlight w:val="none"/>
            </w:rPr>
            <w:fldChar w:fldCharType="separate"/>
          </w:r>
          <w:r>
            <w:rPr>
              <w:rFonts w:hint="eastAsia" w:ascii="Calibri" w:hAnsi="Calibri"/>
              <w:bCs/>
              <w:color w:val="auto"/>
              <w:kern w:val="44"/>
              <w:sz w:val="32"/>
              <w:szCs w:val="32"/>
              <w:highlight w:val="none"/>
            </w:rPr>
            <w:t>第六部分</w:t>
          </w:r>
          <w:r>
            <w:rPr>
              <w:rFonts w:ascii="Calibri" w:hAnsi="Calibri"/>
              <w:bCs/>
              <w:color w:val="auto"/>
              <w:kern w:val="44"/>
              <w:sz w:val="32"/>
              <w:szCs w:val="32"/>
              <w:highlight w:val="none"/>
            </w:rPr>
            <w:t xml:space="preserve"> </w:t>
          </w:r>
          <w:r>
            <w:rPr>
              <w:rFonts w:hint="eastAsia" w:ascii="Calibri" w:hAnsi="Calibri"/>
              <w:bCs/>
              <w:color w:val="auto"/>
              <w:kern w:val="44"/>
              <w:sz w:val="32"/>
              <w:szCs w:val="32"/>
              <w:highlight w:val="none"/>
            </w:rPr>
            <w:t>投标文件附件</w:t>
          </w:r>
          <w:r>
            <w:rPr>
              <w:color w:val="auto"/>
              <w:sz w:val="32"/>
              <w:szCs w:val="32"/>
              <w:highlight w:val="none"/>
            </w:rPr>
            <w:tab/>
          </w:r>
          <w:r>
            <w:rPr>
              <w:color w:val="auto"/>
              <w:sz w:val="32"/>
              <w:szCs w:val="32"/>
              <w:highlight w:val="none"/>
            </w:rPr>
            <w:fldChar w:fldCharType="end"/>
          </w:r>
          <w:r>
            <w:rPr>
              <w:rFonts w:hint="eastAsia"/>
              <w:color w:val="auto"/>
              <w:sz w:val="32"/>
              <w:szCs w:val="32"/>
              <w:highlight w:val="none"/>
              <w:lang w:val="en-US" w:eastAsia="zh-CN"/>
            </w:rPr>
            <w:t>63</w:t>
          </w:r>
        </w:p>
        <w:p w14:paraId="71ADC783">
          <w:pPr>
            <w:pStyle w:val="17"/>
            <w:spacing w:line="480" w:lineRule="auto"/>
            <w:jc w:val="center"/>
            <w:rPr>
              <w:rFonts w:ascii="Calibri" w:hAnsi="Calibri" w:eastAsia="宋体" w:cs="Times New Roman"/>
              <w:b/>
              <w:bCs/>
              <w:kern w:val="44"/>
              <w:sz w:val="36"/>
              <w:szCs w:val="44"/>
              <w:highlight w:val="none"/>
            </w:rPr>
            <w:sectPr>
              <w:headerReference r:id="rId5" w:type="default"/>
              <w:footerReference r:id="rId6" w:type="default"/>
              <w:pgSz w:w="11907" w:h="16840"/>
              <w:pgMar w:top="1304" w:right="1418" w:bottom="1304" w:left="1418" w:header="724" w:footer="851" w:gutter="0"/>
              <w:pgNumType w:fmt="decimal"/>
              <w:cols w:space="720" w:num="1"/>
              <w:docGrid w:linePitch="290" w:charSpace="-3931"/>
            </w:sectPr>
          </w:pPr>
          <w:r>
            <w:rPr>
              <w:rFonts w:hint="eastAsia" w:ascii="Calibri" w:hAnsi="Calibri" w:eastAsia="宋体" w:cs="Times New Roman"/>
              <w:bCs/>
              <w:kern w:val="44"/>
              <w:szCs w:val="44"/>
              <w:highlight w:val="none"/>
            </w:rPr>
            <w:fldChar w:fldCharType="end"/>
          </w:r>
        </w:p>
      </w:sdtContent>
    </w:sdt>
    <w:p w14:paraId="41885D2B">
      <w:pPr>
        <w:pStyle w:val="17"/>
        <w:numPr>
          <w:ilvl w:val="0"/>
          <w:numId w:val="1"/>
        </w:numPr>
        <w:jc w:val="center"/>
        <w:outlineLvl w:val="0"/>
        <w:rPr>
          <w:rFonts w:ascii="Calibri" w:hAnsi="Calibri" w:eastAsia="宋体" w:cs="Times New Roman"/>
          <w:b/>
          <w:bCs/>
          <w:kern w:val="44"/>
          <w:sz w:val="36"/>
          <w:szCs w:val="44"/>
          <w:highlight w:val="none"/>
        </w:rPr>
      </w:pPr>
      <w:bookmarkStart w:id="2" w:name="_Toc25915"/>
      <w:r>
        <w:rPr>
          <w:rFonts w:hint="eastAsia" w:ascii="Calibri" w:hAnsi="Calibri" w:eastAsia="宋体" w:cs="Times New Roman"/>
          <w:b/>
          <w:bCs/>
          <w:kern w:val="44"/>
          <w:sz w:val="36"/>
          <w:szCs w:val="44"/>
          <w:highlight w:val="none"/>
        </w:rPr>
        <w:t xml:space="preserve"> 投标须知前附表</w:t>
      </w:r>
      <w:bookmarkEnd w:id="2"/>
    </w:p>
    <w:p w14:paraId="64EEC771">
      <w:pPr>
        <w:pStyle w:val="17"/>
        <w:jc w:val="center"/>
        <w:rPr>
          <w:rFonts w:ascii="Calibri" w:hAnsi="Calibri" w:eastAsia="宋体" w:cs="Times New Roman"/>
          <w:b/>
          <w:bCs/>
          <w:kern w:val="44"/>
          <w:sz w:val="36"/>
          <w:szCs w:val="44"/>
          <w:highlight w:val="none"/>
        </w:rPr>
      </w:pPr>
    </w:p>
    <w:p w14:paraId="0591B2CA">
      <w:pPr>
        <w:spacing w:line="360" w:lineRule="auto"/>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本部分是对“投标须知”正文的具体补充和修改，如有不一致，以“前附表”为准。</w:t>
      </w:r>
    </w:p>
    <w:tbl>
      <w:tblPr>
        <w:tblStyle w:val="36"/>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4C0E04B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63ED61D6">
            <w:pPr>
              <w:jc w:val="center"/>
              <w:rPr>
                <w:rStyle w:val="134"/>
                <w:rFonts w:ascii="宋体" w:hAnsi="宋体" w:eastAsia="宋体" w:cs="宋体"/>
                <w:b/>
                <w:sz w:val="28"/>
                <w:szCs w:val="28"/>
                <w:highlight w:val="none"/>
              </w:rPr>
            </w:pPr>
            <w:bookmarkStart w:id="3" w:name="_Toc346372875"/>
            <w:r>
              <w:rPr>
                <w:rStyle w:val="134"/>
                <w:rFonts w:hint="eastAsia" w:ascii="宋体" w:hAnsi="宋体" w:eastAsia="宋体" w:cs="宋体"/>
                <w:b/>
                <w:sz w:val="28"/>
                <w:szCs w:val="28"/>
                <w:highlight w:val="none"/>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0EB1826C">
            <w:pPr>
              <w:ind w:firstLine="562" w:firstLineChars="200"/>
              <w:jc w:val="center"/>
              <w:rPr>
                <w:rFonts w:ascii="宋体" w:hAnsi="宋体" w:eastAsia="宋体" w:cs="宋体"/>
                <w:b/>
                <w:bCs/>
                <w:sz w:val="28"/>
                <w:szCs w:val="28"/>
                <w:highlight w:val="none"/>
              </w:rPr>
            </w:pPr>
            <w:r>
              <w:rPr>
                <w:rStyle w:val="134"/>
                <w:rFonts w:hint="eastAsia" w:ascii="宋体" w:hAnsi="宋体" w:eastAsia="宋体" w:cs="宋体"/>
                <w:b/>
                <w:sz w:val="28"/>
                <w:szCs w:val="28"/>
                <w:highlight w:val="none"/>
              </w:rPr>
              <w:t>编  列  内  容</w:t>
            </w:r>
          </w:p>
        </w:tc>
      </w:tr>
      <w:tr w14:paraId="4AC7987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082FEDE">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1.项目说明</w:t>
            </w:r>
          </w:p>
        </w:tc>
      </w:tr>
      <w:tr w14:paraId="79A0FE7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5761F38A">
            <w:pPr>
              <w:jc w:val="center"/>
              <w:rPr>
                <w:rFonts w:ascii="宋体" w:hAnsi="宋体" w:eastAsia="宋体" w:cs="宋体"/>
                <w:sz w:val="24"/>
                <w:szCs w:val="24"/>
                <w:highlight w:val="none"/>
              </w:rPr>
            </w:pPr>
            <w:r>
              <w:rPr>
                <w:rFonts w:hint="eastAsia" w:ascii="宋体" w:hAnsi="宋体" w:eastAsia="宋体" w:cs="宋体"/>
                <w:sz w:val="24"/>
                <w:szCs w:val="24"/>
                <w:highlight w:val="none"/>
              </w:rPr>
              <w:t>1.1</w:t>
            </w:r>
          </w:p>
        </w:tc>
        <w:tc>
          <w:tcPr>
            <w:tcW w:w="8363" w:type="dxa"/>
            <w:tcBorders>
              <w:top w:val="single" w:color="auto" w:sz="2" w:space="0"/>
              <w:left w:val="single" w:color="auto" w:sz="2" w:space="0"/>
              <w:bottom w:val="single" w:color="auto" w:sz="2" w:space="0"/>
              <w:right w:val="single" w:color="auto" w:sz="2" w:space="0"/>
            </w:tcBorders>
            <w:vAlign w:val="center"/>
          </w:tcPr>
          <w:p w14:paraId="2E4C67B2">
            <w:pPr>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项目名称：中国重汽集团杭州发动机有限公司</w:t>
            </w:r>
          </w:p>
          <w:p w14:paraId="7A5DC572">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试车台架系统更新改造项目</w:t>
            </w:r>
          </w:p>
        </w:tc>
      </w:tr>
      <w:tr w14:paraId="161A03A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0030C4EE">
            <w:pPr>
              <w:ind w:firstLine="420" w:firstLineChars="200"/>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56579AE5">
            <w:pPr>
              <w:ind w:firstLine="482" w:firstLineChars="200"/>
              <w:rPr>
                <w:rFonts w:hint="default" w:ascii="宋体" w:hAnsi="宋体" w:eastAsia="宋体" w:cs="宋体"/>
                <w:b/>
                <w:bCs/>
                <w:sz w:val="24"/>
                <w:szCs w:val="24"/>
                <w:highlight w:val="none"/>
                <w:lang w:val="en-US" w:eastAsia="zh-CN"/>
              </w:rPr>
            </w:pPr>
            <w:r>
              <w:rPr>
                <w:rFonts w:hint="eastAsia" w:ascii="宋体" w:hAnsi="宋体" w:eastAsia="宋体" w:cs="宋体"/>
                <w:b/>
                <w:bCs/>
                <w:sz w:val="24"/>
                <w:szCs w:val="24"/>
                <w:highlight w:val="none"/>
              </w:rPr>
              <w:t>采购形式编号：</w:t>
            </w:r>
            <w:r>
              <w:rPr>
                <w:rFonts w:hint="eastAsia" w:ascii="宋体" w:hAnsi="宋体" w:eastAsia="宋体" w:cs="宋体"/>
                <w:sz w:val="24"/>
                <w:szCs w:val="24"/>
                <w:highlight w:val="none"/>
                <w:u w:val="single"/>
                <w:lang w:val="en-US" w:eastAsia="zh-CN"/>
              </w:rPr>
              <w:t xml:space="preserve"> FSCZB2025120050 </w:t>
            </w:r>
          </w:p>
        </w:tc>
      </w:tr>
      <w:tr w14:paraId="525BB92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392E615D">
            <w:pPr>
              <w:jc w:val="center"/>
              <w:rPr>
                <w:rFonts w:ascii="宋体" w:hAnsi="宋体" w:eastAsia="宋体" w:cs="宋体"/>
                <w:sz w:val="24"/>
                <w:szCs w:val="24"/>
                <w:highlight w:val="none"/>
              </w:rPr>
            </w:pPr>
            <w:r>
              <w:rPr>
                <w:rFonts w:hint="eastAsia" w:ascii="宋体" w:hAnsi="宋体" w:eastAsia="宋体" w:cs="宋体"/>
                <w:sz w:val="24"/>
                <w:szCs w:val="24"/>
                <w:highlight w:val="none"/>
              </w:rPr>
              <w:t>1.2</w:t>
            </w:r>
          </w:p>
        </w:tc>
        <w:tc>
          <w:tcPr>
            <w:tcW w:w="8363" w:type="dxa"/>
            <w:tcBorders>
              <w:top w:val="single" w:color="auto" w:sz="2" w:space="0"/>
              <w:left w:val="single" w:color="auto" w:sz="2" w:space="0"/>
              <w:bottom w:val="single" w:color="auto" w:sz="2" w:space="0"/>
              <w:right w:val="single" w:color="auto" w:sz="2" w:space="0"/>
            </w:tcBorders>
            <w:vAlign w:val="center"/>
          </w:tcPr>
          <w:p w14:paraId="43DEC9E4">
            <w:pPr>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招标内容：中国重汽集团杭州发动机有限公司</w:t>
            </w:r>
          </w:p>
          <w:p w14:paraId="0893C495">
            <w:pPr>
              <w:ind w:firstLine="482" w:firstLineChars="200"/>
              <w:rPr>
                <w:rFonts w:hint="eastAsia" w:ascii="宋体" w:hAnsi="宋体" w:eastAsia="宋体" w:cs="宋体"/>
                <w:sz w:val="24"/>
                <w:szCs w:val="24"/>
                <w:highlight w:val="none"/>
                <w:lang w:eastAsia="zh-CN"/>
              </w:rPr>
            </w:pPr>
            <w:r>
              <w:rPr>
                <w:rFonts w:hint="eastAsia" w:ascii="宋体" w:hAnsi="宋体" w:eastAsia="宋体" w:cs="宋体"/>
                <w:b/>
                <w:bCs/>
                <w:sz w:val="24"/>
                <w:szCs w:val="24"/>
                <w:highlight w:val="none"/>
              </w:rPr>
              <w:t>试车台架系统更新改造项目</w:t>
            </w:r>
          </w:p>
        </w:tc>
      </w:tr>
      <w:tr w14:paraId="16D4746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22C751A8">
            <w:pPr>
              <w:ind w:firstLine="420" w:firstLineChars="200"/>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79B0A3DB">
            <w:pPr>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招标形式：</w:t>
            </w:r>
            <w:r>
              <w:rPr>
                <w:rFonts w:hint="eastAsia" w:ascii="宋体" w:hAnsi="宋体" w:eastAsia="宋体" w:cs="宋体"/>
                <w:sz w:val="24"/>
                <w:szCs w:val="24"/>
                <w:highlight w:val="none"/>
              </w:rPr>
              <w:t>公开招标</w:t>
            </w:r>
          </w:p>
        </w:tc>
      </w:tr>
      <w:tr w14:paraId="35520CF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0F23B0ED">
            <w:pPr>
              <w:jc w:val="center"/>
              <w:rPr>
                <w:rFonts w:ascii="宋体" w:hAnsi="宋体" w:eastAsia="宋体" w:cs="宋体"/>
                <w:sz w:val="24"/>
                <w:szCs w:val="24"/>
                <w:highlight w:val="none"/>
              </w:rPr>
            </w:pPr>
            <w:r>
              <w:rPr>
                <w:rFonts w:hint="eastAsia" w:ascii="宋体" w:hAnsi="宋体" w:eastAsia="宋体" w:cs="宋体"/>
                <w:sz w:val="24"/>
                <w:szCs w:val="24"/>
                <w:highlight w:val="none"/>
              </w:rPr>
              <w:t>1.3</w:t>
            </w:r>
          </w:p>
        </w:tc>
        <w:tc>
          <w:tcPr>
            <w:tcW w:w="8363" w:type="dxa"/>
            <w:tcBorders>
              <w:top w:val="single" w:color="auto" w:sz="2" w:space="0"/>
              <w:left w:val="single" w:color="auto" w:sz="2" w:space="0"/>
              <w:bottom w:val="single" w:color="auto" w:sz="2" w:space="0"/>
              <w:right w:val="single" w:color="auto" w:sz="2" w:space="0"/>
            </w:tcBorders>
            <w:vAlign w:val="center"/>
          </w:tcPr>
          <w:p w14:paraId="586A4122">
            <w:pPr>
              <w:ind w:firstLine="482" w:firstLineChars="200"/>
              <w:rPr>
                <w:rFonts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lang w:eastAsia="zh-CN"/>
              </w:rPr>
              <w:t>中国重汽集团杭州发动机有限公司</w:t>
            </w:r>
            <w:r>
              <w:rPr>
                <w:rFonts w:hint="eastAsia" w:ascii="宋体" w:hAnsi="宋体" w:eastAsia="宋体" w:cs="宋体"/>
                <w:bCs/>
                <w:snapToGrid w:val="0"/>
                <w:kern w:val="0"/>
                <w:sz w:val="24"/>
                <w:szCs w:val="24"/>
                <w:highlight w:val="none"/>
              </w:rPr>
              <w:t xml:space="preserve"> </w:t>
            </w:r>
          </w:p>
          <w:p w14:paraId="5C2C392D">
            <w:pPr>
              <w:ind w:firstLine="482" w:firstLineChars="200"/>
              <w:rPr>
                <w:rFonts w:hint="eastAsia" w:ascii="宋体" w:hAnsi="宋体" w:eastAsia="宋体" w:cs="宋体"/>
                <w:bCs/>
                <w:snapToGrid w:val="0"/>
                <w:kern w:val="0"/>
                <w:sz w:val="24"/>
                <w:szCs w:val="24"/>
                <w:highlight w:val="none"/>
                <w:lang w:eastAsia="zh-CN"/>
              </w:rPr>
            </w:pPr>
            <w:r>
              <w:rPr>
                <w:rFonts w:hint="eastAsia" w:ascii="宋体" w:hAnsi="宋体" w:eastAsia="宋体" w:cs="宋体"/>
                <w:b/>
                <w:snapToGrid w:val="0"/>
                <w:kern w:val="0"/>
                <w:sz w:val="24"/>
                <w:szCs w:val="24"/>
                <w:highlight w:val="none"/>
                <w:lang w:val="en-US" w:eastAsia="zh-CN"/>
              </w:rPr>
              <w:t>e采通操作及商务</w:t>
            </w:r>
            <w:r>
              <w:rPr>
                <w:rFonts w:hint="eastAsia" w:ascii="宋体" w:hAnsi="宋体" w:eastAsia="宋体" w:cs="宋体"/>
                <w:b/>
                <w:snapToGrid w:val="0"/>
                <w:kern w:val="0"/>
                <w:sz w:val="24"/>
                <w:szCs w:val="24"/>
                <w:highlight w:val="none"/>
              </w:rPr>
              <w:t>联系人：</w:t>
            </w:r>
            <w:r>
              <w:rPr>
                <w:rFonts w:hint="eastAsia" w:ascii="宋体" w:hAnsi="宋体" w:eastAsia="宋体" w:cs="宋体"/>
                <w:bCs/>
                <w:snapToGrid w:val="0"/>
                <w:kern w:val="0"/>
                <w:sz w:val="24"/>
                <w:szCs w:val="24"/>
                <w:highlight w:val="none"/>
                <w:lang w:val="en-US" w:eastAsia="zh-CN"/>
              </w:rPr>
              <w:t>李岳</w:t>
            </w:r>
          </w:p>
          <w:p w14:paraId="486DA7E3">
            <w:pPr>
              <w:pStyle w:val="17"/>
              <w:ind w:firstLine="482" w:firstLineChars="200"/>
              <w:rPr>
                <w:rFonts w:hint="default" w:eastAsia="宋体"/>
                <w:highlight w:val="none"/>
                <w:lang w:val="en-US" w:eastAsia="zh-CN"/>
              </w:rPr>
            </w:pPr>
            <w:r>
              <w:rPr>
                <w:rFonts w:hint="eastAsia" w:hAnsi="宋体" w:eastAsia="宋体" w:cs="宋体"/>
                <w:b/>
                <w:snapToGrid w:val="0"/>
                <w:kern w:val="0"/>
                <w:sz w:val="24"/>
                <w:szCs w:val="24"/>
                <w:highlight w:val="none"/>
              </w:rPr>
              <w:t>电话：</w:t>
            </w:r>
            <w:r>
              <w:rPr>
                <w:rFonts w:hint="eastAsia" w:hAnsi="宋体" w:eastAsia="宋体" w:cs="宋体"/>
                <w:bCs/>
                <w:snapToGrid w:val="0"/>
                <w:kern w:val="0"/>
                <w:sz w:val="24"/>
                <w:szCs w:val="24"/>
                <w:highlight w:val="none"/>
              </w:rPr>
              <w:t>17860</w:t>
            </w:r>
            <w:r>
              <w:rPr>
                <w:rFonts w:hint="eastAsia" w:hAnsi="宋体" w:eastAsia="宋体" w:cs="宋体"/>
                <w:bCs/>
                <w:snapToGrid w:val="0"/>
                <w:kern w:val="0"/>
                <w:sz w:val="24"/>
                <w:szCs w:val="24"/>
                <w:highlight w:val="none"/>
                <w:lang w:val="en-US" w:eastAsia="zh-CN"/>
              </w:rPr>
              <w:t>529512</w:t>
            </w:r>
          </w:p>
          <w:p w14:paraId="0C4F8611">
            <w:pPr>
              <w:ind w:firstLine="482" w:firstLineChars="200"/>
              <w:rPr>
                <w:rFonts w:hint="eastAsia"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rPr>
              <w:t>邮箱：</w:t>
            </w:r>
            <w:r>
              <w:rPr>
                <w:rFonts w:hint="eastAsia" w:ascii="宋体" w:hAnsi="宋体" w:eastAsia="宋体" w:cs="宋体"/>
                <w:bCs/>
                <w:snapToGrid w:val="0"/>
                <w:kern w:val="0"/>
                <w:sz w:val="24"/>
                <w:szCs w:val="24"/>
                <w:highlight w:val="none"/>
                <w:lang w:val="en-US" w:eastAsia="zh-CN"/>
              </w:rPr>
              <w:t>liyue1</w:t>
            </w:r>
            <w:r>
              <w:rPr>
                <w:rFonts w:hint="eastAsia" w:ascii="宋体" w:hAnsi="宋体" w:eastAsia="宋体" w:cs="宋体"/>
                <w:bCs/>
                <w:snapToGrid w:val="0"/>
                <w:kern w:val="0"/>
                <w:sz w:val="24"/>
                <w:szCs w:val="24"/>
                <w:highlight w:val="none"/>
              </w:rPr>
              <w:t>@sinotruk.com</w:t>
            </w:r>
          </w:p>
          <w:p w14:paraId="6222A794">
            <w:pPr>
              <w:ind w:firstLine="482" w:firstLineChars="200"/>
              <w:rPr>
                <w:rFonts w:ascii="宋体" w:hAnsi="宋体" w:eastAsia="宋体" w:cs="宋体"/>
                <w:bCs/>
                <w:snapToGrid w:val="0"/>
                <w:color w:val="FF0000"/>
                <w:kern w:val="0"/>
                <w:sz w:val="24"/>
                <w:szCs w:val="24"/>
                <w:highlight w:val="none"/>
              </w:rPr>
            </w:pPr>
            <w:r>
              <w:rPr>
                <w:rFonts w:hint="eastAsia" w:ascii="宋体" w:hAnsi="宋体" w:eastAsia="宋体" w:cs="宋体"/>
                <w:b/>
                <w:snapToGrid w:val="0"/>
                <w:color w:val="FF0000"/>
                <w:kern w:val="0"/>
                <w:sz w:val="24"/>
                <w:szCs w:val="24"/>
                <w:highlight w:val="none"/>
                <w:lang w:val="en-US" w:eastAsia="zh-CN"/>
              </w:rPr>
              <w:t>技术</w:t>
            </w:r>
            <w:r>
              <w:rPr>
                <w:rFonts w:hint="eastAsia" w:ascii="宋体" w:hAnsi="宋体" w:eastAsia="宋体" w:cs="宋体"/>
                <w:b/>
                <w:snapToGrid w:val="0"/>
                <w:color w:val="FF0000"/>
                <w:kern w:val="0"/>
                <w:sz w:val="24"/>
                <w:szCs w:val="24"/>
                <w:highlight w:val="none"/>
              </w:rPr>
              <w:t>联系人：</w:t>
            </w:r>
            <w:r>
              <w:rPr>
                <w:rFonts w:hint="eastAsia" w:ascii="宋体" w:hAnsi="宋体" w:eastAsia="宋体" w:cs="宋体"/>
                <w:b/>
                <w:snapToGrid w:val="0"/>
                <w:color w:val="FF0000"/>
                <w:kern w:val="0"/>
                <w:sz w:val="24"/>
                <w:szCs w:val="24"/>
                <w:highlight w:val="none"/>
                <w:lang w:val="en-US" w:eastAsia="zh-CN"/>
              </w:rPr>
              <w:t>蔡胜忠</w:t>
            </w:r>
            <w:r>
              <w:rPr>
                <w:rFonts w:hint="eastAsia" w:ascii="宋体" w:hAnsi="宋体" w:eastAsia="宋体" w:cs="宋体"/>
                <w:b/>
                <w:snapToGrid w:val="0"/>
                <w:color w:val="FF0000"/>
                <w:kern w:val="0"/>
                <w:sz w:val="24"/>
                <w:szCs w:val="24"/>
                <w:highlight w:val="none"/>
              </w:rPr>
              <w:t xml:space="preserve">    </w:t>
            </w:r>
          </w:p>
          <w:p w14:paraId="68C0D16B">
            <w:pPr>
              <w:pStyle w:val="17"/>
              <w:ind w:firstLine="482" w:firstLineChars="200"/>
              <w:rPr>
                <w:rFonts w:hint="default" w:eastAsia="宋体"/>
                <w:color w:val="FF0000"/>
                <w:highlight w:val="none"/>
                <w:lang w:val="en-US" w:eastAsia="zh-CN"/>
              </w:rPr>
            </w:pPr>
            <w:r>
              <w:rPr>
                <w:rFonts w:hint="eastAsia" w:hAnsi="宋体" w:eastAsia="宋体" w:cs="宋体"/>
                <w:b/>
                <w:snapToGrid w:val="0"/>
                <w:color w:val="FF0000"/>
                <w:kern w:val="0"/>
                <w:sz w:val="24"/>
                <w:szCs w:val="24"/>
                <w:highlight w:val="none"/>
              </w:rPr>
              <w:t>电话：13588135272</w:t>
            </w:r>
          </w:p>
          <w:p w14:paraId="14A64C57">
            <w:pPr>
              <w:ind w:firstLine="482" w:firstLineChars="200"/>
              <w:rPr>
                <w:rFonts w:hint="eastAsia" w:ascii="宋体" w:hAnsi="宋体" w:eastAsia="宋体" w:cs="宋体"/>
                <w:bCs/>
                <w:snapToGrid w:val="0"/>
                <w:kern w:val="0"/>
                <w:sz w:val="24"/>
                <w:szCs w:val="24"/>
                <w:highlight w:val="none"/>
              </w:rPr>
            </w:pPr>
            <w:r>
              <w:rPr>
                <w:rFonts w:hint="eastAsia" w:ascii="宋体" w:hAnsi="宋体" w:eastAsia="宋体" w:cs="宋体"/>
                <w:b/>
                <w:snapToGrid w:val="0"/>
                <w:color w:val="FF0000"/>
                <w:kern w:val="0"/>
                <w:sz w:val="24"/>
                <w:szCs w:val="24"/>
                <w:highlight w:val="none"/>
              </w:rPr>
              <w:t>邮箱：caisz@sinotruk.com</w:t>
            </w:r>
          </w:p>
        </w:tc>
      </w:tr>
      <w:tr w14:paraId="13DF745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218B8B49">
            <w:pPr>
              <w:jc w:val="center"/>
              <w:rPr>
                <w:rFonts w:ascii="宋体" w:hAnsi="宋体" w:eastAsia="宋体" w:cs="宋体"/>
                <w:sz w:val="24"/>
                <w:szCs w:val="24"/>
                <w:highlight w:val="none"/>
              </w:rPr>
            </w:pPr>
            <w:r>
              <w:rPr>
                <w:rFonts w:hint="eastAsia" w:ascii="宋体" w:hAnsi="宋体" w:eastAsia="宋体" w:cs="宋体"/>
                <w:sz w:val="24"/>
                <w:szCs w:val="24"/>
                <w:highlight w:val="none"/>
              </w:rPr>
              <w:t>1.4</w:t>
            </w:r>
          </w:p>
        </w:tc>
        <w:tc>
          <w:tcPr>
            <w:tcW w:w="8363" w:type="dxa"/>
            <w:tcBorders>
              <w:top w:val="single" w:color="auto" w:sz="2" w:space="0"/>
              <w:left w:val="single" w:color="auto" w:sz="2" w:space="0"/>
              <w:bottom w:val="single" w:color="auto" w:sz="2" w:space="0"/>
              <w:right w:val="single" w:color="auto" w:sz="2" w:space="0"/>
            </w:tcBorders>
            <w:vAlign w:val="center"/>
          </w:tcPr>
          <w:p w14:paraId="411A4561">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资金来源：</w:t>
            </w:r>
            <w:r>
              <w:rPr>
                <w:rFonts w:hint="eastAsia" w:ascii="宋体" w:hAnsi="宋体" w:eastAsia="宋体" w:cs="宋体"/>
                <w:kern w:val="0"/>
                <w:sz w:val="24"/>
                <w:szCs w:val="24"/>
                <w:highlight w:val="none"/>
              </w:rPr>
              <w:t>企业自筹，已落实。</w:t>
            </w:r>
          </w:p>
        </w:tc>
      </w:tr>
      <w:tr w14:paraId="1674901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4FB81FE8">
            <w:pPr>
              <w:jc w:val="center"/>
              <w:rPr>
                <w:rFonts w:ascii="宋体" w:hAnsi="宋体" w:eastAsia="宋体" w:cs="宋体"/>
                <w:sz w:val="24"/>
                <w:szCs w:val="24"/>
                <w:highlight w:val="none"/>
              </w:rPr>
            </w:pPr>
            <w:r>
              <w:rPr>
                <w:rFonts w:hint="eastAsia" w:ascii="宋体" w:hAnsi="宋体" w:eastAsia="宋体" w:cs="宋体"/>
                <w:sz w:val="24"/>
                <w:szCs w:val="24"/>
                <w:highlight w:val="none"/>
              </w:rPr>
              <w:t>1.5</w:t>
            </w:r>
          </w:p>
        </w:tc>
        <w:tc>
          <w:tcPr>
            <w:tcW w:w="8363" w:type="dxa"/>
            <w:tcBorders>
              <w:top w:val="single" w:color="auto" w:sz="2" w:space="0"/>
              <w:left w:val="single" w:color="auto" w:sz="2" w:space="0"/>
              <w:bottom w:val="single" w:color="auto" w:sz="2" w:space="0"/>
              <w:right w:val="single" w:color="auto" w:sz="2" w:space="0"/>
            </w:tcBorders>
            <w:vAlign w:val="center"/>
          </w:tcPr>
          <w:p w14:paraId="6A0A7635">
            <w:pPr>
              <w:ind w:firstLine="482" w:firstLineChars="200"/>
              <w:rPr>
                <w:rFonts w:ascii="宋体" w:hAnsi="宋体" w:eastAsia="宋体" w:cs="Times New Roman"/>
                <w:color w:val="000000"/>
                <w:sz w:val="24"/>
                <w:szCs w:val="24"/>
                <w:highlight w:val="none"/>
              </w:rPr>
            </w:pPr>
            <w:r>
              <w:rPr>
                <w:rFonts w:hint="eastAsia" w:ascii="宋体" w:hAnsi="宋体" w:eastAsia="宋体" w:cs="宋体"/>
                <w:b/>
                <w:bCs/>
                <w:sz w:val="24"/>
                <w:szCs w:val="24"/>
                <w:highlight w:val="none"/>
              </w:rPr>
              <w:t>报价：</w:t>
            </w:r>
            <w:r>
              <w:rPr>
                <w:rFonts w:hint="eastAsia" w:ascii="宋体" w:hAnsi="宋体" w:eastAsia="宋体" w:cs="宋体"/>
                <w:sz w:val="24"/>
                <w:szCs w:val="24"/>
                <w:highlight w:val="none"/>
              </w:rPr>
              <w:t>如需要，由</w:t>
            </w:r>
            <w:r>
              <w:rPr>
                <w:rFonts w:hint="eastAsia" w:ascii="宋体" w:hAnsi="宋体" w:eastAsia="宋体" w:cs="Times New Roman"/>
                <w:color w:val="000000"/>
                <w:sz w:val="24"/>
                <w:szCs w:val="24"/>
                <w:highlight w:val="none"/>
              </w:rPr>
              <w:t>投标人自行勘察现场，进行合理报价。投标总报价应包括设备费、原厂服务费及相关配件、随机资料、保险、税费、运杂、安装调试、与其他专业配合、配合办理政府验收手续（不限质监验收、消防验收、环评及职业卫生评价、安全评价等）及可预见的风险以及其它不可预见等全部费用。</w:t>
            </w:r>
          </w:p>
          <w:p w14:paraId="137735F7">
            <w:pPr>
              <w:ind w:firstLine="482" w:firstLineChars="200"/>
              <w:rPr>
                <w:rFonts w:ascii="宋体" w:hAnsi="宋体" w:eastAsia="宋体" w:cs="Times New Roman"/>
                <w:color w:val="000000"/>
                <w:sz w:val="24"/>
                <w:szCs w:val="24"/>
                <w:highlight w:val="none"/>
              </w:rPr>
            </w:pPr>
            <w:r>
              <w:rPr>
                <w:rFonts w:hint="eastAsia" w:ascii="宋体" w:hAnsi="宋体" w:eastAsia="宋体" w:cs="Times New Roman"/>
                <w:b/>
                <w:bCs/>
                <w:color w:val="000000"/>
                <w:sz w:val="24"/>
                <w:szCs w:val="24"/>
                <w:highlight w:val="none"/>
              </w:rPr>
              <w:t>报价货币：</w:t>
            </w:r>
            <w:r>
              <w:rPr>
                <w:rFonts w:hint="eastAsia" w:ascii="宋体" w:hAnsi="宋体" w:eastAsia="宋体" w:cs="Times New Roman"/>
                <w:color w:val="000000"/>
                <w:sz w:val="24"/>
                <w:szCs w:val="24"/>
                <w:highlight w:val="none"/>
              </w:rPr>
              <w:t>人民币（</w:t>
            </w:r>
            <w:r>
              <w:rPr>
                <w:rFonts w:hint="eastAsia" w:ascii="宋体" w:hAnsi="宋体" w:eastAsia="宋体" w:cs="Times New Roman"/>
                <w:b/>
                <w:bCs/>
                <w:color w:val="000000"/>
                <w:sz w:val="24"/>
                <w:szCs w:val="24"/>
                <w:highlight w:val="none"/>
              </w:rPr>
              <w:t>应同时报含税价和不含税价，写明税率</w:t>
            </w:r>
            <w:r>
              <w:rPr>
                <w:rFonts w:hint="eastAsia" w:ascii="宋体" w:hAnsi="宋体" w:eastAsia="宋体" w:cs="Times New Roman"/>
                <w:color w:val="000000"/>
                <w:sz w:val="24"/>
                <w:szCs w:val="24"/>
                <w:highlight w:val="none"/>
              </w:rPr>
              <w:t>）。</w:t>
            </w:r>
          </w:p>
          <w:p w14:paraId="5A4FAEF4">
            <w:pPr>
              <w:pStyle w:val="17"/>
              <w:ind w:firstLine="482" w:firstLineChars="200"/>
              <w:rPr>
                <w:rFonts w:eastAsia="宋体"/>
                <w:highlight w:val="none"/>
              </w:rPr>
            </w:pPr>
            <w:r>
              <w:rPr>
                <w:rFonts w:hint="eastAsia" w:hAnsi="宋体" w:eastAsia="宋体" w:cs="Times New Roman"/>
                <w:b/>
                <w:bCs/>
                <w:color w:val="000000"/>
                <w:sz w:val="24"/>
                <w:szCs w:val="24"/>
                <w:highlight w:val="none"/>
              </w:rPr>
              <w:t>投标限价</w:t>
            </w:r>
            <w:r>
              <w:rPr>
                <w:rFonts w:hint="eastAsia" w:hAnsi="宋体" w:eastAsia="宋体" w:cs="Times New Roman"/>
                <w:color w:val="000000"/>
                <w:sz w:val="24"/>
                <w:szCs w:val="24"/>
                <w:highlight w:val="none"/>
              </w:rPr>
              <w:t>：</w:t>
            </w:r>
            <w:r>
              <w:rPr>
                <w:rFonts w:hint="eastAsia" w:hAnsi="宋体" w:eastAsia="宋体" w:cs="Times New Roman"/>
                <w:color w:val="000000"/>
                <w:sz w:val="24"/>
                <w:szCs w:val="24"/>
                <w:highlight w:val="yellow"/>
              </w:rPr>
              <w:t>人民币</w:t>
            </w:r>
            <w:r>
              <w:rPr>
                <w:rFonts w:hint="eastAsia" w:hAnsi="宋体" w:eastAsia="宋体" w:cs="Times New Roman"/>
                <w:color w:val="000000"/>
                <w:sz w:val="24"/>
                <w:szCs w:val="24"/>
                <w:highlight w:val="yellow"/>
                <w:lang w:val="en-US" w:eastAsia="zh-CN"/>
              </w:rPr>
              <w:t>1850</w:t>
            </w:r>
            <w:r>
              <w:rPr>
                <w:rFonts w:hint="eastAsia" w:hAnsi="宋体" w:eastAsia="宋体" w:cs="Times New Roman"/>
                <w:color w:val="000000"/>
                <w:sz w:val="24"/>
                <w:szCs w:val="24"/>
                <w:highlight w:val="yellow"/>
              </w:rPr>
              <w:t>万元</w:t>
            </w:r>
            <w:r>
              <w:rPr>
                <w:rFonts w:hint="eastAsia" w:hAnsi="宋体" w:eastAsia="宋体" w:cs="Times New Roman"/>
                <w:color w:val="000000"/>
                <w:sz w:val="24"/>
                <w:szCs w:val="24"/>
                <w:highlight w:val="none"/>
              </w:rPr>
              <w:t>（含税，税率13%），超过投标限价无法投标。</w:t>
            </w:r>
          </w:p>
        </w:tc>
      </w:tr>
      <w:tr w14:paraId="3752471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14:paraId="4E84E38E">
            <w:pPr>
              <w:jc w:val="center"/>
              <w:rPr>
                <w:rFonts w:ascii="宋体" w:hAnsi="宋体" w:eastAsia="宋体" w:cs="宋体"/>
                <w:sz w:val="24"/>
                <w:szCs w:val="24"/>
                <w:highlight w:val="none"/>
              </w:rPr>
            </w:pPr>
            <w:r>
              <w:rPr>
                <w:rFonts w:hint="eastAsia" w:ascii="宋体" w:hAnsi="宋体" w:eastAsia="宋体" w:cs="宋体"/>
                <w:sz w:val="24"/>
                <w:szCs w:val="24"/>
                <w:highlight w:val="none"/>
              </w:rPr>
              <w:t>1.6</w:t>
            </w:r>
          </w:p>
        </w:tc>
        <w:tc>
          <w:tcPr>
            <w:tcW w:w="8363" w:type="dxa"/>
            <w:tcBorders>
              <w:top w:val="single" w:color="auto" w:sz="2" w:space="0"/>
              <w:left w:val="single" w:color="auto" w:sz="2" w:space="0"/>
              <w:bottom w:val="single" w:color="auto" w:sz="2" w:space="0"/>
              <w:right w:val="single" w:color="auto" w:sz="2" w:space="0"/>
            </w:tcBorders>
            <w:vAlign w:val="center"/>
          </w:tcPr>
          <w:p w14:paraId="5ADC38B4">
            <w:pPr>
              <w:pStyle w:val="17"/>
              <w:ind w:firstLine="482" w:firstLineChars="200"/>
              <w:rPr>
                <w:rFonts w:hint="eastAsia" w:hAnsi="宋体" w:eastAsia="宋体" w:cs="宋体"/>
                <w:b/>
                <w:bCs/>
                <w:color w:val="000000"/>
                <w:sz w:val="24"/>
                <w:szCs w:val="24"/>
                <w:highlight w:val="none"/>
              </w:rPr>
            </w:pPr>
            <w:r>
              <w:rPr>
                <w:rFonts w:hint="eastAsia" w:hAnsi="宋体" w:eastAsia="宋体" w:cs="宋体"/>
                <w:b/>
                <w:bCs/>
                <w:color w:val="000000"/>
                <w:sz w:val="24"/>
                <w:szCs w:val="24"/>
                <w:highlight w:val="none"/>
              </w:rPr>
              <w:t>投标人条件：</w:t>
            </w:r>
          </w:p>
          <w:p w14:paraId="79980CC9">
            <w:pPr>
              <w:pStyle w:val="17"/>
              <w:rPr>
                <w:rFonts w:hint="eastAsia" w:hAnsi="宋体" w:eastAsia="宋体" w:cs="宋体"/>
                <w:color w:val="000000"/>
                <w:sz w:val="24"/>
                <w:szCs w:val="24"/>
              </w:rPr>
            </w:pPr>
            <w:r>
              <w:rPr>
                <w:rFonts w:hint="eastAsia" w:hAnsi="宋体" w:eastAsia="宋体" w:cs="宋体"/>
                <w:color w:val="000000"/>
                <w:sz w:val="24"/>
                <w:szCs w:val="24"/>
              </w:rPr>
              <w:t>1.拟投标人必须是在中华人民共和国境内注册的独立法人机构，具有独 立承担民事责任能力；注册资金不少于2000万人民币(或等值其他货币);公 司成立三年以上(以营业执照成立日期到开标当日满三年为准),且经营范围 满足招标人需求；并在人员、设备、资金等方面具有承担本项目的能力；</w:t>
            </w:r>
          </w:p>
          <w:p w14:paraId="48C8E9E5">
            <w:pPr>
              <w:pStyle w:val="17"/>
              <w:rPr>
                <w:rFonts w:hint="eastAsia" w:hAnsi="宋体" w:eastAsia="宋体" w:cs="宋体"/>
                <w:color w:val="000000"/>
                <w:sz w:val="24"/>
                <w:szCs w:val="24"/>
              </w:rPr>
            </w:pPr>
            <w:r>
              <w:rPr>
                <w:rFonts w:hint="eastAsia" w:hAnsi="宋体" w:eastAsia="宋体" w:cs="宋体"/>
                <w:color w:val="000000"/>
                <w:sz w:val="24"/>
                <w:szCs w:val="24"/>
              </w:rPr>
              <w:t>2.拟投标人应提供三证合一的营业执照副本原件和扫描件(需盖章);</w:t>
            </w:r>
          </w:p>
          <w:p w14:paraId="7DB2F0C9">
            <w:pPr>
              <w:pStyle w:val="17"/>
              <w:rPr>
                <w:rFonts w:hint="eastAsia" w:hAnsi="宋体" w:eastAsia="宋体" w:cs="宋体"/>
                <w:color w:val="000000"/>
                <w:sz w:val="24"/>
                <w:szCs w:val="24"/>
              </w:rPr>
            </w:pPr>
            <w:r>
              <w:rPr>
                <w:rFonts w:hint="eastAsia" w:hAnsi="宋体" w:eastAsia="宋体" w:cs="宋体"/>
                <w:color w:val="000000"/>
                <w:sz w:val="24"/>
                <w:szCs w:val="24"/>
              </w:rPr>
              <w:t>3.拟投标人应提供法定代表人资格证明文件；</w:t>
            </w:r>
          </w:p>
          <w:p w14:paraId="4725827D">
            <w:pPr>
              <w:pStyle w:val="17"/>
              <w:rPr>
                <w:rFonts w:hint="eastAsia" w:hAnsi="宋体" w:eastAsia="宋体" w:cs="宋体"/>
                <w:color w:val="000000"/>
                <w:sz w:val="24"/>
                <w:szCs w:val="24"/>
              </w:rPr>
            </w:pPr>
            <w:r>
              <w:rPr>
                <w:rFonts w:hint="eastAsia" w:hAnsi="宋体" w:eastAsia="宋体" w:cs="宋体"/>
                <w:color w:val="000000"/>
                <w:sz w:val="24"/>
                <w:szCs w:val="24"/>
              </w:rPr>
              <w:t>4.拟投标人在工商行政管理局的《国家企业信用信息公示系统》中查询 不存在不良记录；</w:t>
            </w:r>
          </w:p>
          <w:p w14:paraId="2B871E26">
            <w:pPr>
              <w:pStyle w:val="17"/>
              <w:rPr>
                <w:rFonts w:hint="eastAsia" w:hAnsi="宋体" w:eastAsia="宋体" w:cs="宋体"/>
                <w:color w:val="000000"/>
                <w:sz w:val="24"/>
                <w:szCs w:val="24"/>
              </w:rPr>
            </w:pPr>
            <w:r>
              <w:rPr>
                <w:rFonts w:hint="eastAsia" w:hAnsi="宋体" w:eastAsia="宋体" w:cs="宋体"/>
                <w:color w:val="000000"/>
                <w:sz w:val="24"/>
                <w:szCs w:val="24"/>
              </w:rPr>
              <w:t>5.拟投标人不存在严重违规或被列入招标人“黑名单”的声明；</w:t>
            </w:r>
          </w:p>
          <w:p w14:paraId="577E1771">
            <w:pPr>
              <w:pStyle w:val="17"/>
              <w:rPr>
                <w:rFonts w:hint="eastAsia" w:hAnsi="宋体" w:eastAsia="宋体" w:cs="宋体"/>
                <w:color w:val="000000"/>
                <w:sz w:val="24"/>
                <w:szCs w:val="24"/>
              </w:rPr>
            </w:pPr>
            <w:r>
              <w:rPr>
                <w:rFonts w:hint="eastAsia" w:hAnsi="宋体" w:eastAsia="宋体" w:cs="宋体"/>
                <w:color w:val="000000"/>
                <w:sz w:val="24"/>
                <w:szCs w:val="24"/>
              </w:rPr>
              <w:t>6. 拟投标人2022年1月1日至今经第三方审计的公司财务报表(资产 负债表、损益表、现金流量表)未显示异常。如拟投标人公司没有经审计的财务报告，可提供加盖公章的近三年财务报表，包括但不限于资产负债表、利润表、现金流表；</w:t>
            </w:r>
          </w:p>
          <w:p w14:paraId="730E6E89">
            <w:pPr>
              <w:pStyle w:val="17"/>
              <w:rPr>
                <w:rFonts w:hint="eastAsia" w:hAnsi="宋体" w:eastAsia="宋体" w:cs="宋体"/>
                <w:color w:val="000000"/>
                <w:sz w:val="24"/>
                <w:szCs w:val="24"/>
              </w:rPr>
            </w:pPr>
            <w:r>
              <w:rPr>
                <w:rFonts w:hint="eastAsia" w:hAnsi="宋体" w:eastAsia="宋体" w:cs="宋体"/>
                <w:color w:val="000000"/>
                <w:sz w:val="24"/>
                <w:szCs w:val="24"/>
              </w:rPr>
              <w:t>7.拟投标人有与本次招标内容相同或类似项目业绩，且近3年内无因服 务不当而造成重大事故；</w:t>
            </w:r>
          </w:p>
          <w:p w14:paraId="79C5BDA6">
            <w:pPr>
              <w:pStyle w:val="17"/>
              <w:rPr>
                <w:rFonts w:hint="eastAsia" w:hAnsi="宋体" w:eastAsia="宋体" w:cs="宋体"/>
                <w:color w:val="000000"/>
                <w:sz w:val="24"/>
                <w:szCs w:val="24"/>
              </w:rPr>
            </w:pPr>
            <w:r>
              <w:rPr>
                <w:rFonts w:hint="eastAsia" w:hAnsi="宋体" w:eastAsia="宋体" w:cs="宋体"/>
                <w:color w:val="000000"/>
                <w:sz w:val="24"/>
                <w:szCs w:val="24"/>
              </w:rPr>
              <w:t>8.拟投标人三年内无违法及重大违规情况；</w:t>
            </w:r>
          </w:p>
          <w:p w14:paraId="124A29A5">
            <w:pPr>
              <w:pStyle w:val="17"/>
              <w:rPr>
                <w:rFonts w:hint="eastAsia" w:hAnsi="宋体" w:eastAsia="宋体" w:cs="宋体"/>
                <w:color w:val="000000"/>
                <w:sz w:val="24"/>
                <w:szCs w:val="24"/>
              </w:rPr>
            </w:pPr>
            <w:r>
              <w:rPr>
                <w:rFonts w:hint="eastAsia" w:hAnsi="宋体" w:eastAsia="宋体" w:cs="宋体"/>
                <w:color w:val="000000"/>
                <w:sz w:val="24"/>
                <w:szCs w:val="24"/>
              </w:rPr>
              <w:t>9.拟投标人须认可招标人的工作指令，包括节、假日能正常开展工作的要求；</w:t>
            </w:r>
          </w:p>
          <w:p w14:paraId="245235D7">
            <w:pPr>
              <w:pStyle w:val="17"/>
              <w:rPr>
                <w:rFonts w:hint="eastAsia" w:hAnsi="宋体" w:eastAsia="宋体" w:cs="宋体"/>
                <w:color w:val="000000"/>
                <w:sz w:val="24"/>
                <w:szCs w:val="24"/>
              </w:rPr>
            </w:pPr>
            <w:r>
              <w:rPr>
                <w:rFonts w:hint="eastAsia" w:hAnsi="宋体" w:eastAsia="宋体" w:cs="宋体"/>
                <w:color w:val="000000"/>
                <w:sz w:val="24"/>
                <w:szCs w:val="24"/>
              </w:rPr>
              <w:t>10. 拟投标人最近半年纳税正常；</w:t>
            </w:r>
          </w:p>
          <w:p w14:paraId="195B9987">
            <w:pPr>
              <w:pStyle w:val="17"/>
              <w:rPr>
                <w:rFonts w:hint="eastAsia" w:hAnsi="宋体" w:eastAsia="宋体" w:cs="宋体"/>
                <w:color w:val="000000"/>
                <w:sz w:val="24"/>
                <w:szCs w:val="24"/>
              </w:rPr>
            </w:pPr>
            <w:r>
              <w:rPr>
                <w:rFonts w:hint="eastAsia" w:hAnsi="宋体" w:eastAsia="宋体" w:cs="宋体"/>
                <w:color w:val="000000"/>
                <w:sz w:val="24"/>
                <w:szCs w:val="24"/>
              </w:rPr>
              <w:t>11.拟投标人信用证明材料(中国人民银行信用代码证+征信报告)未显示异常；</w:t>
            </w:r>
          </w:p>
          <w:p w14:paraId="6E60A752">
            <w:pPr>
              <w:pStyle w:val="17"/>
              <w:rPr>
                <w:rFonts w:hint="eastAsia" w:hAnsi="宋体" w:eastAsia="宋体" w:cs="宋体"/>
                <w:color w:val="000000"/>
                <w:sz w:val="24"/>
                <w:szCs w:val="24"/>
              </w:rPr>
            </w:pPr>
            <w:r>
              <w:rPr>
                <w:rFonts w:hint="eastAsia" w:hAnsi="宋体" w:eastAsia="宋体" w:cs="宋体"/>
                <w:color w:val="000000"/>
                <w:sz w:val="24"/>
                <w:szCs w:val="24"/>
              </w:rPr>
              <w:t>12.拟投标人的直接或间接股东、法定代表人、董事、监事、高管非重汽员 工及其亲属；</w:t>
            </w:r>
          </w:p>
          <w:p w14:paraId="242C8595">
            <w:pPr>
              <w:pStyle w:val="17"/>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rPr>
              <w:t>13.本项目不接受联合体投标，拟投标人必须是最终投标单位和签订合 同单位，不得以任何理由将已中标项目以任何形式分包或转包给其他单位。</w:t>
            </w:r>
          </w:p>
        </w:tc>
      </w:tr>
      <w:tr w14:paraId="02E1839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53660669">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2.招标文件的答疑、澄清、修改、应标及投标报名</w:t>
            </w:r>
          </w:p>
        </w:tc>
      </w:tr>
      <w:tr w14:paraId="26495AC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6562E062">
            <w:pPr>
              <w:jc w:val="center"/>
              <w:rPr>
                <w:rFonts w:ascii="宋体" w:hAnsi="宋体" w:eastAsia="宋体" w:cs="宋体"/>
                <w:sz w:val="24"/>
                <w:szCs w:val="24"/>
                <w:highlight w:val="none"/>
              </w:rPr>
            </w:pPr>
            <w:r>
              <w:rPr>
                <w:rFonts w:hint="eastAsia" w:ascii="宋体" w:hAnsi="宋体" w:eastAsia="宋体" w:cs="宋体"/>
                <w:sz w:val="24"/>
                <w:szCs w:val="24"/>
                <w:highlight w:val="none"/>
              </w:rPr>
              <w:t>2.1</w:t>
            </w:r>
          </w:p>
        </w:tc>
        <w:tc>
          <w:tcPr>
            <w:tcW w:w="8363" w:type="dxa"/>
            <w:tcBorders>
              <w:top w:val="single" w:color="auto" w:sz="2" w:space="0"/>
              <w:left w:val="single" w:color="auto" w:sz="2" w:space="0"/>
              <w:bottom w:val="single" w:color="auto" w:sz="2" w:space="0"/>
              <w:right w:val="single" w:color="auto" w:sz="2" w:space="0"/>
            </w:tcBorders>
            <w:vAlign w:val="center"/>
          </w:tcPr>
          <w:p w14:paraId="73EA8C86">
            <w:pPr>
              <w:ind w:firstLine="482" w:firstLineChars="200"/>
              <w:rPr>
                <w:rFonts w:hint="eastAsia" w:ascii="宋体" w:hAnsi="宋体" w:eastAsia="宋体" w:cs="宋体"/>
                <w:sz w:val="24"/>
                <w:szCs w:val="24"/>
                <w:highlight w:val="none"/>
                <w:lang w:eastAsia="zh-CN"/>
              </w:rPr>
            </w:pPr>
            <w:r>
              <w:rPr>
                <w:rFonts w:hint="eastAsia" w:ascii="宋体" w:hAnsi="宋体" w:eastAsia="宋体" w:cs="宋体"/>
                <w:b/>
                <w:bCs/>
                <w:sz w:val="24"/>
                <w:szCs w:val="24"/>
                <w:highlight w:val="none"/>
              </w:rPr>
              <w:t>发标时间：</w:t>
            </w:r>
            <w:r>
              <w:rPr>
                <w:rFonts w:hint="eastAsia" w:ascii="宋体" w:hAnsi="宋体" w:eastAsia="宋体" w:cs="宋体"/>
                <w:bCs/>
                <w:sz w:val="24"/>
                <w:szCs w:val="24"/>
                <w:highlight w:val="none"/>
              </w:rPr>
              <w:t>2025年</w:t>
            </w:r>
            <w:r>
              <w:rPr>
                <w:rFonts w:hint="eastAsia" w:ascii="宋体" w:hAnsi="宋体" w:eastAsia="宋体" w:cs="宋体"/>
                <w:bCs/>
                <w:sz w:val="24"/>
                <w:szCs w:val="24"/>
                <w:highlight w:val="none"/>
                <w:lang w:val="en-US" w:eastAsia="zh-CN"/>
              </w:rPr>
              <w:t>12</w:t>
            </w:r>
            <w:r>
              <w:rPr>
                <w:rFonts w:hint="eastAsia" w:ascii="宋体" w:hAnsi="宋体" w:eastAsia="宋体" w:cs="宋体"/>
                <w:bCs/>
                <w:sz w:val="24"/>
                <w:szCs w:val="24"/>
                <w:highlight w:val="none"/>
              </w:rPr>
              <w:t>月</w:t>
            </w:r>
            <w:r>
              <w:rPr>
                <w:rFonts w:hint="eastAsia" w:ascii="宋体" w:hAnsi="宋体" w:eastAsia="宋体" w:cs="宋体"/>
                <w:bCs/>
                <w:sz w:val="24"/>
                <w:szCs w:val="24"/>
                <w:highlight w:val="none"/>
                <w:lang w:val="en-US" w:eastAsia="zh-CN"/>
              </w:rPr>
              <w:t>13</w:t>
            </w:r>
            <w:r>
              <w:rPr>
                <w:rFonts w:hint="eastAsia" w:ascii="宋体" w:hAnsi="宋体" w:eastAsia="宋体" w:cs="宋体"/>
                <w:bCs/>
                <w:sz w:val="24"/>
                <w:szCs w:val="24"/>
                <w:highlight w:val="none"/>
              </w:rPr>
              <w:t>日</w:t>
            </w:r>
            <w:r>
              <w:rPr>
                <w:rFonts w:hint="eastAsia" w:ascii="宋体" w:hAnsi="宋体" w:eastAsia="宋体" w:cs="宋体"/>
                <w:bCs/>
                <w:sz w:val="24"/>
                <w:szCs w:val="24"/>
                <w:highlight w:val="none"/>
                <w:lang w:eastAsia="zh-CN"/>
              </w:rPr>
              <w:t>；</w:t>
            </w:r>
          </w:p>
        </w:tc>
      </w:tr>
      <w:tr w14:paraId="3002561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19459262">
            <w:pPr>
              <w:snapToGrid w:val="0"/>
              <w:ind w:firstLine="420" w:firstLineChars="200"/>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460B76FF">
            <w:pPr>
              <w:ind w:firstLine="482" w:firstLineChars="200"/>
              <w:rPr>
                <w:rFonts w:ascii="宋体" w:hAnsi="宋体" w:eastAsia="宋体" w:cs="宋体"/>
                <w:sz w:val="24"/>
                <w:szCs w:val="24"/>
                <w:highlight w:val="none"/>
              </w:rPr>
            </w:pPr>
            <w:r>
              <w:rPr>
                <w:rFonts w:hint="eastAsia" w:ascii="宋体" w:hAnsi="宋体" w:eastAsia="宋体" w:cs="宋体"/>
                <w:b/>
                <w:sz w:val="24"/>
                <w:szCs w:val="24"/>
                <w:highlight w:val="none"/>
              </w:rPr>
              <w:t>发标方式：</w:t>
            </w:r>
            <w:r>
              <w:rPr>
                <w:rFonts w:hint="eastAsia" w:ascii="宋体" w:hAnsi="宋体" w:eastAsia="宋体" w:cs="宋体"/>
                <w:sz w:val="24"/>
                <w:szCs w:val="24"/>
                <w:highlight w:val="none"/>
              </w:rPr>
              <w:t>中国重汽官网等公开媒体公布。</w:t>
            </w:r>
          </w:p>
        </w:tc>
      </w:tr>
      <w:tr w14:paraId="0E49233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7A73898F">
            <w:pPr>
              <w:snapToGrid w:val="0"/>
              <w:ind w:firstLine="480" w:firstLineChars="200"/>
              <w:rPr>
                <w:rFonts w:ascii="宋体" w:hAnsi="宋体" w:eastAsia="宋体" w:cs="宋体"/>
                <w:sz w:val="24"/>
                <w:szCs w:val="24"/>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22B288F7">
            <w:pPr>
              <w:ind w:firstLine="480" w:firstLineChars="200"/>
              <w:jc w:val="left"/>
              <w:rPr>
                <w:rFonts w:ascii="宋体" w:hAnsi="宋体" w:eastAsia="宋体" w:cs="宋体"/>
                <w:b/>
                <w:bCs/>
                <w:sz w:val="24"/>
                <w:szCs w:val="24"/>
                <w:highlight w:val="none"/>
              </w:rPr>
            </w:pPr>
            <w:r>
              <w:rPr>
                <w:rFonts w:hint="eastAsia" w:ascii="宋体" w:hAnsi="宋体" w:eastAsia="宋体" w:cs="宋体"/>
                <w:sz w:val="24"/>
                <w:szCs w:val="24"/>
                <w:highlight w:val="none"/>
              </w:rPr>
              <w:t>如果投标人对招标文件商务部分、技术部分有疑问，请各投标人在本答疑环节提出。</w:t>
            </w:r>
          </w:p>
          <w:p w14:paraId="6CA51698">
            <w:pPr>
              <w:ind w:firstLine="482" w:firstLineChars="200"/>
              <w:jc w:val="left"/>
              <w:rPr>
                <w:rFonts w:ascii="宋体" w:hAnsi="宋体" w:eastAsia="宋体" w:cs="宋体"/>
                <w:sz w:val="24"/>
                <w:szCs w:val="24"/>
                <w:highlight w:val="none"/>
              </w:rPr>
            </w:pPr>
            <w:r>
              <w:rPr>
                <w:rFonts w:hint="eastAsia" w:ascii="宋体" w:hAnsi="宋体" w:eastAsia="宋体" w:cs="宋体"/>
                <w:b/>
                <w:bCs/>
                <w:sz w:val="24"/>
                <w:szCs w:val="24"/>
                <w:highlight w:val="none"/>
              </w:rPr>
              <w:t>提交疑问时间：</w:t>
            </w:r>
            <w:r>
              <w:rPr>
                <w:rFonts w:hint="eastAsia" w:ascii="宋体" w:hAnsi="宋体" w:eastAsia="宋体" w:cs="宋体"/>
                <w:bCs/>
                <w:color w:val="FF0000"/>
                <w:sz w:val="24"/>
                <w:szCs w:val="24"/>
                <w:highlight w:val="none"/>
              </w:rPr>
              <w:t>2025年</w:t>
            </w:r>
            <w:r>
              <w:rPr>
                <w:rFonts w:hint="eastAsia" w:ascii="宋体" w:hAnsi="宋体" w:eastAsia="宋体" w:cs="宋体"/>
                <w:bCs/>
                <w:color w:val="FF0000"/>
                <w:sz w:val="24"/>
                <w:szCs w:val="24"/>
                <w:highlight w:val="none"/>
                <w:lang w:val="en-US" w:eastAsia="zh-CN"/>
              </w:rPr>
              <w:t>12</w:t>
            </w:r>
            <w:r>
              <w:rPr>
                <w:rFonts w:hint="eastAsia" w:ascii="宋体" w:hAnsi="宋体" w:eastAsia="宋体" w:cs="宋体"/>
                <w:bCs/>
                <w:color w:val="FF0000"/>
                <w:sz w:val="24"/>
                <w:szCs w:val="24"/>
                <w:highlight w:val="none"/>
              </w:rPr>
              <w:t>月</w:t>
            </w:r>
            <w:r>
              <w:rPr>
                <w:rFonts w:hint="eastAsia" w:ascii="宋体" w:hAnsi="宋体" w:eastAsia="宋体" w:cs="宋体"/>
                <w:bCs/>
                <w:color w:val="FF0000"/>
                <w:sz w:val="24"/>
                <w:szCs w:val="24"/>
                <w:highlight w:val="none"/>
                <w:lang w:val="en-US" w:eastAsia="zh-CN"/>
              </w:rPr>
              <w:t>22</w:t>
            </w:r>
            <w:r>
              <w:rPr>
                <w:rFonts w:hint="eastAsia" w:ascii="宋体" w:hAnsi="宋体" w:eastAsia="宋体" w:cs="宋体"/>
                <w:bCs/>
                <w:color w:val="FF0000"/>
                <w:sz w:val="24"/>
                <w:szCs w:val="24"/>
                <w:highlight w:val="none"/>
              </w:rPr>
              <w:t>日</w:t>
            </w:r>
            <w:r>
              <w:rPr>
                <w:rFonts w:hint="eastAsia" w:ascii="宋体" w:hAnsi="宋体" w:eastAsia="宋体" w:cs="宋体"/>
                <w:bCs/>
                <w:sz w:val="24"/>
                <w:szCs w:val="24"/>
                <w:highlight w:val="none"/>
              </w:rPr>
              <w:t>1</w:t>
            </w:r>
            <w:r>
              <w:rPr>
                <w:rFonts w:hint="eastAsia" w:ascii="宋体" w:hAnsi="宋体" w:eastAsia="宋体" w:cs="宋体"/>
                <w:bCs/>
                <w:sz w:val="24"/>
                <w:szCs w:val="24"/>
                <w:highlight w:val="none"/>
                <w:lang w:val="en-US" w:eastAsia="zh-CN"/>
              </w:rPr>
              <w:t>7</w:t>
            </w:r>
            <w:r>
              <w:rPr>
                <w:rFonts w:hint="eastAsia" w:ascii="宋体" w:hAnsi="宋体" w:eastAsia="宋体" w:cs="宋体"/>
                <w:bCs/>
                <w:sz w:val="24"/>
                <w:szCs w:val="24"/>
                <w:highlight w:val="none"/>
              </w:rPr>
              <w:t>:00前；</w:t>
            </w:r>
          </w:p>
          <w:p w14:paraId="786D41D2">
            <w:pPr>
              <w:ind w:firstLine="482" w:firstLineChars="200"/>
              <w:jc w:val="left"/>
              <w:rPr>
                <w:rFonts w:ascii="宋体" w:hAnsi="宋体" w:eastAsia="宋体" w:cs="宋体"/>
                <w:b/>
                <w:bCs/>
                <w:sz w:val="24"/>
                <w:szCs w:val="24"/>
                <w:highlight w:val="none"/>
              </w:rPr>
            </w:pPr>
            <w:r>
              <w:rPr>
                <w:rFonts w:hint="eastAsia" w:ascii="宋体" w:hAnsi="宋体" w:eastAsia="宋体" w:cs="宋体"/>
                <w:b/>
                <w:bCs/>
                <w:sz w:val="24"/>
                <w:szCs w:val="24"/>
                <w:highlight w:val="none"/>
              </w:rPr>
              <w:t>提交疑问方式</w:t>
            </w:r>
            <w:r>
              <w:rPr>
                <w:rFonts w:hint="eastAsia" w:ascii="宋体" w:hAnsi="宋体" w:eastAsia="宋体" w:cs="宋体"/>
                <w:sz w:val="24"/>
                <w:szCs w:val="24"/>
                <w:highlight w:val="none"/>
              </w:rPr>
              <w:t>：将答疑问题以word文件格式发送至联系人邮件内，并电话联系工作人员查收，</w:t>
            </w:r>
            <w:r>
              <w:rPr>
                <w:rFonts w:hint="eastAsia" w:ascii="宋体" w:hAnsi="宋体" w:eastAsia="宋体" w:cs="宋体"/>
                <w:b/>
                <w:bCs/>
                <w:sz w:val="24"/>
                <w:szCs w:val="24"/>
                <w:highlight w:val="none"/>
              </w:rPr>
              <w:t>邮件名格式为：XXX公司（五个字以内公司简称）XX项目答疑文件。</w:t>
            </w:r>
          </w:p>
          <w:p w14:paraId="6C3A4979">
            <w:pPr>
              <w:ind w:firstLine="482" w:firstLineChars="200"/>
              <w:jc w:val="left"/>
              <w:rPr>
                <w:rFonts w:ascii="宋体" w:hAnsi="宋体" w:eastAsia="宋体" w:cs="宋体"/>
                <w:sz w:val="24"/>
                <w:szCs w:val="24"/>
                <w:highlight w:val="none"/>
              </w:rPr>
            </w:pPr>
            <w:r>
              <w:rPr>
                <w:rFonts w:hint="eastAsia" w:ascii="宋体" w:hAnsi="宋体" w:eastAsia="宋体" w:cs="宋体"/>
                <w:b/>
                <w:bCs/>
                <w:sz w:val="24"/>
                <w:szCs w:val="24"/>
                <w:highlight w:val="none"/>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highlight w:val="none"/>
              </w:rPr>
              <w:t>法定代表人授权委托书</w:t>
            </w:r>
            <w:r>
              <w:rPr>
                <w:rFonts w:hint="eastAsia" w:ascii="宋体" w:hAnsi="宋体" w:eastAsia="宋体" w:cs="宋体"/>
                <w:b/>
                <w:bCs/>
                <w:sz w:val="24"/>
                <w:szCs w:val="24"/>
                <w:highlight w:val="none"/>
              </w:rPr>
              <w:t>。</w:t>
            </w:r>
          </w:p>
        </w:tc>
      </w:tr>
      <w:tr w14:paraId="17AE00F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5D57061C">
            <w:pPr>
              <w:jc w:val="center"/>
              <w:rPr>
                <w:rFonts w:ascii="宋体" w:hAnsi="宋体" w:eastAsia="宋体" w:cs="宋体"/>
                <w:sz w:val="24"/>
                <w:szCs w:val="24"/>
                <w:highlight w:val="none"/>
              </w:rPr>
            </w:pPr>
            <w:r>
              <w:rPr>
                <w:rFonts w:hint="eastAsia" w:ascii="宋体" w:hAnsi="宋体" w:eastAsia="宋体" w:cs="宋体"/>
                <w:sz w:val="24"/>
                <w:szCs w:val="24"/>
                <w:highlight w:val="none"/>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2F0AD05A">
            <w:pPr>
              <w:shd w:val="clear" w:color="auto"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领取答疑、澄清和修改文件时间：</w:t>
            </w:r>
            <w:r>
              <w:rPr>
                <w:rFonts w:hint="eastAsia" w:ascii="宋体" w:hAnsi="宋体" w:eastAsia="宋体" w:cs="宋体"/>
                <w:color w:val="FF0000"/>
                <w:sz w:val="24"/>
                <w:szCs w:val="24"/>
                <w:highlight w:val="none"/>
              </w:rPr>
              <w:t>2025年</w:t>
            </w:r>
            <w:r>
              <w:rPr>
                <w:rFonts w:hint="eastAsia" w:ascii="宋体" w:hAnsi="宋体" w:eastAsia="宋体" w:cs="宋体"/>
                <w:color w:val="FF0000"/>
                <w:sz w:val="24"/>
                <w:szCs w:val="24"/>
                <w:highlight w:val="none"/>
                <w:lang w:val="en-US" w:eastAsia="zh-CN"/>
              </w:rPr>
              <w:t>12</w:t>
            </w:r>
            <w:r>
              <w:rPr>
                <w:rFonts w:hint="eastAsia" w:ascii="宋体" w:hAnsi="宋体" w:eastAsia="宋体" w:cs="宋体"/>
                <w:color w:val="FF0000"/>
                <w:sz w:val="24"/>
                <w:szCs w:val="24"/>
                <w:highlight w:val="none"/>
              </w:rPr>
              <w:t>月</w:t>
            </w:r>
            <w:r>
              <w:rPr>
                <w:rFonts w:hint="eastAsia" w:ascii="宋体" w:hAnsi="宋体" w:eastAsia="宋体" w:cs="宋体"/>
                <w:color w:val="FF0000"/>
                <w:sz w:val="24"/>
                <w:szCs w:val="24"/>
                <w:highlight w:val="none"/>
                <w:lang w:val="en-US" w:eastAsia="zh-CN"/>
              </w:rPr>
              <w:t>28</w:t>
            </w:r>
            <w:r>
              <w:rPr>
                <w:rFonts w:hint="eastAsia" w:ascii="宋体" w:hAnsi="宋体" w:eastAsia="宋体" w:cs="宋体"/>
                <w:color w:val="FF0000"/>
                <w:sz w:val="24"/>
                <w:szCs w:val="24"/>
                <w:highlight w:val="none"/>
              </w:rPr>
              <w:t>日17:00</w:t>
            </w:r>
            <w:r>
              <w:rPr>
                <w:rFonts w:hint="eastAsia" w:ascii="宋体" w:hAnsi="宋体" w:eastAsia="宋体" w:cs="宋体"/>
                <w:sz w:val="24"/>
                <w:szCs w:val="24"/>
                <w:highlight w:val="none"/>
              </w:rPr>
              <w:t>前；</w:t>
            </w:r>
          </w:p>
          <w:p w14:paraId="2D65B829">
            <w:pPr>
              <w:shd w:val="clear" w:color="auto"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答疑、澄清和修改文件方式：招标人将以电子邮件的方式将招标文件的答疑澄清文件发送至答疑文件提交时登记的电子邮箱。</w:t>
            </w:r>
          </w:p>
        </w:tc>
      </w:tr>
      <w:tr w14:paraId="745411E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124EADE9">
            <w:pPr>
              <w:jc w:val="center"/>
              <w:rPr>
                <w:rFonts w:ascii="宋体" w:hAnsi="宋体" w:eastAsia="宋体" w:cs="宋体"/>
                <w:b/>
                <w:bCs/>
                <w:sz w:val="24"/>
                <w:szCs w:val="24"/>
                <w:highlight w:val="none"/>
              </w:rPr>
            </w:pPr>
            <w:r>
              <w:rPr>
                <w:rFonts w:hint="eastAsia" w:ascii="宋体" w:hAnsi="宋体" w:eastAsia="宋体" w:cs="宋体"/>
                <w:sz w:val="24"/>
                <w:szCs w:val="24"/>
                <w:highlight w:val="none"/>
              </w:rPr>
              <w:t>2.3</w:t>
            </w:r>
          </w:p>
        </w:tc>
        <w:tc>
          <w:tcPr>
            <w:tcW w:w="8363" w:type="dxa"/>
            <w:tcBorders>
              <w:top w:val="single" w:color="auto" w:sz="2" w:space="0"/>
              <w:left w:val="single" w:color="auto" w:sz="2" w:space="0"/>
              <w:bottom w:val="single" w:color="auto" w:sz="2" w:space="0"/>
              <w:right w:val="single" w:color="auto" w:sz="2" w:space="0"/>
            </w:tcBorders>
            <w:vAlign w:val="center"/>
          </w:tcPr>
          <w:p w14:paraId="1EA7D785">
            <w:pPr>
              <w:pStyle w:val="117"/>
              <w:spacing w:line="240" w:lineRule="auto"/>
              <w:ind w:firstLine="482"/>
              <w:rPr>
                <w:rFonts w:eastAsia="宋体" w:cs="宋体"/>
                <w:b/>
                <w:bCs/>
                <w:highlight w:val="none"/>
              </w:rPr>
            </w:pPr>
            <w:r>
              <w:rPr>
                <w:rFonts w:hint="eastAsia" w:eastAsia="宋体" w:cs="宋体"/>
                <w:b/>
                <w:bCs/>
                <w:highlight w:val="none"/>
              </w:rPr>
              <w:t>报名方式：</w:t>
            </w:r>
            <w:r>
              <w:rPr>
                <w:rFonts w:hint="eastAsia" w:eastAsia="宋体" w:cs="宋体"/>
                <w:highlight w:val="none"/>
              </w:rPr>
              <w:t>拟投标人根据招标人在中国重汽官网等公开媒体上发布的招标信息，</w:t>
            </w:r>
            <w:r>
              <w:rPr>
                <w:rFonts w:hint="eastAsia" w:hAnsi="Courier New" w:eastAsia="宋体" w:cs="Times New Roman"/>
                <w:highlight w:val="none"/>
              </w:rPr>
              <w:t>在“中国重汽e采通”平台报名</w:t>
            </w:r>
            <w:r>
              <w:rPr>
                <w:rFonts w:hint="eastAsia" w:eastAsia="宋体" w:cs="宋体"/>
                <w:highlight w:val="none"/>
              </w:rPr>
              <w:t>。</w:t>
            </w:r>
            <w:r>
              <w:rPr>
                <w:rFonts w:hint="eastAsia" w:eastAsia="宋体" w:cs="Times New Roman"/>
                <w:b/>
                <w:bCs/>
                <w:highlight w:val="none"/>
              </w:rPr>
              <w:t>按照中国重汽e采通“SRM非生产供应商注册手册”（附件15）进行注册</w:t>
            </w:r>
            <w:r>
              <w:rPr>
                <w:rFonts w:hint="eastAsia" w:eastAsia="宋体" w:cs="Times New Roman"/>
                <w:highlight w:val="none"/>
              </w:rPr>
              <w:t>，注册完毕后按照</w:t>
            </w:r>
            <w:r>
              <w:rPr>
                <w:rFonts w:hint="eastAsia" w:eastAsia="宋体" w:cs="宋体"/>
                <w:b/>
                <w:highlight w:val="none"/>
              </w:rPr>
              <w:t>“SRM系统供应商用户手册（附件16）”，</w:t>
            </w:r>
            <w:r>
              <w:rPr>
                <w:rFonts w:hint="eastAsia" w:eastAsia="宋体" w:cs="Times New Roman"/>
                <w:highlight w:val="none"/>
              </w:rPr>
              <w:t>登录</w:t>
            </w:r>
            <w:r>
              <w:rPr>
                <w:rFonts w:hint="eastAsia" w:eastAsia="宋体" w:cs="宋体"/>
                <w:b/>
                <w:highlight w:val="none"/>
              </w:rPr>
              <w:t>重汽e采通平台</w:t>
            </w:r>
            <w:r>
              <w:rPr>
                <w:rFonts w:hint="eastAsia" w:eastAsia="宋体" w:cs="Times New Roman"/>
                <w:highlight w:val="none"/>
              </w:rPr>
              <w:t>后进入“供应商应标”，选择对应的项目，点击“</w:t>
            </w:r>
            <w:r>
              <w:rPr>
                <w:rFonts w:hint="eastAsia" w:eastAsia="宋体" w:cs="Times New Roman"/>
                <w:b/>
                <w:bCs/>
                <w:highlight w:val="none"/>
              </w:rPr>
              <w:t>应标</w:t>
            </w:r>
            <w:r>
              <w:rPr>
                <w:rFonts w:hint="eastAsia" w:eastAsia="宋体" w:cs="Times New Roman"/>
                <w:highlight w:val="none"/>
              </w:rPr>
              <w:t>”</w:t>
            </w:r>
            <w:r>
              <w:rPr>
                <w:rFonts w:hint="eastAsia" w:eastAsia="宋体" w:cs="Times New Roman"/>
                <w:b/>
                <w:bCs/>
                <w:highlight w:val="none"/>
              </w:rPr>
              <w:t>后按照招标文件第三部分投标文件组成资格证明文件中的1.1</w:t>
            </w:r>
            <w:r>
              <w:rPr>
                <w:rFonts w:eastAsia="宋体" w:cs="Times New Roman"/>
                <w:b/>
                <w:bCs/>
                <w:highlight w:val="none"/>
              </w:rPr>
              <w:t>-</w:t>
            </w:r>
            <w:r>
              <w:rPr>
                <w:rFonts w:hint="eastAsia" w:eastAsia="宋体" w:cs="Times New Roman"/>
                <w:b/>
                <w:bCs/>
                <w:highlight w:val="none"/>
              </w:rPr>
              <w:t>1.13准备资料并</w:t>
            </w:r>
            <w:r>
              <w:rPr>
                <w:rFonts w:hint="eastAsia" w:eastAsia="宋体" w:cs="Times New Roman"/>
                <w:highlight w:val="none"/>
              </w:rPr>
              <w:t>上传，资质审查通过即为报名成功</w:t>
            </w:r>
            <w:r>
              <w:rPr>
                <w:rFonts w:hint="eastAsia" w:hAnsi="Courier New" w:eastAsia="宋体" w:cs="Times New Roman"/>
                <w:highlight w:val="none"/>
              </w:rPr>
              <w:t>；公示期间请尽快报名</w:t>
            </w:r>
            <w:r>
              <w:rPr>
                <w:rFonts w:hint="eastAsia" w:eastAsia="宋体" w:cs="宋体"/>
                <w:highlight w:val="none"/>
              </w:rPr>
              <w:t>。</w:t>
            </w:r>
          </w:p>
        </w:tc>
      </w:tr>
      <w:tr w14:paraId="6FFD697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32E56F2E">
            <w:pPr>
              <w:jc w:val="left"/>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75A17188">
            <w:pPr>
              <w:pStyle w:val="117"/>
              <w:spacing w:line="240" w:lineRule="auto"/>
              <w:ind w:firstLine="482"/>
              <w:rPr>
                <w:rFonts w:eastAsia="宋体" w:cs="宋体"/>
                <w:highlight w:val="none"/>
              </w:rPr>
            </w:pPr>
            <w:r>
              <w:rPr>
                <w:rFonts w:hint="eastAsia" w:eastAsia="宋体" w:cs="宋体"/>
                <w:b/>
                <w:bCs/>
                <w:highlight w:val="none"/>
              </w:rPr>
              <w:t>应标截止时间：</w:t>
            </w:r>
            <w:r>
              <w:rPr>
                <w:rFonts w:hint="eastAsia" w:eastAsia="宋体" w:cs="宋体"/>
                <w:color w:val="FF0000"/>
                <w:highlight w:val="none"/>
              </w:rPr>
              <w:t>2025年</w:t>
            </w:r>
            <w:r>
              <w:rPr>
                <w:rFonts w:hint="eastAsia" w:eastAsia="宋体" w:cs="宋体"/>
                <w:color w:val="FF0000"/>
                <w:highlight w:val="none"/>
                <w:lang w:val="en-US" w:eastAsia="zh-CN"/>
              </w:rPr>
              <w:t>12</w:t>
            </w:r>
            <w:r>
              <w:rPr>
                <w:rFonts w:hint="eastAsia" w:eastAsia="宋体" w:cs="宋体"/>
                <w:color w:val="FF0000"/>
                <w:highlight w:val="none"/>
              </w:rPr>
              <w:t>月</w:t>
            </w:r>
            <w:r>
              <w:rPr>
                <w:rFonts w:hint="eastAsia" w:eastAsia="宋体" w:cs="宋体"/>
                <w:color w:val="FF0000"/>
                <w:highlight w:val="none"/>
                <w:lang w:val="en-US" w:eastAsia="zh-CN"/>
              </w:rPr>
              <w:t>22</w:t>
            </w:r>
            <w:r>
              <w:rPr>
                <w:rFonts w:hint="eastAsia" w:eastAsia="宋体" w:cs="宋体"/>
                <w:color w:val="FF0000"/>
                <w:highlight w:val="none"/>
              </w:rPr>
              <w:t>日17时00分00秒</w:t>
            </w:r>
          </w:p>
          <w:p w14:paraId="6E8010E3">
            <w:pPr>
              <w:pStyle w:val="117"/>
              <w:spacing w:line="240" w:lineRule="auto"/>
              <w:ind w:firstLine="482"/>
              <w:rPr>
                <w:rFonts w:eastAsia="宋体" w:cs="宋体"/>
                <w:highlight w:val="none"/>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tc>
      </w:tr>
      <w:tr w14:paraId="6355E3A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7E1AE35">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3.投标文件的组成、编制及投递</w:t>
            </w:r>
          </w:p>
        </w:tc>
      </w:tr>
      <w:tr w14:paraId="274B271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1792845B">
            <w:pPr>
              <w:jc w:val="center"/>
              <w:rPr>
                <w:rFonts w:ascii="宋体" w:hAnsi="宋体" w:eastAsia="宋体" w:cs="宋体"/>
                <w:sz w:val="24"/>
                <w:szCs w:val="24"/>
                <w:highlight w:val="none"/>
              </w:rPr>
            </w:pPr>
            <w:r>
              <w:rPr>
                <w:rFonts w:hint="eastAsia" w:ascii="宋体" w:hAnsi="宋体" w:eastAsia="宋体" w:cs="宋体"/>
                <w:sz w:val="24"/>
                <w:szCs w:val="24"/>
                <w:highlight w:val="none"/>
              </w:rPr>
              <w:t>3.1</w:t>
            </w:r>
          </w:p>
        </w:tc>
        <w:tc>
          <w:tcPr>
            <w:tcW w:w="8363" w:type="dxa"/>
            <w:tcBorders>
              <w:top w:val="single" w:color="auto" w:sz="2" w:space="0"/>
              <w:left w:val="single" w:color="auto" w:sz="2" w:space="0"/>
              <w:bottom w:val="single" w:color="auto" w:sz="2" w:space="0"/>
              <w:right w:val="single" w:color="auto" w:sz="2" w:space="0"/>
            </w:tcBorders>
            <w:vAlign w:val="center"/>
          </w:tcPr>
          <w:p w14:paraId="37E5D818">
            <w:pPr>
              <w:ind w:firstLine="480" w:firstLineChars="200"/>
              <w:rPr>
                <w:rFonts w:ascii="宋体" w:hAnsi="宋体" w:eastAsia="宋体" w:cs="宋体"/>
                <w:bCs/>
                <w:sz w:val="24"/>
                <w:szCs w:val="24"/>
                <w:highlight w:val="none"/>
              </w:rPr>
            </w:pPr>
            <w:r>
              <w:rPr>
                <w:rFonts w:hint="eastAsia" w:eastAsia="宋体" w:cs="宋体"/>
                <w:bCs/>
                <w:sz w:val="24"/>
                <w:szCs w:val="24"/>
                <w:highlight w:val="none"/>
              </w:rPr>
              <w:t>本项目投标文件分为</w:t>
            </w:r>
            <w:r>
              <w:rPr>
                <w:rFonts w:hint="eastAsia" w:eastAsia="宋体" w:cs="宋体"/>
                <w:b/>
                <w:sz w:val="24"/>
                <w:szCs w:val="24"/>
                <w:highlight w:val="none"/>
              </w:rPr>
              <w:t>纸质版</w:t>
            </w:r>
            <w:r>
              <w:rPr>
                <w:rFonts w:hint="eastAsia" w:eastAsia="宋体" w:cs="宋体"/>
                <w:bCs/>
                <w:sz w:val="24"/>
                <w:szCs w:val="24"/>
                <w:highlight w:val="none"/>
              </w:rPr>
              <w:t>投标文件和</w:t>
            </w:r>
            <w:r>
              <w:rPr>
                <w:rFonts w:hint="eastAsia" w:eastAsia="宋体" w:cs="宋体"/>
                <w:b/>
                <w:sz w:val="24"/>
                <w:szCs w:val="24"/>
                <w:highlight w:val="none"/>
              </w:rPr>
              <w:t>电子版</w:t>
            </w:r>
            <w:r>
              <w:rPr>
                <w:rFonts w:hint="eastAsia" w:eastAsia="宋体" w:cs="宋体"/>
                <w:bCs/>
                <w:sz w:val="24"/>
                <w:szCs w:val="24"/>
                <w:highlight w:val="none"/>
              </w:rPr>
              <w:t>投标文件（电子版为纸质盖章版的扫描件），均由</w:t>
            </w:r>
            <w:r>
              <w:rPr>
                <w:rFonts w:hint="eastAsia" w:eastAsia="宋体" w:cs="宋体"/>
                <w:b/>
                <w:sz w:val="24"/>
                <w:szCs w:val="24"/>
                <w:highlight w:val="none"/>
              </w:rPr>
              <w:t>《投标文件（资质标）》、《投标文件（技术标）》、《投标文件（商务标）》（开标一览表）</w:t>
            </w:r>
            <w:r>
              <w:rPr>
                <w:rFonts w:hint="eastAsia" w:eastAsia="宋体" w:cs="宋体"/>
                <w:bCs/>
                <w:sz w:val="24"/>
                <w:szCs w:val="24"/>
                <w:highlight w:val="none"/>
              </w:rPr>
              <w:t>文件组成，共计3个文件</w:t>
            </w:r>
            <w:r>
              <w:rPr>
                <w:rFonts w:hint="eastAsia" w:ascii="宋体" w:hAnsi="宋体" w:eastAsia="宋体" w:cs="宋体"/>
                <w:bCs/>
                <w:sz w:val="24"/>
                <w:szCs w:val="24"/>
                <w:highlight w:val="none"/>
              </w:rPr>
              <w:t>。</w:t>
            </w:r>
          </w:p>
          <w:p w14:paraId="27894E90">
            <w:pPr>
              <w:ind w:firstLine="482" w:firstLineChars="200"/>
              <w:rPr>
                <w:rFonts w:ascii="宋体" w:hAnsi="宋体" w:eastAsia="宋体" w:cs="宋体"/>
                <w:b/>
                <w:sz w:val="24"/>
                <w:szCs w:val="24"/>
                <w:highlight w:val="none"/>
              </w:rPr>
            </w:pPr>
            <w:r>
              <w:rPr>
                <w:rFonts w:hint="eastAsia" w:eastAsia="宋体" w:cs="宋体"/>
                <w:b/>
                <w:sz w:val="24"/>
                <w:szCs w:val="24"/>
                <w:highlight w:val="none"/>
              </w:rPr>
              <w:t>《投标文件（资质标）》</w:t>
            </w:r>
            <w:r>
              <w:rPr>
                <w:rFonts w:hint="eastAsia" w:ascii="宋体" w:hAnsi="宋体" w:eastAsia="宋体" w:cs="宋体"/>
                <w:bCs/>
                <w:sz w:val="24"/>
                <w:szCs w:val="24"/>
                <w:highlight w:val="none"/>
              </w:rPr>
              <w:t>一个文件（里面是全部资质投标书），</w:t>
            </w:r>
            <w:r>
              <w:rPr>
                <w:rFonts w:hint="eastAsia" w:eastAsia="宋体" w:cs="宋体"/>
                <w:b/>
                <w:sz w:val="24"/>
                <w:szCs w:val="24"/>
                <w:highlight w:val="none"/>
              </w:rPr>
              <w:t>投标文件（技术标）》</w:t>
            </w:r>
            <w:r>
              <w:rPr>
                <w:rFonts w:hint="eastAsia" w:ascii="宋体" w:hAnsi="宋体" w:eastAsia="宋体" w:cs="宋体"/>
                <w:bCs/>
                <w:sz w:val="24"/>
                <w:szCs w:val="24"/>
                <w:highlight w:val="none"/>
              </w:rPr>
              <w:t>一个文件（里面是全部技术投标书），</w:t>
            </w:r>
            <w:r>
              <w:rPr>
                <w:rFonts w:hint="eastAsia" w:eastAsia="宋体" w:cs="宋体"/>
                <w:b/>
                <w:sz w:val="24"/>
                <w:szCs w:val="24"/>
                <w:highlight w:val="none"/>
              </w:rPr>
              <w:t>《投标文件（商务标）》（开标一览表）</w:t>
            </w:r>
            <w:r>
              <w:rPr>
                <w:rFonts w:hint="eastAsia" w:ascii="宋体" w:hAnsi="宋体" w:eastAsia="宋体" w:cs="宋体"/>
                <w:bCs/>
                <w:sz w:val="24"/>
                <w:szCs w:val="24"/>
                <w:highlight w:val="none"/>
              </w:rPr>
              <w:t>一个文件（里面是全部商务投标书），</w:t>
            </w:r>
            <w:r>
              <w:rPr>
                <w:rFonts w:hint="eastAsia" w:ascii="宋体" w:hAnsi="宋体" w:eastAsia="宋体" w:cs="宋体"/>
                <w:b/>
                <w:sz w:val="24"/>
                <w:szCs w:val="24"/>
                <w:highlight w:val="none"/>
              </w:rPr>
              <w:t>具体组成等详细要求见招标文件第三部分投标文件编制第三条。</w:t>
            </w:r>
          </w:p>
          <w:p w14:paraId="1BDDE66C">
            <w:pPr>
              <w:ind w:firstLine="480" w:firstLineChars="200"/>
              <w:rPr>
                <w:rFonts w:ascii="宋体" w:hAnsi="宋体" w:eastAsia="宋体" w:cs="宋体"/>
                <w:sz w:val="24"/>
                <w:szCs w:val="24"/>
                <w:highlight w:val="none"/>
              </w:rPr>
            </w:pPr>
            <w:r>
              <w:rPr>
                <w:rFonts w:hint="eastAsia" w:ascii="宋体" w:hAnsi="宋体" w:eastAsia="宋体" w:cs="宋体"/>
                <w:bCs/>
                <w:color w:val="000000"/>
                <w:sz w:val="24"/>
                <w:szCs w:val="24"/>
                <w:highlight w:val="none"/>
              </w:rPr>
              <w:t>注意不按此要求提供投标文件的，投标文件做无效标处理。</w:t>
            </w:r>
          </w:p>
        </w:tc>
      </w:tr>
      <w:tr w14:paraId="7FF8B0F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14:paraId="10E69899">
            <w:pPr>
              <w:jc w:val="center"/>
              <w:rPr>
                <w:rFonts w:ascii="宋体" w:hAnsi="宋体" w:eastAsia="宋体" w:cs="宋体"/>
                <w:sz w:val="24"/>
                <w:szCs w:val="24"/>
                <w:highlight w:val="none"/>
              </w:rPr>
            </w:pPr>
            <w:r>
              <w:rPr>
                <w:rFonts w:hint="eastAsia" w:ascii="宋体" w:hAnsi="宋体" w:eastAsia="宋体" w:cs="宋体"/>
                <w:sz w:val="24"/>
                <w:szCs w:val="24"/>
                <w:highlight w:val="none"/>
              </w:rPr>
              <w:t>3.2</w:t>
            </w:r>
          </w:p>
        </w:tc>
        <w:tc>
          <w:tcPr>
            <w:tcW w:w="8363" w:type="dxa"/>
            <w:tcBorders>
              <w:top w:val="single" w:color="auto" w:sz="2" w:space="0"/>
              <w:left w:val="single" w:color="auto" w:sz="2" w:space="0"/>
              <w:bottom w:val="single" w:color="auto" w:sz="2" w:space="0"/>
              <w:right w:val="single" w:color="auto" w:sz="2" w:space="0"/>
            </w:tcBorders>
            <w:vAlign w:val="center"/>
          </w:tcPr>
          <w:p w14:paraId="0B0004A9">
            <w:pPr>
              <w:ind w:firstLine="482" w:firstLineChars="200"/>
              <w:rPr>
                <w:rFonts w:eastAsia="宋体" w:cs="宋体"/>
                <w:bCs/>
                <w:sz w:val="24"/>
                <w:szCs w:val="24"/>
                <w:highlight w:val="none"/>
              </w:rPr>
            </w:pPr>
            <w:r>
              <w:rPr>
                <w:rFonts w:hint="eastAsia" w:eastAsia="宋体" w:cs="宋体"/>
                <w:b/>
                <w:sz w:val="24"/>
                <w:szCs w:val="24"/>
                <w:highlight w:val="none"/>
              </w:rPr>
              <w:t>投标方式：在中国重汽e采通平台应标成功后，进入“供应商投标”环节，投递盖章扫描版电子标书（包含资质标书、技术标书、商务标书），</w:t>
            </w:r>
            <w:r>
              <w:rPr>
                <w:rFonts w:ascii="宋体" w:hAnsi="宋体" w:eastAsia="宋体" w:cs="宋体"/>
                <w:sz w:val="24"/>
                <w:szCs w:val="24"/>
                <w:highlight w:val="none"/>
              </w:rPr>
              <w:t>若逾期未</w:t>
            </w:r>
            <w:r>
              <w:rPr>
                <w:rFonts w:hint="eastAsia" w:ascii="宋体" w:hAnsi="宋体" w:eastAsia="宋体" w:cs="宋体"/>
                <w:sz w:val="24"/>
                <w:szCs w:val="24"/>
                <w:highlight w:val="none"/>
              </w:rPr>
              <w:t>在中国</w:t>
            </w:r>
            <w:r>
              <w:rPr>
                <w:rFonts w:ascii="宋体" w:hAnsi="宋体" w:eastAsia="宋体" w:cs="宋体"/>
                <w:sz w:val="24"/>
                <w:szCs w:val="24"/>
                <w:highlight w:val="none"/>
              </w:rPr>
              <w:t>重汽e采通</w:t>
            </w:r>
            <w:r>
              <w:rPr>
                <w:rFonts w:hint="eastAsia" w:ascii="宋体" w:hAnsi="宋体" w:eastAsia="宋体" w:cs="宋体"/>
                <w:sz w:val="24"/>
                <w:szCs w:val="24"/>
                <w:highlight w:val="none"/>
              </w:rPr>
              <w:t>平台</w:t>
            </w:r>
            <w:r>
              <w:rPr>
                <w:rFonts w:ascii="宋体" w:hAnsi="宋体" w:eastAsia="宋体" w:cs="宋体"/>
                <w:sz w:val="24"/>
                <w:szCs w:val="24"/>
                <w:highlight w:val="none"/>
              </w:rPr>
              <w:t>上传</w:t>
            </w:r>
            <w:r>
              <w:rPr>
                <w:rFonts w:hint="eastAsia" w:ascii="宋体" w:hAnsi="宋体" w:eastAsia="宋体" w:cs="宋体"/>
                <w:sz w:val="24"/>
                <w:szCs w:val="24"/>
                <w:highlight w:val="none"/>
              </w:rPr>
              <w:t>电子</w:t>
            </w:r>
            <w:r>
              <w:rPr>
                <w:rFonts w:ascii="宋体" w:hAnsi="宋体" w:eastAsia="宋体" w:cs="宋体"/>
                <w:sz w:val="24"/>
                <w:szCs w:val="24"/>
                <w:highlight w:val="none"/>
              </w:rPr>
              <w:t>标书，即便递交了纸版投标文件，一律视为无效投标</w:t>
            </w:r>
            <w:r>
              <w:rPr>
                <w:rFonts w:hint="eastAsia" w:eastAsia="宋体" w:cs="宋体"/>
                <w:b/>
                <w:sz w:val="24"/>
                <w:szCs w:val="24"/>
                <w:highlight w:val="none"/>
              </w:rPr>
              <w:t>。</w:t>
            </w:r>
          </w:p>
          <w:p w14:paraId="6F8871E2">
            <w:pPr>
              <w:ind w:firstLine="480" w:firstLineChars="200"/>
              <w:rPr>
                <w:rFonts w:hAnsi="宋体" w:eastAsia="宋体" w:cs="Times New Roman"/>
                <w:color w:val="000000"/>
                <w:sz w:val="24"/>
                <w:szCs w:val="24"/>
                <w:highlight w:val="none"/>
              </w:rPr>
            </w:pPr>
            <w:r>
              <w:rPr>
                <w:rFonts w:hint="eastAsia" w:eastAsia="宋体" w:cs="宋体"/>
                <w:bCs/>
                <w:sz w:val="24"/>
                <w:szCs w:val="24"/>
                <w:highlight w:val="none"/>
              </w:rPr>
              <w:t>纸质版投标文件的份数要求为</w:t>
            </w:r>
            <w:r>
              <w:rPr>
                <w:rFonts w:hint="eastAsia" w:ascii="宋体" w:hAnsi="宋体" w:eastAsia="宋体" w:cs="宋体"/>
                <w:b/>
                <w:sz w:val="24"/>
                <w:szCs w:val="24"/>
                <w:highlight w:val="none"/>
              </w:rPr>
              <w:t>正本一份</w:t>
            </w:r>
            <w:r>
              <w:rPr>
                <w:rFonts w:hint="eastAsia" w:ascii="宋体" w:hAnsi="宋体" w:eastAsia="宋体" w:cs="宋体"/>
                <w:b/>
                <w:sz w:val="24"/>
                <w:szCs w:val="24"/>
                <w:highlight w:val="none"/>
                <w:lang w:eastAsia="zh-CN"/>
              </w:rPr>
              <w:t>、</w:t>
            </w:r>
            <w:r>
              <w:rPr>
                <w:rFonts w:hint="eastAsia" w:ascii="宋体" w:hAnsi="宋体" w:eastAsia="宋体" w:cs="宋体"/>
                <w:b/>
                <w:sz w:val="24"/>
                <w:szCs w:val="24"/>
                <w:highlight w:val="none"/>
                <w:lang w:val="en-US" w:eastAsia="zh-CN"/>
              </w:rPr>
              <w:t>副本一份，</w:t>
            </w:r>
            <w:r>
              <w:rPr>
                <w:rFonts w:hint="eastAsia" w:ascii="宋体" w:hAnsi="宋体" w:eastAsia="宋体" w:cs="宋体"/>
                <w:bCs/>
                <w:sz w:val="24"/>
                <w:szCs w:val="24"/>
                <w:highlight w:val="none"/>
              </w:rPr>
              <w:t>资质投标书、技术投标书及商务投标书的</w:t>
            </w:r>
            <w:r>
              <w:rPr>
                <w:rFonts w:hint="eastAsia" w:eastAsia="宋体" w:cs="宋体"/>
                <w:b/>
                <w:sz w:val="24"/>
                <w:szCs w:val="24"/>
                <w:highlight w:val="none"/>
              </w:rPr>
              <w:t>同类文件封装在一个包封里，包封表面按照附件13标注文件信息；共计三个包封</w:t>
            </w:r>
            <w:r>
              <w:rPr>
                <w:rFonts w:hint="eastAsia" w:eastAsia="宋体" w:cs="宋体"/>
                <w:bCs/>
                <w:sz w:val="24"/>
                <w:szCs w:val="24"/>
                <w:highlight w:val="none"/>
              </w:rPr>
              <w:t>。</w:t>
            </w:r>
          </w:p>
        </w:tc>
      </w:tr>
      <w:tr w14:paraId="6A1F0ED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69" w:hRule="atLeast"/>
        </w:trPr>
        <w:tc>
          <w:tcPr>
            <w:tcW w:w="595" w:type="dxa"/>
            <w:tcBorders>
              <w:top w:val="single" w:color="auto" w:sz="2" w:space="0"/>
              <w:left w:val="single" w:color="auto" w:sz="2" w:space="0"/>
              <w:bottom w:val="single" w:color="auto" w:sz="2" w:space="0"/>
              <w:right w:val="single" w:color="auto" w:sz="2" w:space="0"/>
            </w:tcBorders>
            <w:vAlign w:val="center"/>
          </w:tcPr>
          <w:p w14:paraId="74875D4E">
            <w:pPr>
              <w:jc w:val="center"/>
              <w:rPr>
                <w:rFonts w:ascii="宋体" w:hAnsi="宋体" w:eastAsia="宋体" w:cs="宋体"/>
                <w:sz w:val="24"/>
                <w:szCs w:val="24"/>
                <w:highlight w:val="none"/>
              </w:rPr>
            </w:pPr>
            <w:r>
              <w:rPr>
                <w:rFonts w:hint="eastAsia" w:ascii="宋体" w:hAnsi="宋体" w:eastAsia="宋体" w:cs="宋体"/>
                <w:sz w:val="24"/>
                <w:szCs w:val="24"/>
                <w:highlight w:val="none"/>
              </w:rPr>
              <w:t>3.3</w:t>
            </w:r>
          </w:p>
        </w:tc>
        <w:tc>
          <w:tcPr>
            <w:tcW w:w="8363" w:type="dxa"/>
            <w:tcBorders>
              <w:top w:val="single" w:color="auto" w:sz="2" w:space="0"/>
              <w:left w:val="single" w:color="auto" w:sz="2" w:space="0"/>
              <w:bottom w:val="single" w:color="auto" w:sz="2" w:space="0"/>
              <w:right w:val="single" w:color="auto" w:sz="2" w:space="0"/>
            </w:tcBorders>
            <w:vAlign w:val="center"/>
          </w:tcPr>
          <w:p w14:paraId="5D9EF355">
            <w:pPr>
              <w:pStyle w:val="17"/>
              <w:ind w:firstLine="482" w:firstLineChars="200"/>
              <w:rPr>
                <w:rFonts w:hAnsi="宋体" w:eastAsia="宋体" w:cs="宋体"/>
                <w:b/>
                <w:bCs/>
                <w:sz w:val="24"/>
                <w:szCs w:val="24"/>
                <w:highlight w:val="none"/>
              </w:rPr>
            </w:pPr>
            <w:r>
              <w:rPr>
                <w:rFonts w:hint="eastAsia" w:hAnsi="宋体" w:eastAsia="宋体" w:cs="宋体"/>
                <w:b/>
                <w:bCs/>
                <w:sz w:val="24"/>
                <w:highlight w:val="none"/>
              </w:rPr>
              <w:t>纸质版投标文件和电子版投标文件必须保证内容一致；如确实存在不一致的，以电子标书为准，同时要求投标人对纸版标书做出</w:t>
            </w:r>
            <w:bookmarkStart w:id="51" w:name="_GoBack"/>
            <w:bookmarkEnd w:id="51"/>
            <w:r>
              <w:rPr>
                <w:rFonts w:hint="eastAsia" w:hAnsi="宋体" w:eastAsia="宋体" w:cs="宋体"/>
                <w:b/>
                <w:bCs/>
                <w:sz w:val="24"/>
                <w:highlight w:val="none"/>
              </w:rPr>
              <w:t>修正。</w:t>
            </w:r>
          </w:p>
        </w:tc>
      </w:tr>
      <w:tr w14:paraId="1A96535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14:paraId="1C981479">
            <w:pPr>
              <w:jc w:val="center"/>
              <w:rPr>
                <w:rFonts w:ascii="宋体" w:hAnsi="宋体" w:eastAsia="宋体" w:cs="宋体"/>
                <w:sz w:val="24"/>
                <w:szCs w:val="24"/>
                <w:highlight w:val="none"/>
              </w:rPr>
            </w:pPr>
            <w:r>
              <w:rPr>
                <w:rFonts w:hint="eastAsia" w:ascii="宋体" w:hAnsi="宋体" w:eastAsia="宋体" w:cs="宋体"/>
                <w:sz w:val="24"/>
                <w:szCs w:val="24"/>
                <w:highlight w:val="none"/>
              </w:rPr>
              <w:t>3.4</w:t>
            </w:r>
          </w:p>
        </w:tc>
        <w:tc>
          <w:tcPr>
            <w:tcW w:w="8363" w:type="dxa"/>
            <w:tcBorders>
              <w:top w:val="single" w:color="auto" w:sz="2" w:space="0"/>
              <w:left w:val="single" w:color="auto" w:sz="2" w:space="0"/>
              <w:bottom w:val="single" w:color="auto" w:sz="2" w:space="0"/>
              <w:right w:val="single" w:color="auto" w:sz="2" w:space="0"/>
            </w:tcBorders>
            <w:vAlign w:val="center"/>
          </w:tcPr>
          <w:p w14:paraId="42EDCFC0">
            <w:pPr>
              <w:pStyle w:val="13"/>
              <w:spacing w:before="0" w:after="0" w:afterLines="0" w:line="240" w:lineRule="auto"/>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投标文件的装订：</w:t>
            </w:r>
            <w:r>
              <w:rPr>
                <w:rFonts w:hint="eastAsia" w:ascii="宋体" w:hAnsi="宋体" w:eastAsia="宋体" w:cs="宋体"/>
                <w:sz w:val="24"/>
                <w:szCs w:val="24"/>
                <w:highlight w:val="none"/>
              </w:rPr>
              <w:t>投标人必须将投标文件按照资质标文件1册、技术标文件1册、商务标文件1册</w:t>
            </w:r>
            <w:r>
              <w:rPr>
                <w:rFonts w:hint="eastAsia" w:ascii="宋体" w:hAnsi="宋体" w:eastAsia="宋体" w:cs="宋体"/>
                <w:b/>
                <w:bCs/>
                <w:sz w:val="24"/>
                <w:szCs w:val="24"/>
                <w:highlight w:val="none"/>
              </w:rPr>
              <w:t>分别进行</w:t>
            </w:r>
            <w:r>
              <w:rPr>
                <w:rFonts w:hint="eastAsia" w:ascii="宋体" w:hAnsi="宋体" w:eastAsia="宋体" w:cs="宋体"/>
                <w:bCs/>
                <w:sz w:val="24"/>
                <w:szCs w:val="24"/>
                <w:highlight w:val="none"/>
              </w:rPr>
              <w:t>胶装</w:t>
            </w:r>
            <w:r>
              <w:rPr>
                <w:rFonts w:hint="eastAsia" w:ascii="宋体" w:hAnsi="宋体" w:eastAsia="宋体" w:cs="宋体"/>
                <w:sz w:val="24"/>
                <w:szCs w:val="24"/>
                <w:highlight w:val="none"/>
              </w:rPr>
              <w:t>，各自不允许超过两册。</w:t>
            </w:r>
          </w:p>
          <w:p w14:paraId="150977C9">
            <w:pPr>
              <w:pStyle w:val="17"/>
              <w:ind w:firstLine="482" w:firstLineChars="200"/>
              <w:rPr>
                <w:rFonts w:eastAsia="宋体" w:cs="宋体" w:asciiTheme="minorHAnsi" w:hAnsiTheme="minorHAnsi"/>
                <w:b/>
                <w:sz w:val="24"/>
                <w:szCs w:val="24"/>
                <w:highlight w:val="none"/>
              </w:rPr>
            </w:pPr>
            <w:r>
              <w:rPr>
                <w:rFonts w:hint="eastAsia" w:hAnsi="宋体" w:eastAsia="宋体" w:cs="宋体"/>
                <w:b/>
                <w:bCs/>
                <w:sz w:val="24"/>
                <w:szCs w:val="24"/>
                <w:highlight w:val="none"/>
              </w:rPr>
              <w:t>技术标书和商务标书不单独装订的，投标文件做无效标处理。</w:t>
            </w:r>
          </w:p>
        </w:tc>
      </w:tr>
      <w:tr w14:paraId="023BDDC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14DB172E">
            <w:pPr>
              <w:jc w:val="center"/>
              <w:rPr>
                <w:rFonts w:ascii="宋体" w:hAnsi="宋体" w:eastAsia="宋体" w:cs="宋体"/>
                <w:sz w:val="24"/>
                <w:szCs w:val="24"/>
                <w:highlight w:val="none"/>
              </w:rPr>
            </w:pPr>
            <w:r>
              <w:rPr>
                <w:rFonts w:hint="eastAsia" w:ascii="宋体" w:hAnsi="宋体" w:eastAsia="宋体" w:cs="宋体"/>
                <w:sz w:val="24"/>
                <w:szCs w:val="24"/>
                <w:highlight w:val="none"/>
              </w:rPr>
              <w:t>3.5</w:t>
            </w:r>
          </w:p>
        </w:tc>
        <w:tc>
          <w:tcPr>
            <w:tcW w:w="8363" w:type="dxa"/>
            <w:tcBorders>
              <w:top w:val="single" w:color="auto" w:sz="2" w:space="0"/>
              <w:left w:val="single" w:color="auto" w:sz="2" w:space="0"/>
              <w:bottom w:val="single" w:color="auto" w:sz="2" w:space="0"/>
              <w:right w:val="single" w:color="auto" w:sz="2" w:space="0"/>
            </w:tcBorders>
            <w:vAlign w:val="center"/>
          </w:tcPr>
          <w:p w14:paraId="168539FA">
            <w:pPr>
              <w:pStyle w:val="17"/>
              <w:ind w:firstLine="482" w:firstLineChars="200"/>
              <w:rPr>
                <w:rFonts w:hAnsi="宋体" w:eastAsia="宋体" w:cs="宋体"/>
                <w:sz w:val="24"/>
                <w:szCs w:val="24"/>
                <w:highlight w:val="none"/>
              </w:rPr>
            </w:pPr>
            <w:r>
              <w:rPr>
                <w:rFonts w:hint="eastAsia" w:hAnsi="宋体" w:eastAsia="宋体" w:cs="宋体"/>
                <w:b/>
                <w:bCs/>
                <w:sz w:val="24"/>
                <w:szCs w:val="24"/>
                <w:highlight w:val="none"/>
              </w:rPr>
              <w:t>投标文件递交截止时间：</w:t>
            </w:r>
            <w:r>
              <w:rPr>
                <w:rFonts w:hint="eastAsia" w:hAnsi="宋体" w:eastAsia="宋体" w:cs="宋体"/>
                <w:color w:val="FF0000"/>
                <w:sz w:val="24"/>
                <w:szCs w:val="24"/>
                <w:highlight w:val="none"/>
                <w:u w:val="single"/>
              </w:rPr>
              <w:t>2025年</w:t>
            </w:r>
            <w:r>
              <w:rPr>
                <w:rFonts w:hint="eastAsia" w:hAnsi="宋体" w:eastAsia="宋体" w:cs="宋体"/>
                <w:color w:val="FF0000"/>
                <w:sz w:val="24"/>
                <w:szCs w:val="24"/>
                <w:highlight w:val="none"/>
                <w:u w:val="single"/>
                <w:lang w:val="en-US" w:eastAsia="zh-CN"/>
              </w:rPr>
              <w:t>12</w:t>
            </w:r>
            <w:r>
              <w:rPr>
                <w:rFonts w:hint="eastAsia" w:hAnsi="宋体" w:eastAsia="宋体" w:cs="宋体"/>
                <w:color w:val="FF0000"/>
                <w:sz w:val="24"/>
                <w:szCs w:val="24"/>
                <w:highlight w:val="none"/>
                <w:u w:val="single"/>
              </w:rPr>
              <w:t>月</w:t>
            </w:r>
            <w:r>
              <w:rPr>
                <w:rFonts w:hint="eastAsia" w:hAnsi="宋体" w:eastAsia="宋体" w:cs="宋体"/>
                <w:color w:val="FF0000"/>
                <w:sz w:val="24"/>
                <w:szCs w:val="24"/>
                <w:highlight w:val="none"/>
                <w:u w:val="single"/>
                <w:lang w:val="en-US" w:eastAsia="zh-CN"/>
              </w:rPr>
              <w:t>31</w:t>
            </w:r>
            <w:r>
              <w:rPr>
                <w:rFonts w:hint="eastAsia" w:hAnsi="宋体" w:eastAsia="宋体" w:cs="宋体"/>
                <w:color w:val="FF0000"/>
                <w:sz w:val="24"/>
                <w:szCs w:val="24"/>
                <w:highlight w:val="none"/>
              </w:rPr>
              <w:t>日</w:t>
            </w:r>
            <w:r>
              <w:rPr>
                <w:rFonts w:hint="eastAsia" w:hAnsi="宋体" w:eastAsia="宋体" w:cs="宋体"/>
                <w:sz w:val="24"/>
                <w:szCs w:val="24"/>
                <w:highlight w:val="none"/>
                <w:lang w:val="en-US" w:eastAsia="zh-CN"/>
                <w:woUserID w:val="1"/>
              </w:rPr>
              <w:t>9</w:t>
            </w:r>
            <w:r>
              <w:rPr>
                <w:rFonts w:hint="eastAsia" w:hAnsi="宋体" w:eastAsia="宋体" w:cs="宋体"/>
                <w:sz w:val="24"/>
                <w:szCs w:val="24"/>
                <w:highlight w:val="none"/>
              </w:rPr>
              <w:t>:00:00（北京时间）</w:t>
            </w:r>
          </w:p>
          <w:p w14:paraId="7C0D701C">
            <w:pPr>
              <w:pStyle w:val="17"/>
              <w:ind w:firstLine="482" w:firstLineChars="200"/>
              <w:rPr>
                <w:rFonts w:hAnsi="宋体" w:eastAsia="宋体" w:cs="宋体"/>
                <w:sz w:val="24"/>
                <w:szCs w:val="24"/>
                <w:highlight w:val="none"/>
              </w:rPr>
            </w:pPr>
            <w:r>
              <w:rPr>
                <w:rFonts w:hint="eastAsia" w:hAnsi="宋体" w:eastAsia="宋体" w:cs="宋体"/>
                <w:b/>
                <w:bCs/>
                <w:sz w:val="24"/>
                <w:szCs w:val="24"/>
                <w:highlight w:val="none"/>
              </w:rPr>
              <w:t>注：请务必在投标文件递交截止时间前完成投标操作，截止时间精确到秒，逾期将无法投标。请自行掌握时间，避免无法投标</w:t>
            </w:r>
            <w:r>
              <w:rPr>
                <w:rFonts w:hint="eastAsia" w:eastAsia="宋体" w:cs="宋体"/>
                <w:b/>
                <w:bCs/>
                <w:sz w:val="24"/>
                <w:szCs w:val="28"/>
                <w:highlight w:val="none"/>
              </w:rPr>
              <w:t>。</w:t>
            </w:r>
          </w:p>
        </w:tc>
      </w:tr>
      <w:tr w14:paraId="1D4C1C2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1AFFD35F">
            <w:pPr>
              <w:jc w:val="center"/>
              <w:rPr>
                <w:rFonts w:ascii="宋体" w:hAnsi="宋体" w:eastAsia="宋体" w:cs="宋体"/>
                <w:sz w:val="24"/>
                <w:szCs w:val="24"/>
                <w:highlight w:val="none"/>
              </w:rPr>
            </w:pPr>
            <w:r>
              <w:rPr>
                <w:rFonts w:hint="eastAsia" w:ascii="宋体" w:hAnsi="宋体" w:eastAsia="宋体" w:cs="宋体"/>
                <w:sz w:val="24"/>
                <w:szCs w:val="24"/>
                <w:highlight w:val="none"/>
              </w:rPr>
              <w:t>3.6</w:t>
            </w:r>
          </w:p>
        </w:tc>
        <w:tc>
          <w:tcPr>
            <w:tcW w:w="8363" w:type="dxa"/>
            <w:tcBorders>
              <w:top w:val="single" w:color="auto" w:sz="2" w:space="0"/>
              <w:left w:val="single" w:color="auto" w:sz="2" w:space="0"/>
              <w:bottom w:val="single" w:color="auto" w:sz="2" w:space="0"/>
              <w:right w:val="single" w:color="auto" w:sz="2" w:space="0"/>
            </w:tcBorders>
            <w:vAlign w:val="center"/>
          </w:tcPr>
          <w:p w14:paraId="0384DE20">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投标文件有效期：</w:t>
            </w:r>
            <w:r>
              <w:rPr>
                <w:rFonts w:hint="eastAsia" w:ascii="宋体" w:hAnsi="宋体" w:eastAsia="宋体" w:cs="宋体"/>
                <w:sz w:val="24"/>
                <w:szCs w:val="24"/>
                <w:highlight w:val="none"/>
              </w:rPr>
              <w:t>自开标之日起90个日历日。</w:t>
            </w:r>
          </w:p>
        </w:tc>
      </w:tr>
      <w:tr w14:paraId="24346C5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B8FA0B2">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4.投标保证金及投标有效期</w:t>
            </w:r>
          </w:p>
        </w:tc>
      </w:tr>
      <w:tr w14:paraId="02CAE09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1B7680D5">
            <w:pPr>
              <w:jc w:val="center"/>
              <w:rPr>
                <w:rFonts w:ascii="宋体" w:hAnsi="宋体" w:eastAsia="宋体" w:cs="宋体"/>
                <w:sz w:val="24"/>
                <w:szCs w:val="24"/>
                <w:highlight w:val="none"/>
              </w:rPr>
            </w:pPr>
            <w:r>
              <w:rPr>
                <w:rFonts w:hint="eastAsia" w:ascii="宋体" w:hAnsi="宋体" w:eastAsia="宋体" w:cs="宋体"/>
                <w:sz w:val="24"/>
                <w:szCs w:val="24"/>
                <w:highlight w:val="none"/>
              </w:rPr>
              <w:t>4.1</w:t>
            </w:r>
          </w:p>
        </w:tc>
        <w:tc>
          <w:tcPr>
            <w:tcW w:w="8363" w:type="dxa"/>
            <w:tcBorders>
              <w:top w:val="single" w:color="auto" w:sz="2" w:space="0"/>
              <w:left w:val="single" w:color="auto" w:sz="2" w:space="0"/>
              <w:bottom w:val="single" w:color="auto" w:sz="2" w:space="0"/>
              <w:right w:val="single" w:color="auto" w:sz="2" w:space="0"/>
            </w:tcBorders>
            <w:vAlign w:val="center"/>
          </w:tcPr>
          <w:p w14:paraId="38550E4F">
            <w:pPr>
              <w:ind w:firstLine="482" w:firstLineChars="200"/>
              <w:rPr>
                <w:rFonts w:hint="default" w:ascii="宋体" w:hAnsi="宋体" w:eastAsia="宋体" w:cs="宋体"/>
                <w:sz w:val="24"/>
                <w:szCs w:val="24"/>
                <w:highlight w:val="none"/>
                <w:lang w:val="en-US" w:eastAsia="zh-CN"/>
              </w:rPr>
            </w:pPr>
            <w:r>
              <w:rPr>
                <w:rFonts w:hint="eastAsia" w:ascii="宋体" w:hAnsi="宋体" w:eastAsia="宋体" w:cs="宋体"/>
                <w:b/>
                <w:bCs/>
                <w:sz w:val="24"/>
                <w:szCs w:val="24"/>
                <w:highlight w:val="none"/>
              </w:rPr>
              <w:t>投标保证金的缴纳形式：</w:t>
            </w:r>
            <w:r>
              <w:rPr>
                <w:rFonts w:hint="eastAsia" w:ascii="宋体" w:hAnsi="宋体" w:eastAsia="宋体" w:cs="宋体"/>
                <w:sz w:val="24"/>
                <w:szCs w:val="24"/>
                <w:highlight w:val="none"/>
                <w:lang w:val="en-US" w:eastAsia="zh-CN"/>
              </w:rPr>
              <w:t>银行基本账户转账</w:t>
            </w:r>
          </w:p>
        </w:tc>
      </w:tr>
      <w:tr w14:paraId="3F786F4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14:paraId="4CD48B16">
            <w:pPr>
              <w:jc w:val="center"/>
              <w:rPr>
                <w:rFonts w:ascii="宋体" w:hAnsi="宋体" w:eastAsia="宋体" w:cs="宋体"/>
                <w:sz w:val="24"/>
                <w:szCs w:val="24"/>
                <w:highlight w:val="none"/>
              </w:rPr>
            </w:pPr>
            <w:r>
              <w:rPr>
                <w:rFonts w:hint="eastAsia" w:ascii="宋体" w:hAnsi="宋体" w:eastAsia="宋体" w:cs="宋体"/>
                <w:sz w:val="24"/>
                <w:szCs w:val="24"/>
                <w:highlight w:val="none"/>
              </w:rPr>
              <w:t>4.2</w:t>
            </w:r>
          </w:p>
        </w:tc>
        <w:tc>
          <w:tcPr>
            <w:tcW w:w="8363" w:type="dxa"/>
            <w:tcBorders>
              <w:top w:val="single" w:color="auto" w:sz="2" w:space="0"/>
              <w:left w:val="single" w:color="auto" w:sz="2" w:space="0"/>
              <w:bottom w:val="single" w:color="auto" w:sz="2" w:space="0"/>
              <w:right w:val="single" w:color="auto" w:sz="2" w:space="0"/>
            </w:tcBorders>
            <w:vAlign w:val="center"/>
          </w:tcPr>
          <w:p w14:paraId="03ED8A93">
            <w:pPr>
              <w:tabs>
                <w:tab w:val="left" w:pos="932"/>
              </w:tabs>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20</w:t>
            </w:r>
            <w:r>
              <w:rPr>
                <w:rFonts w:hint="eastAsia" w:ascii="宋体" w:hAnsi="宋体" w:eastAsia="宋体" w:cs="宋体"/>
                <w:sz w:val="24"/>
                <w:szCs w:val="24"/>
                <w:highlight w:val="yellow"/>
              </w:rPr>
              <w:t>0</w:t>
            </w:r>
            <w:r>
              <w:rPr>
                <w:rFonts w:hint="default" w:ascii="宋体" w:hAnsi="宋体" w:eastAsia="宋体" w:cs="宋体"/>
                <w:sz w:val="24"/>
                <w:szCs w:val="24"/>
                <w:highlight w:val="yellow"/>
                <w:woUserID w:val="1"/>
              </w:rPr>
              <w:t>0</w:t>
            </w:r>
            <w:r>
              <w:rPr>
                <w:rFonts w:hint="eastAsia" w:ascii="宋体" w:hAnsi="宋体" w:eastAsia="宋体" w:cs="宋体"/>
                <w:sz w:val="24"/>
                <w:szCs w:val="24"/>
                <w:highlight w:val="yellow"/>
              </w:rPr>
              <w:t>00元</w:t>
            </w:r>
          </w:p>
          <w:p w14:paraId="1250C089">
            <w:pPr>
              <w:ind w:firstLine="482" w:firstLineChars="200"/>
              <w:rPr>
                <w:rFonts w:hint="eastAsia" w:ascii="宋体" w:hAnsi="宋体" w:eastAsia="宋体" w:cs="宋体"/>
                <w:b/>
                <w:bCs/>
                <w:color w:val="000000"/>
                <w:kern w:val="0"/>
                <w:sz w:val="24"/>
                <w:szCs w:val="24"/>
                <w:highlight w:val="none"/>
                <w:lang w:eastAsia="zh-CN"/>
              </w:rPr>
            </w:pPr>
            <w:r>
              <w:rPr>
                <w:rFonts w:hint="eastAsia" w:ascii="宋体" w:hAnsi="宋体" w:eastAsia="宋体" w:cs="宋体"/>
                <w:b/>
                <w:bCs/>
                <w:color w:val="000000"/>
                <w:kern w:val="0"/>
                <w:sz w:val="24"/>
                <w:szCs w:val="24"/>
                <w:highlight w:val="none"/>
              </w:rPr>
              <w:t>单位名称：</w:t>
            </w:r>
            <w:r>
              <w:rPr>
                <w:rFonts w:hint="eastAsia" w:ascii="宋体" w:hAnsi="宋体" w:eastAsia="宋体" w:cs="宋体"/>
                <w:b/>
                <w:bCs/>
                <w:color w:val="000000"/>
                <w:kern w:val="0"/>
                <w:sz w:val="24"/>
                <w:szCs w:val="24"/>
                <w:highlight w:val="none"/>
                <w:lang w:eastAsia="zh-CN"/>
              </w:rPr>
              <w:t>中国重汽集团杭州发动机有限公司</w:t>
            </w:r>
          </w:p>
          <w:p w14:paraId="63AA0443">
            <w:pPr>
              <w:ind w:firstLine="482" w:firstLineChars="200"/>
              <w:rPr>
                <w:rFonts w:hint="eastAsia" w:ascii="宋体" w:hAnsi="宋体" w:eastAsia="宋体" w:cs="宋体"/>
                <w:b/>
                <w:bCs/>
                <w:color w:val="000000"/>
                <w:kern w:val="0"/>
                <w:sz w:val="24"/>
                <w:szCs w:val="24"/>
                <w:highlight w:val="none"/>
                <w:lang w:eastAsia="zh-CN"/>
              </w:rPr>
            </w:pPr>
            <w:r>
              <w:rPr>
                <w:rFonts w:hint="eastAsia" w:ascii="宋体" w:hAnsi="宋体" w:eastAsia="宋体" w:cs="宋体"/>
                <w:b/>
                <w:bCs/>
                <w:color w:val="000000"/>
                <w:kern w:val="0"/>
                <w:sz w:val="24"/>
                <w:szCs w:val="24"/>
                <w:highlight w:val="none"/>
              </w:rPr>
              <w:t>单位名称：</w:t>
            </w:r>
            <w:r>
              <w:rPr>
                <w:rFonts w:hint="eastAsia" w:ascii="宋体" w:hAnsi="宋体" w:eastAsia="宋体" w:cs="宋体"/>
                <w:b/>
                <w:bCs/>
                <w:color w:val="000000"/>
                <w:kern w:val="0"/>
                <w:sz w:val="24"/>
                <w:szCs w:val="24"/>
                <w:highlight w:val="none"/>
                <w:lang w:eastAsia="zh-CN"/>
              </w:rPr>
              <w:t>中国重汽集团杭州发动机有限公司</w:t>
            </w:r>
          </w:p>
          <w:p w14:paraId="3E6D2DAF">
            <w:pPr>
              <w:ind w:firstLine="482" w:firstLineChars="200"/>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开户名称：中国重汽集团杭州发动机有限公司</w:t>
            </w:r>
          </w:p>
          <w:p w14:paraId="773860E7">
            <w:pPr>
              <w:ind w:firstLine="482" w:firstLineChars="200"/>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开户银行：工行半道红支行</w:t>
            </w:r>
          </w:p>
          <w:p w14:paraId="08062C36">
            <w:pPr>
              <w:ind w:firstLine="482" w:firstLineChars="200"/>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银行帐号：1202051439900007785</w:t>
            </w:r>
          </w:p>
          <w:p w14:paraId="12D04F07">
            <w:pPr>
              <w:ind w:firstLine="482" w:firstLineChars="200"/>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联行号：102331005147</w:t>
            </w:r>
          </w:p>
          <w:p w14:paraId="5C49EE92">
            <w:pPr>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14:paraId="58A0FC0A">
            <w:pPr>
              <w:ind w:firstLine="480" w:firstLineChars="200"/>
              <w:rPr>
                <w:rFonts w:ascii="宋体" w:hAnsi="宋体" w:eastAsia="宋体" w:cs="宋体"/>
                <w:sz w:val="24"/>
                <w:szCs w:val="24"/>
                <w:highlight w:val="none"/>
              </w:rPr>
            </w:pPr>
            <w:r>
              <w:rPr>
                <w:rFonts w:hint="eastAsia" w:eastAsia="宋体" w:cs="Times New Roman"/>
                <w:sz w:val="24"/>
                <w:szCs w:val="28"/>
                <w:highlight w:val="none"/>
              </w:rPr>
              <w:t>转账附言：投标保证金</w:t>
            </w:r>
            <w:r>
              <w:rPr>
                <w:rFonts w:hint="eastAsia" w:eastAsia="宋体" w:cs="Times New Roman"/>
                <w:sz w:val="24"/>
                <w:szCs w:val="28"/>
                <w:highlight w:val="none"/>
                <w:lang w:val="en-US" w:eastAsia="zh-CN"/>
              </w:rPr>
              <w:t>+试车台架系统更新改造项目</w:t>
            </w:r>
            <w:r>
              <w:rPr>
                <w:rFonts w:hint="eastAsia" w:ascii="宋体" w:hAnsi="宋体" w:eastAsia="宋体" w:cs="宋体"/>
                <w:b/>
                <w:bCs/>
                <w:sz w:val="24"/>
                <w:szCs w:val="24"/>
                <w:highlight w:val="none"/>
                <w:lang w:val="en-US" w:eastAsia="zh-CN"/>
              </w:rPr>
              <w:t>+</w:t>
            </w:r>
            <w:r>
              <w:rPr>
                <w:rFonts w:hint="eastAsia" w:eastAsia="宋体" w:cs="Times New Roman"/>
                <w:sz w:val="24"/>
                <w:szCs w:val="28"/>
                <w:highlight w:val="none"/>
              </w:rPr>
              <w:t>公司</w:t>
            </w:r>
            <w:r>
              <w:rPr>
                <w:rFonts w:hint="eastAsia" w:eastAsia="宋体" w:cs="Times New Roman"/>
                <w:sz w:val="24"/>
                <w:szCs w:val="28"/>
                <w:highlight w:val="none"/>
                <w:lang w:val="en-US" w:eastAsia="zh-CN"/>
              </w:rPr>
              <w:t>简</w:t>
            </w:r>
            <w:r>
              <w:rPr>
                <w:rFonts w:hint="eastAsia" w:eastAsia="宋体" w:cs="Times New Roman"/>
                <w:sz w:val="24"/>
                <w:szCs w:val="28"/>
                <w:highlight w:val="none"/>
              </w:rPr>
              <w:t>称。</w:t>
            </w:r>
          </w:p>
        </w:tc>
      </w:tr>
      <w:tr w14:paraId="4C4758D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7A917254">
            <w:pPr>
              <w:jc w:val="center"/>
              <w:rPr>
                <w:rFonts w:ascii="宋体" w:hAnsi="宋体" w:eastAsia="宋体" w:cs="宋体"/>
                <w:sz w:val="24"/>
                <w:szCs w:val="24"/>
                <w:highlight w:val="none"/>
              </w:rPr>
            </w:pPr>
            <w:r>
              <w:rPr>
                <w:rFonts w:hint="eastAsia" w:ascii="宋体" w:hAnsi="宋体" w:eastAsia="宋体" w:cs="宋体"/>
                <w:sz w:val="24"/>
                <w:szCs w:val="24"/>
                <w:highlight w:val="none"/>
              </w:rPr>
              <w:t>4.3</w:t>
            </w:r>
          </w:p>
        </w:tc>
        <w:tc>
          <w:tcPr>
            <w:tcW w:w="8363" w:type="dxa"/>
            <w:tcBorders>
              <w:top w:val="single" w:color="auto" w:sz="2" w:space="0"/>
              <w:left w:val="single" w:color="auto" w:sz="2" w:space="0"/>
              <w:bottom w:val="single" w:color="auto" w:sz="2" w:space="0"/>
              <w:right w:val="single" w:color="auto" w:sz="2" w:space="0"/>
            </w:tcBorders>
            <w:vAlign w:val="center"/>
          </w:tcPr>
          <w:p w14:paraId="31344ED6">
            <w:pPr>
              <w:pStyle w:val="35"/>
              <w:spacing w:after="0" w:line="240" w:lineRule="auto"/>
              <w:ind w:left="0" w:leftChars="0" w:firstLine="482"/>
              <w:rPr>
                <w:rFonts w:ascii="宋体" w:hAnsi="宋体" w:cs="宋体"/>
                <w:color w:val="FF0000"/>
                <w:sz w:val="24"/>
                <w:szCs w:val="24"/>
                <w:highlight w:val="none"/>
              </w:rPr>
            </w:pPr>
            <w:r>
              <w:rPr>
                <w:rFonts w:hint="eastAsia" w:ascii="宋体" w:hAnsi="宋体" w:cs="宋体"/>
                <w:b/>
                <w:bCs/>
                <w:sz w:val="24"/>
                <w:szCs w:val="24"/>
                <w:highlight w:val="none"/>
              </w:rPr>
              <w:t>保证金缴纳截止时间：</w:t>
            </w:r>
            <w:r>
              <w:rPr>
                <w:rFonts w:hint="eastAsia" w:ascii="宋体" w:hAnsi="宋体" w:cs="宋体"/>
                <w:color w:val="FF0000"/>
                <w:sz w:val="24"/>
                <w:szCs w:val="24"/>
                <w:highlight w:val="none"/>
              </w:rPr>
              <w:t>2025年</w:t>
            </w:r>
            <w:r>
              <w:rPr>
                <w:rFonts w:hint="eastAsia" w:ascii="宋体" w:hAnsi="宋体" w:cs="宋体"/>
                <w:color w:val="FF0000"/>
                <w:sz w:val="24"/>
                <w:szCs w:val="24"/>
                <w:highlight w:val="none"/>
                <w:lang w:val="en-US" w:eastAsia="zh-CN"/>
              </w:rPr>
              <w:t>12</w:t>
            </w:r>
            <w:r>
              <w:rPr>
                <w:rFonts w:hint="eastAsia" w:ascii="宋体" w:hAnsi="宋体" w:cs="宋体"/>
                <w:color w:val="FF0000"/>
                <w:sz w:val="24"/>
                <w:szCs w:val="24"/>
                <w:highlight w:val="none"/>
              </w:rPr>
              <w:t>月</w:t>
            </w:r>
            <w:r>
              <w:rPr>
                <w:rFonts w:hint="eastAsia" w:ascii="宋体" w:hAnsi="宋体" w:cs="宋体"/>
                <w:color w:val="FF0000"/>
                <w:sz w:val="24"/>
                <w:szCs w:val="24"/>
                <w:highlight w:val="none"/>
                <w:lang w:val="en-US" w:eastAsia="zh-CN"/>
              </w:rPr>
              <w:t>26</w:t>
            </w:r>
            <w:r>
              <w:rPr>
                <w:rFonts w:hint="eastAsia" w:ascii="宋体" w:hAnsi="宋体" w:cs="宋体"/>
                <w:color w:val="FF0000"/>
                <w:sz w:val="24"/>
                <w:szCs w:val="24"/>
                <w:highlight w:val="none"/>
              </w:rPr>
              <w:t>日</w:t>
            </w:r>
            <w:r>
              <w:rPr>
                <w:rFonts w:hint="eastAsia" w:ascii="宋体" w:hAnsi="宋体" w:cs="宋体"/>
                <w:color w:val="FF0000"/>
                <w:sz w:val="24"/>
                <w:szCs w:val="24"/>
                <w:highlight w:val="none"/>
                <w:lang w:val="en-US" w:eastAsia="zh-CN"/>
              </w:rPr>
              <w:t>17</w:t>
            </w:r>
            <w:r>
              <w:rPr>
                <w:rFonts w:hint="eastAsia" w:ascii="宋体" w:hAnsi="宋体" w:cs="宋体"/>
                <w:color w:val="FF0000"/>
                <w:sz w:val="24"/>
                <w:szCs w:val="24"/>
                <w:highlight w:val="none"/>
              </w:rPr>
              <w:t>：</w:t>
            </w:r>
            <w:r>
              <w:rPr>
                <w:rFonts w:ascii="宋体" w:hAnsi="宋体" w:cs="宋体"/>
                <w:color w:val="FF0000"/>
                <w:sz w:val="24"/>
                <w:szCs w:val="24"/>
                <w:highlight w:val="none"/>
              </w:rPr>
              <w:t>0</w:t>
            </w:r>
            <w:r>
              <w:rPr>
                <w:rFonts w:hint="eastAsia" w:ascii="宋体" w:hAnsi="宋体" w:cs="宋体"/>
                <w:color w:val="FF0000"/>
                <w:sz w:val="24"/>
                <w:szCs w:val="24"/>
                <w:highlight w:val="none"/>
              </w:rPr>
              <w:t>0前</w:t>
            </w:r>
          </w:p>
          <w:p w14:paraId="093187B9">
            <w:pPr>
              <w:pStyle w:val="35"/>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供应商应充分考虑银行信息交换时间，由此带来的保证金不能按时到帐的责任由供应商自行承担。</w:t>
            </w:r>
          </w:p>
        </w:tc>
      </w:tr>
      <w:tr w14:paraId="1E60A18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3D74A5D1">
            <w:pPr>
              <w:jc w:val="center"/>
              <w:rPr>
                <w:rFonts w:ascii="宋体" w:hAnsi="宋体" w:eastAsia="宋体" w:cs="宋体"/>
                <w:sz w:val="24"/>
                <w:szCs w:val="24"/>
                <w:highlight w:val="none"/>
              </w:rPr>
            </w:pPr>
            <w:r>
              <w:rPr>
                <w:rFonts w:hint="eastAsia" w:ascii="宋体" w:hAnsi="宋体" w:eastAsia="宋体" w:cs="宋体"/>
                <w:sz w:val="24"/>
                <w:szCs w:val="24"/>
                <w:highlight w:val="none"/>
              </w:rPr>
              <w:t>4.4</w:t>
            </w:r>
          </w:p>
        </w:tc>
        <w:tc>
          <w:tcPr>
            <w:tcW w:w="8363" w:type="dxa"/>
            <w:tcBorders>
              <w:top w:val="single" w:color="auto" w:sz="2" w:space="0"/>
              <w:left w:val="single" w:color="auto" w:sz="2" w:space="0"/>
              <w:bottom w:val="single" w:color="auto" w:sz="2" w:space="0"/>
              <w:right w:val="single" w:color="auto" w:sz="2" w:space="0"/>
            </w:tcBorders>
            <w:vAlign w:val="center"/>
          </w:tcPr>
          <w:p w14:paraId="3901465C">
            <w:pPr>
              <w:pStyle w:val="35"/>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对于没有中标的投标人，投标保证金将于招标人内部完成中标人评审并确认最终中标人后在</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内予以原路返还（无息）；对于中标方，投标保证金将在签订合同后</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内原路返还（无息）。</w:t>
            </w:r>
          </w:p>
        </w:tc>
      </w:tr>
      <w:tr w14:paraId="0A2FAEE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5378C351">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5.开评标</w:t>
            </w:r>
          </w:p>
        </w:tc>
      </w:tr>
      <w:tr w14:paraId="705EC61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6B366454">
            <w:pPr>
              <w:jc w:val="center"/>
              <w:rPr>
                <w:rFonts w:ascii="宋体" w:hAnsi="宋体" w:eastAsia="宋体" w:cs="宋体"/>
                <w:sz w:val="24"/>
                <w:szCs w:val="24"/>
                <w:highlight w:val="none"/>
              </w:rPr>
            </w:pPr>
            <w:r>
              <w:rPr>
                <w:rFonts w:hint="eastAsia" w:ascii="宋体" w:hAnsi="宋体" w:eastAsia="宋体" w:cs="宋体"/>
                <w:sz w:val="24"/>
                <w:szCs w:val="24"/>
                <w:highlight w:val="none"/>
              </w:rPr>
              <w:t>5.1</w:t>
            </w:r>
          </w:p>
        </w:tc>
        <w:tc>
          <w:tcPr>
            <w:tcW w:w="8363" w:type="dxa"/>
            <w:tcBorders>
              <w:top w:val="single" w:color="auto" w:sz="2" w:space="0"/>
              <w:left w:val="single" w:color="auto" w:sz="2" w:space="0"/>
              <w:bottom w:val="single" w:color="auto" w:sz="2" w:space="0"/>
              <w:right w:val="single" w:color="auto" w:sz="2" w:space="0"/>
            </w:tcBorders>
            <w:vAlign w:val="center"/>
          </w:tcPr>
          <w:p w14:paraId="0D49B688">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开标时间：</w:t>
            </w:r>
            <w:r>
              <w:rPr>
                <w:rFonts w:hint="eastAsia" w:ascii="宋体" w:hAnsi="宋体" w:eastAsia="宋体" w:cs="宋体"/>
                <w:color w:val="FF0000"/>
                <w:sz w:val="24"/>
                <w:szCs w:val="24"/>
                <w:highlight w:val="none"/>
              </w:rPr>
              <w:t>2025年</w:t>
            </w:r>
            <w:r>
              <w:rPr>
                <w:rFonts w:hint="eastAsia" w:ascii="宋体" w:hAnsi="宋体" w:eastAsia="宋体" w:cs="宋体"/>
                <w:color w:val="FF0000"/>
                <w:sz w:val="24"/>
                <w:szCs w:val="24"/>
                <w:highlight w:val="none"/>
                <w:lang w:val="en-US" w:eastAsia="zh-CN"/>
              </w:rPr>
              <w:t>12</w:t>
            </w:r>
            <w:r>
              <w:rPr>
                <w:rFonts w:hint="eastAsia" w:ascii="宋体" w:hAnsi="宋体" w:eastAsia="宋体" w:cs="宋体"/>
                <w:color w:val="FF0000"/>
                <w:sz w:val="24"/>
                <w:szCs w:val="24"/>
                <w:highlight w:val="none"/>
              </w:rPr>
              <w:t>月</w:t>
            </w:r>
            <w:r>
              <w:rPr>
                <w:rFonts w:hint="eastAsia" w:ascii="宋体" w:hAnsi="宋体" w:eastAsia="宋体" w:cs="宋体"/>
                <w:color w:val="FF0000"/>
                <w:sz w:val="24"/>
                <w:szCs w:val="24"/>
                <w:highlight w:val="none"/>
                <w:lang w:val="en-US" w:eastAsia="zh-CN"/>
              </w:rPr>
              <w:t>31</w:t>
            </w:r>
            <w:r>
              <w:rPr>
                <w:rFonts w:hint="eastAsia" w:ascii="宋体" w:hAnsi="宋体" w:cs="宋体"/>
                <w:color w:val="FF0000"/>
                <w:sz w:val="24"/>
                <w:szCs w:val="24"/>
                <w:highlight w:val="none"/>
              </w:rPr>
              <w:t>日</w:t>
            </w:r>
            <w:r>
              <w:rPr>
                <w:rFonts w:hint="eastAsia" w:ascii="宋体" w:hAnsi="宋体" w:cs="宋体"/>
                <w:color w:val="FF0000"/>
                <w:sz w:val="24"/>
                <w:szCs w:val="24"/>
                <w:highlight w:val="none"/>
                <w:lang w:val="en-US" w:eastAsia="zh-CN"/>
                <w:woUserID w:val="1"/>
              </w:rPr>
              <w:t>9</w:t>
            </w:r>
            <w:r>
              <w:rPr>
                <w:rFonts w:hint="eastAsia" w:ascii="宋体" w:hAnsi="宋体" w:cs="宋体"/>
                <w:color w:val="FF0000"/>
                <w:sz w:val="24"/>
                <w:szCs w:val="24"/>
                <w:highlight w:val="none"/>
              </w:rPr>
              <w:t>:00:00</w:t>
            </w:r>
            <w:r>
              <w:rPr>
                <w:rFonts w:hint="eastAsia" w:ascii="宋体" w:hAnsi="宋体" w:eastAsia="宋体" w:cs="宋体"/>
                <w:color w:val="FF0000"/>
                <w:kern w:val="0"/>
                <w:sz w:val="24"/>
                <w:szCs w:val="24"/>
                <w:highlight w:val="none"/>
              </w:rPr>
              <w:t>。</w:t>
            </w:r>
          </w:p>
          <w:p w14:paraId="3C9829DC">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开标地点：</w:t>
            </w:r>
            <w:r>
              <w:rPr>
                <w:rFonts w:hint="eastAsia" w:ascii="宋体" w:hAnsi="宋体" w:eastAsia="宋体" w:cs="宋体"/>
                <w:b w:val="0"/>
                <w:bCs w:val="0"/>
                <w:sz w:val="24"/>
                <w:szCs w:val="24"/>
                <w:highlight w:val="none"/>
                <w:lang w:val="en-US" w:eastAsia="zh-CN"/>
              </w:rPr>
              <w:t>济南市历城区华奥路777号重汽科技大厦3楼会议室，具体会议室</w:t>
            </w:r>
            <w:r>
              <w:rPr>
                <w:rFonts w:hint="eastAsia" w:ascii="宋体" w:hAnsi="宋体" w:eastAsia="宋体" w:cs="宋体"/>
                <w:sz w:val="24"/>
                <w:szCs w:val="24"/>
                <w:highlight w:val="none"/>
                <w:lang w:val="en-US" w:eastAsia="zh-CN"/>
              </w:rPr>
              <w:t>开标前通知</w:t>
            </w:r>
            <w:r>
              <w:rPr>
                <w:rFonts w:hint="eastAsia" w:ascii="宋体" w:hAnsi="宋体" w:eastAsia="宋体" w:cs="宋体"/>
                <w:sz w:val="24"/>
                <w:szCs w:val="24"/>
                <w:highlight w:val="none"/>
              </w:rPr>
              <w:t>。</w:t>
            </w:r>
          </w:p>
        </w:tc>
      </w:tr>
      <w:tr w14:paraId="28C7E50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14:paraId="6B411488">
            <w:pPr>
              <w:jc w:val="center"/>
              <w:rPr>
                <w:rFonts w:ascii="宋体" w:hAnsi="宋体" w:eastAsia="宋体" w:cs="宋体"/>
                <w:sz w:val="24"/>
                <w:szCs w:val="24"/>
                <w:highlight w:val="none"/>
              </w:rPr>
            </w:pPr>
            <w:r>
              <w:rPr>
                <w:rFonts w:hint="eastAsia" w:ascii="宋体" w:hAnsi="宋体" w:eastAsia="宋体" w:cs="宋体"/>
                <w:sz w:val="24"/>
                <w:szCs w:val="24"/>
                <w:highlight w:val="none"/>
              </w:rPr>
              <w:t>5.2</w:t>
            </w:r>
          </w:p>
        </w:tc>
        <w:tc>
          <w:tcPr>
            <w:tcW w:w="8363" w:type="dxa"/>
            <w:tcBorders>
              <w:top w:val="single" w:color="auto" w:sz="2" w:space="0"/>
              <w:left w:val="single" w:color="auto" w:sz="2" w:space="0"/>
              <w:bottom w:val="single" w:color="auto" w:sz="2" w:space="0"/>
              <w:right w:val="single" w:color="auto" w:sz="2" w:space="0"/>
            </w:tcBorders>
            <w:vAlign w:val="center"/>
          </w:tcPr>
          <w:p w14:paraId="192DF314">
            <w:pPr>
              <w:pStyle w:val="12"/>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评标方法：资质标审核→唱标→技术标评审→商务标评审。综合评标法，技术标30%，商务标70%。</w:t>
            </w:r>
            <w:r>
              <w:rPr>
                <w:rFonts w:hint="eastAsia" w:ascii="宋体" w:hAnsi="宋体" w:eastAsia="宋体" w:cs="宋体"/>
                <w:sz w:val="24"/>
                <w:szCs w:val="24"/>
                <w:highlight w:val="none"/>
              </w:rPr>
              <w:t>具体详见“第二部分投标须知第六条：评标原则”。</w:t>
            </w:r>
          </w:p>
        </w:tc>
      </w:tr>
      <w:tr w14:paraId="18FE68E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8088CAB">
            <w:pPr>
              <w:jc w:val="center"/>
              <w:rPr>
                <w:rFonts w:ascii="宋体" w:hAnsi="宋体" w:eastAsia="宋体" w:cs="宋体"/>
                <w:sz w:val="24"/>
                <w:szCs w:val="24"/>
                <w:highlight w:val="none"/>
              </w:rPr>
            </w:pPr>
            <w:r>
              <w:rPr>
                <w:rFonts w:hint="eastAsia" w:ascii="宋体" w:hAnsi="宋体" w:eastAsia="宋体" w:cs="宋体"/>
                <w:b/>
                <w:bCs/>
                <w:sz w:val="24"/>
                <w:szCs w:val="24"/>
                <w:highlight w:val="none"/>
              </w:rPr>
              <w:t>6.合同签订</w:t>
            </w:r>
          </w:p>
        </w:tc>
      </w:tr>
      <w:tr w14:paraId="58401B4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54F4F638">
            <w:pPr>
              <w:jc w:val="center"/>
              <w:rPr>
                <w:rFonts w:ascii="宋体" w:hAnsi="宋体" w:eastAsia="宋体" w:cs="宋体"/>
                <w:sz w:val="24"/>
                <w:szCs w:val="24"/>
                <w:highlight w:val="none"/>
              </w:rPr>
            </w:pPr>
            <w:r>
              <w:rPr>
                <w:rFonts w:hint="eastAsia" w:ascii="宋体" w:hAnsi="宋体" w:eastAsia="宋体" w:cs="宋体"/>
                <w:sz w:val="24"/>
                <w:szCs w:val="24"/>
                <w:highlight w:val="none"/>
              </w:rPr>
              <w:t>6.1</w:t>
            </w:r>
          </w:p>
        </w:tc>
        <w:tc>
          <w:tcPr>
            <w:tcW w:w="8363" w:type="dxa"/>
            <w:tcBorders>
              <w:top w:val="single" w:color="auto" w:sz="2" w:space="0"/>
              <w:left w:val="single" w:color="auto" w:sz="2" w:space="0"/>
              <w:bottom w:val="single" w:color="auto" w:sz="2" w:space="0"/>
              <w:right w:val="single" w:color="auto" w:sz="2" w:space="0"/>
            </w:tcBorders>
            <w:vAlign w:val="center"/>
          </w:tcPr>
          <w:p w14:paraId="189F8F53">
            <w:pPr>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见第二部分投标须知第七条。</w:t>
            </w:r>
          </w:p>
        </w:tc>
      </w:tr>
      <w:tr w14:paraId="50C22B1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AD2548A">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7.交货期及付款方式</w:t>
            </w:r>
          </w:p>
        </w:tc>
      </w:tr>
      <w:tr w14:paraId="04038A9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14:paraId="31DFA21B">
            <w:pPr>
              <w:jc w:val="center"/>
              <w:rPr>
                <w:rFonts w:ascii="宋体" w:hAnsi="宋体" w:eastAsia="宋体" w:cs="宋体"/>
                <w:sz w:val="24"/>
                <w:szCs w:val="24"/>
                <w:highlight w:val="none"/>
              </w:rPr>
            </w:pPr>
            <w:r>
              <w:rPr>
                <w:rFonts w:hint="eastAsia" w:ascii="宋体" w:hAnsi="宋体" w:eastAsia="宋体" w:cs="宋体"/>
                <w:sz w:val="24"/>
                <w:szCs w:val="24"/>
                <w:highlight w:val="none"/>
              </w:rPr>
              <w:t>7.1</w:t>
            </w:r>
          </w:p>
        </w:tc>
        <w:tc>
          <w:tcPr>
            <w:tcW w:w="8363" w:type="dxa"/>
            <w:tcBorders>
              <w:top w:val="single" w:color="auto" w:sz="2" w:space="0"/>
              <w:left w:val="single" w:color="auto" w:sz="2" w:space="0"/>
              <w:bottom w:val="single" w:color="auto" w:sz="2" w:space="0"/>
              <w:right w:val="single" w:color="auto" w:sz="2" w:space="0"/>
            </w:tcBorders>
            <w:vAlign w:val="center"/>
          </w:tcPr>
          <w:p w14:paraId="12547639">
            <w:pPr>
              <w:pStyle w:val="17"/>
              <w:ind w:firstLine="482" w:firstLineChars="200"/>
              <w:rPr>
                <w:rFonts w:hAnsi="宋体" w:eastAsia="宋体" w:cs="宋体"/>
                <w:b/>
                <w:bCs/>
                <w:color w:val="000000"/>
                <w:sz w:val="24"/>
                <w:szCs w:val="24"/>
                <w:highlight w:val="none"/>
              </w:rPr>
            </w:pPr>
            <w:r>
              <w:rPr>
                <w:rFonts w:hint="eastAsia" w:hAnsi="宋体" w:eastAsia="宋体" w:cs="宋体"/>
                <w:b/>
                <w:bCs/>
                <w:color w:val="000000"/>
                <w:sz w:val="24"/>
                <w:szCs w:val="24"/>
                <w:highlight w:val="none"/>
              </w:rPr>
              <w:t>交货期：</w:t>
            </w:r>
          </w:p>
          <w:p w14:paraId="00EAB12B">
            <w:pPr>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w:t>
            </w:r>
            <w:r>
              <w:rPr>
                <w:rFonts w:hint="eastAsia" w:ascii="宋体" w:hAnsi="宋体" w:eastAsia="宋体" w:cs="宋体"/>
                <w:sz w:val="24"/>
                <w:szCs w:val="24"/>
              </w:rPr>
              <w:t xml:space="preserve"> 投标方应自</w:t>
            </w:r>
            <w:r>
              <w:rPr>
                <w:rFonts w:hint="eastAsia" w:ascii="宋体" w:hAnsi="宋体" w:eastAsia="宋体" w:cs="宋体"/>
                <w:sz w:val="24"/>
                <w:szCs w:val="24"/>
                <w:lang w:val="en-US" w:eastAsia="zh-CN"/>
              </w:rPr>
              <w:t>合同签定</w:t>
            </w:r>
            <w:r>
              <w:rPr>
                <w:rFonts w:hint="eastAsia" w:ascii="宋体" w:hAnsi="宋体" w:eastAsia="宋体" w:cs="宋体"/>
                <w:sz w:val="24"/>
                <w:szCs w:val="24"/>
              </w:rPr>
              <w:t>之日起，</w:t>
            </w:r>
            <w:r>
              <w:rPr>
                <w:rFonts w:hint="eastAsia" w:ascii="宋体" w:hAnsi="宋体" w:eastAsia="宋体" w:cs="宋体"/>
                <w:color w:val="FF0000"/>
                <w:sz w:val="24"/>
                <w:szCs w:val="24"/>
                <w:lang w:val="en-US" w:eastAsia="zh-CN"/>
              </w:rPr>
              <w:t>180</w:t>
            </w:r>
            <w:r>
              <w:rPr>
                <w:rFonts w:hint="eastAsia" w:ascii="宋体" w:hAnsi="宋体" w:eastAsia="宋体" w:cs="宋体"/>
                <w:sz w:val="24"/>
                <w:szCs w:val="24"/>
              </w:rPr>
              <w:t>个日历日之内交货至供货地点</w:t>
            </w:r>
          </w:p>
          <w:p w14:paraId="2BC228F4">
            <w:pPr>
              <w:rPr>
                <w:rFonts w:hint="default" w:hAnsi="宋体" w:eastAsia="宋体" w:cs="宋体"/>
                <w:color w:val="000000"/>
                <w:sz w:val="24"/>
                <w:szCs w:val="24"/>
                <w:highlight w:val="none"/>
                <w:lang w:val="en-US" w:eastAsia="zh-CN"/>
              </w:rPr>
            </w:pPr>
            <w:r>
              <w:rPr>
                <w:rFonts w:hint="eastAsia" w:ascii="宋体" w:hAnsi="宋体" w:eastAsia="宋体" w:cs="宋体"/>
                <w:sz w:val="24"/>
                <w:szCs w:val="24"/>
              </w:rPr>
              <w:t xml:space="preserve">2. 接续 </w:t>
            </w:r>
            <w:r>
              <w:rPr>
                <w:rFonts w:hint="eastAsia" w:ascii="宋体" w:hAnsi="宋体" w:eastAsia="宋体" w:cs="宋体"/>
                <w:color w:val="FF0000"/>
                <w:sz w:val="24"/>
                <w:szCs w:val="24"/>
                <w:lang w:val="en-US" w:eastAsia="zh-CN"/>
              </w:rPr>
              <w:t>60</w:t>
            </w:r>
            <w:r>
              <w:rPr>
                <w:rFonts w:hint="eastAsia" w:ascii="宋体" w:hAnsi="宋体" w:eastAsia="宋体" w:cs="宋体"/>
                <w:color w:val="FF0000"/>
                <w:sz w:val="24"/>
                <w:szCs w:val="24"/>
              </w:rPr>
              <w:t xml:space="preserve"> </w:t>
            </w:r>
            <w:r>
              <w:rPr>
                <w:rFonts w:hint="eastAsia" w:ascii="宋体" w:hAnsi="宋体" w:eastAsia="宋体" w:cs="宋体"/>
                <w:sz w:val="24"/>
                <w:szCs w:val="24"/>
              </w:rPr>
              <w:t>个日历日之内安装调试完毕；</w:t>
            </w:r>
          </w:p>
        </w:tc>
      </w:tr>
      <w:tr w14:paraId="12E476D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1759340B">
            <w:pPr>
              <w:jc w:val="center"/>
              <w:rPr>
                <w:rFonts w:ascii="宋体" w:hAnsi="宋体" w:eastAsia="宋体" w:cs="宋体"/>
                <w:sz w:val="24"/>
                <w:szCs w:val="24"/>
                <w:highlight w:val="none"/>
              </w:rPr>
            </w:pPr>
            <w:r>
              <w:rPr>
                <w:rFonts w:hint="eastAsia" w:ascii="宋体" w:hAnsi="宋体" w:eastAsia="宋体" w:cs="宋体"/>
                <w:sz w:val="24"/>
                <w:szCs w:val="24"/>
                <w:highlight w:val="none"/>
              </w:rPr>
              <w:t>7.2</w:t>
            </w:r>
          </w:p>
        </w:tc>
        <w:tc>
          <w:tcPr>
            <w:tcW w:w="8363" w:type="dxa"/>
            <w:tcBorders>
              <w:top w:val="single" w:color="auto" w:sz="2" w:space="0"/>
              <w:left w:val="single" w:color="auto" w:sz="2" w:space="0"/>
              <w:bottom w:val="single" w:color="auto" w:sz="2" w:space="0"/>
              <w:right w:val="single" w:color="auto" w:sz="2" w:space="0"/>
            </w:tcBorders>
            <w:vAlign w:val="center"/>
          </w:tcPr>
          <w:p w14:paraId="1C1D92F9">
            <w:pPr>
              <w:pStyle w:val="17"/>
              <w:ind w:firstLine="482" w:firstLineChars="200"/>
              <w:rPr>
                <w:rFonts w:hAnsi="宋体" w:eastAsia="宋体" w:cs="宋体"/>
                <w:color w:val="000000"/>
                <w:sz w:val="24"/>
                <w:szCs w:val="24"/>
                <w:highlight w:val="none"/>
              </w:rPr>
            </w:pPr>
            <w:r>
              <w:rPr>
                <w:rFonts w:hint="eastAsia" w:hAnsi="宋体" w:eastAsia="宋体" w:cs="宋体"/>
                <w:b/>
                <w:bCs/>
                <w:color w:val="000000"/>
                <w:sz w:val="24"/>
                <w:szCs w:val="24"/>
                <w:highlight w:val="none"/>
              </w:rPr>
              <w:t>交货方式：</w:t>
            </w:r>
            <w:r>
              <w:rPr>
                <w:rFonts w:hint="eastAsia" w:hAnsi="宋体" w:eastAsia="宋体" w:cs="宋体"/>
                <w:color w:val="000000"/>
                <w:sz w:val="24"/>
                <w:szCs w:val="24"/>
                <w:highlight w:val="none"/>
              </w:rPr>
              <w:t>交钥匙方式；</w:t>
            </w:r>
          </w:p>
          <w:p w14:paraId="261436BF">
            <w:pPr>
              <w:pStyle w:val="17"/>
              <w:ind w:firstLine="482" w:firstLineChars="200"/>
              <w:rPr>
                <w:rFonts w:hint="eastAsia" w:hAnsi="宋体" w:eastAsia="宋体" w:cs="宋体"/>
                <w:color w:val="000000"/>
                <w:sz w:val="24"/>
                <w:szCs w:val="24"/>
                <w:highlight w:val="none"/>
                <w:lang w:eastAsia="zh-CN"/>
              </w:rPr>
            </w:pPr>
            <w:r>
              <w:rPr>
                <w:rFonts w:hint="eastAsia" w:hAnsi="宋体" w:eastAsia="宋体" w:cs="宋体"/>
                <w:b/>
                <w:bCs/>
                <w:color w:val="000000"/>
                <w:sz w:val="24"/>
                <w:szCs w:val="24"/>
                <w:highlight w:val="none"/>
              </w:rPr>
              <w:t>交货地点：</w:t>
            </w:r>
            <w:r>
              <w:rPr>
                <w:rFonts w:hint="eastAsia" w:hAnsi="宋体" w:eastAsia="宋体" w:cs="宋体"/>
                <w:color w:val="000000"/>
                <w:sz w:val="24"/>
                <w:szCs w:val="24"/>
                <w:highlight w:val="none"/>
                <w:lang w:eastAsia="zh-CN"/>
              </w:rPr>
              <w:t>中国重汽集团杭州发动机有限公司</w:t>
            </w:r>
          </w:p>
        </w:tc>
      </w:tr>
      <w:tr w14:paraId="4B8B6F3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347F4401">
            <w:pPr>
              <w:jc w:val="center"/>
              <w:rPr>
                <w:rFonts w:ascii="宋体" w:hAnsi="宋体" w:eastAsia="宋体" w:cs="宋体"/>
                <w:sz w:val="24"/>
                <w:szCs w:val="24"/>
                <w:highlight w:val="none"/>
              </w:rPr>
            </w:pPr>
            <w:r>
              <w:rPr>
                <w:rFonts w:hint="eastAsia" w:ascii="宋体" w:hAnsi="宋体" w:eastAsia="宋体" w:cs="宋体"/>
                <w:sz w:val="24"/>
                <w:szCs w:val="24"/>
                <w:highlight w:val="none"/>
              </w:rPr>
              <w:t>7.3</w:t>
            </w:r>
          </w:p>
        </w:tc>
        <w:tc>
          <w:tcPr>
            <w:tcW w:w="8363" w:type="dxa"/>
            <w:tcBorders>
              <w:top w:val="single" w:color="auto" w:sz="2" w:space="0"/>
              <w:left w:val="single" w:color="auto" w:sz="2" w:space="0"/>
              <w:bottom w:val="single" w:color="auto" w:sz="2" w:space="0"/>
              <w:right w:val="single" w:color="auto" w:sz="2" w:space="0"/>
            </w:tcBorders>
            <w:vAlign w:val="center"/>
          </w:tcPr>
          <w:p w14:paraId="3C7FA121">
            <w:pPr>
              <w:pStyle w:val="12"/>
              <w:ind w:firstLine="482" w:firstLineChars="200"/>
              <w:rPr>
                <w:rFonts w:ascii="宋体" w:hAnsi="宋体" w:eastAsia="宋体" w:cs="宋体"/>
                <w:sz w:val="24"/>
                <w:szCs w:val="24"/>
                <w:highlight w:val="none"/>
              </w:rPr>
            </w:pPr>
            <w:r>
              <w:rPr>
                <w:rFonts w:hint="eastAsia" w:ascii="宋体" w:hAnsi="宋体" w:eastAsia="宋体" w:cs="宋体"/>
                <w:b/>
                <w:sz w:val="24"/>
                <w:szCs w:val="24"/>
                <w:highlight w:val="none"/>
              </w:rPr>
              <w:t>质保期：自设备验收文件最终签署之日起</w:t>
            </w:r>
            <w:r>
              <w:rPr>
                <w:rFonts w:hint="eastAsia" w:ascii="宋体" w:hAnsi="宋体" w:eastAsia="宋体" w:cs="宋体"/>
                <w:b/>
                <w:sz w:val="24"/>
                <w:szCs w:val="24"/>
                <w:highlight w:val="none"/>
                <w:u w:val="single"/>
                <w:lang w:val="en-US" w:eastAsia="zh-CN"/>
              </w:rPr>
              <w:t>1</w:t>
            </w:r>
            <w:r>
              <w:rPr>
                <w:rFonts w:hint="eastAsia" w:ascii="宋体" w:hAnsi="宋体" w:eastAsia="宋体" w:cs="宋体"/>
                <w:b/>
                <w:sz w:val="24"/>
                <w:szCs w:val="24"/>
                <w:highlight w:val="none"/>
              </w:rPr>
              <w:t>年。</w:t>
            </w:r>
            <w:r>
              <w:rPr>
                <w:rFonts w:hint="eastAsia" w:ascii="宋体" w:hAnsi="宋体" w:eastAsia="宋体" w:cs="宋体"/>
                <w:sz w:val="24"/>
                <w:szCs w:val="24"/>
                <w:highlight w:val="none"/>
              </w:rPr>
              <w:t>（投标人可在满足上述最短质保期基础上竞报）</w:t>
            </w:r>
          </w:p>
        </w:tc>
      </w:tr>
      <w:tr w14:paraId="4A8299C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76DFEEC7">
            <w:pPr>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7.4</w:t>
            </w:r>
          </w:p>
        </w:tc>
        <w:tc>
          <w:tcPr>
            <w:tcW w:w="8363" w:type="dxa"/>
            <w:tcBorders>
              <w:top w:val="single" w:color="auto" w:sz="2" w:space="0"/>
              <w:left w:val="single" w:color="auto" w:sz="4" w:space="0"/>
              <w:bottom w:val="single" w:color="auto" w:sz="2" w:space="0"/>
              <w:right w:val="single" w:color="auto" w:sz="2" w:space="0"/>
            </w:tcBorders>
            <w:vAlign w:val="center"/>
          </w:tcPr>
          <w:p w14:paraId="26F3AADB">
            <w:pPr>
              <w:pStyle w:val="35"/>
              <w:spacing w:after="0" w:line="240" w:lineRule="auto"/>
              <w:ind w:firstLine="482"/>
              <w:rPr>
                <w:rFonts w:ascii="宋体" w:hAnsi="宋体" w:cs="宋体"/>
                <w:b/>
                <w:bCs/>
                <w:sz w:val="24"/>
                <w:szCs w:val="24"/>
              </w:rPr>
            </w:pPr>
            <w:r>
              <w:rPr>
                <w:rFonts w:hint="eastAsia" w:ascii="宋体" w:hAnsi="宋体" w:cs="宋体"/>
                <w:b/>
                <w:bCs/>
                <w:sz w:val="24"/>
                <w:szCs w:val="24"/>
                <w:u w:val="single"/>
              </w:rPr>
              <w:t>付款方式：半年期商业汇票（包括银行承兑汇票和商业承兑汇票）</w:t>
            </w:r>
          </w:p>
          <w:p w14:paraId="0D7C6A92">
            <w:pPr>
              <w:pStyle w:val="13"/>
              <w:spacing w:before="36"/>
              <w:ind w:right="150"/>
              <w:rPr>
                <w:rFonts w:ascii="宋体" w:hAnsi="宋体" w:eastAsia="宋体" w:cs="宋体"/>
                <w:color w:val="FF0000"/>
                <w:kern w:val="2"/>
                <w:sz w:val="24"/>
                <w:szCs w:val="24"/>
                <w:lang w:val="en-US" w:eastAsia="zh-CN" w:bidi="ar-SA"/>
              </w:rPr>
            </w:pPr>
            <w:r>
              <w:rPr>
                <w:rFonts w:ascii="宋体" w:hAnsi="宋体" w:eastAsia="宋体" w:cs="宋体"/>
                <w:color w:val="FF0000"/>
                <w:kern w:val="2"/>
                <w:sz w:val="24"/>
                <w:szCs w:val="24"/>
                <w:lang w:val="en-US" w:eastAsia="zh-CN" w:bidi="ar-SA"/>
              </w:rPr>
              <w:t>A.</w:t>
            </w:r>
            <w:r>
              <w:rPr>
                <w:rFonts w:hint="eastAsia" w:ascii="宋体" w:hAnsi="宋体" w:eastAsia="宋体" w:cs="宋体"/>
                <w:color w:val="FF0000"/>
                <w:kern w:val="2"/>
                <w:sz w:val="24"/>
                <w:szCs w:val="24"/>
                <w:lang w:val="en-US" w:eastAsia="zh-CN" w:bidi="ar-SA"/>
              </w:rPr>
              <w:t xml:space="preserve"> 合同签订后完成设计图纸审核并出具审图纪要，</w:t>
            </w:r>
            <w:r>
              <w:rPr>
                <w:rFonts w:ascii="宋体" w:hAnsi="宋体" w:eastAsia="宋体" w:cs="宋体"/>
                <w:color w:val="FF0000"/>
                <w:kern w:val="2"/>
                <w:sz w:val="24"/>
                <w:szCs w:val="24"/>
                <w:lang w:val="en-US" w:eastAsia="zh-CN" w:bidi="ar-SA"/>
              </w:rPr>
              <w:t>中标人提供合同价款30%的增值税专用发票,经招标人依照财务制度审核通过后30日支付；</w:t>
            </w:r>
          </w:p>
          <w:p w14:paraId="61B9A509">
            <w:pPr>
              <w:pStyle w:val="13"/>
              <w:spacing w:before="36"/>
              <w:ind w:right="150"/>
              <w:rPr>
                <w:rFonts w:ascii="宋体" w:hAnsi="宋体" w:eastAsia="宋体" w:cs="宋体"/>
                <w:color w:val="FF0000"/>
                <w:kern w:val="2"/>
                <w:sz w:val="24"/>
                <w:szCs w:val="24"/>
                <w:lang w:val="en-US" w:eastAsia="zh-CN" w:bidi="ar-SA"/>
              </w:rPr>
            </w:pPr>
            <w:r>
              <w:rPr>
                <w:rFonts w:hint="eastAsia" w:ascii="宋体" w:hAnsi="宋体" w:eastAsia="宋体" w:cs="宋体"/>
                <w:color w:val="FF0000"/>
                <w:kern w:val="2"/>
                <w:sz w:val="24"/>
                <w:szCs w:val="24"/>
                <w:lang w:val="en-US" w:eastAsia="zh-CN" w:bidi="ar-SA"/>
              </w:rPr>
              <w:t>B</w:t>
            </w:r>
            <w:r>
              <w:rPr>
                <w:rFonts w:ascii="宋体" w:hAnsi="宋体" w:eastAsia="宋体" w:cs="宋体"/>
                <w:color w:val="FF0000"/>
                <w:kern w:val="2"/>
                <w:sz w:val="24"/>
                <w:szCs w:val="24"/>
                <w:lang w:val="en-US" w:eastAsia="zh-CN" w:bidi="ar-SA"/>
              </w:rPr>
              <w:t>.</w:t>
            </w:r>
            <w:r>
              <w:rPr>
                <w:rFonts w:hint="eastAsia" w:ascii="宋体" w:hAnsi="宋体" w:eastAsia="宋体" w:cs="宋体"/>
                <w:color w:val="FF0000"/>
                <w:kern w:val="2"/>
                <w:sz w:val="24"/>
                <w:szCs w:val="24"/>
                <w:lang w:val="en-US" w:eastAsia="zh-CN" w:bidi="ar-SA"/>
              </w:rPr>
              <w:t xml:space="preserve"> 设备全部到货后</w:t>
            </w:r>
            <w:r>
              <w:rPr>
                <w:rFonts w:ascii="宋体" w:hAnsi="宋体" w:eastAsia="宋体" w:cs="宋体"/>
                <w:color w:val="FF0000"/>
                <w:kern w:val="2"/>
                <w:sz w:val="24"/>
                <w:szCs w:val="24"/>
                <w:lang w:val="en-US" w:eastAsia="zh-CN" w:bidi="ar-SA"/>
              </w:rPr>
              <w:t>，中标人提供合同价款30%的增值税专用发票,经招标人依照财务制度审核通过后30日支付；</w:t>
            </w:r>
          </w:p>
          <w:p w14:paraId="307118D6">
            <w:pPr>
              <w:pStyle w:val="13"/>
              <w:spacing w:before="6"/>
              <w:ind w:right="149"/>
              <w:rPr>
                <w:rFonts w:ascii="宋体" w:hAnsi="宋体" w:eastAsia="宋体" w:cs="宋体"/>
                <w:color w:val="FF0000"/>
                <w:kern w:val="2"/>
                <w:sz w:val="24"/>
                <w:szCs w:val="24"/>
                <w:lang w:val="en-US" w:eastAsia="zh-CN" w:bidi="ar-SA"/>
              </w:rPr>
            </w:pPr>
            <w:r>
              <w:rPr>
                <w:rFonts w:hint="eastAsia" w:ascii="宋体" w:hAnsi="宋体" w:eastAsia="宋体" w:cs="宋体"/>
                <w:color w:val="FF0000"/>
                <w:kern w:val="2"/>
                <w:sz w:val="24"/>
                <w:szCs w:val="24"/>
                <w:lang w:val="en-US" w:eastAsia="zh-CN" w:bidi="ar-SA"/>
              </w:rPr>
              <w:t>C</w:t>
            </w:r>
            <w:r>
              <w:rPr>
                <w:rFonts w:ascii="宋体" w:hAnsi="宋体" w:eastAsia="宋体" w:cs="宋体"/>
                <w:color w:val="FF0000"/>
                <w:kern w:val="2"/>
                <w:sz w:val="24"/>
                <w:szCs w:val="24"/>
                <w:lang w:val="en-US" w:eastAsia="zh-CN" w:bidi="ar-SA"/>
              </w:rPr>
              <w:t>. 设备验收合格后，中标人提供合同价款</w:t>
            </w:r>
            <w:r>
              <w:rPr>
                <w:rFonts w:hint="eastAsia" w:ascii="宋体" w:hAnsi="宋体" w:eastAsia="宋体" w:cs="宋体"/>
                <w:color w:val="FF0000"/>
                <w:kern w:val="2"/>
                <w:sz w:val="24"/>
                <w:szCs w:val="24"/>
                <w:lang w:val="en-US" w:eastAsia="zh-CN" w:bidi="ar-SA"/>
              </w:rPr>
              <w:t>4</w:t>
            </w:r>
            <w:r>
              <w:rPr>
                <w:rFonts w:ascii="宋体" w:hAnsi="宋体" w:eastAsia="宋体" w:cs="宋体"/>
                <w:color w:val="FF0000"/>
                <w:kern w:val="2"/>
                <w:sz w:val="24"/>
                <w:szCs w:val="24"/>
                <w:lang w:val="en-US" w:eastAsia="zh-CN" w:bidi="ar-SA"/>
              </w:rPr>
              <w:t>0%的增值税专用发票,经招标人依照财务制度审核通过后30日支付</w:t>
            </w:r>
            <w:r>
              <w:rPr>
                <w:rFonts w:hint="eastAsia" w:ascii="宋体" w:hAnsi="宋体" w:eastAsia="宋体" w:cs="宋体"/>
                <w:color w:val="FF0000"/>
                <w:kern w:val="2"/>
                <w:sz w:val="24"/>
                <w:szCs w:val="24"/>
                <w:lang w:val="en-US" w:eastAsia="zh-CN" w:bidi="ar-SA"/>
              </w:rPr>
              <w:t>合同价款的3</w:t>
            </w:r>
            <w:r>
              <w:rPr>
                <w:rFonts w:ascii="宋体" w:hAnsi="宋体" w:eastAsia="宋体" w:cs="宋体"/>
                <w:color w:val="FF0000"/>
                <w:kern w:val="2"/>
                <w:sz w:val="24"/>
                <w:szCs w:val="24"/>
                <w:lang w:val="en-US" w:eastAsia="zh-CN" w:bidi="ar-SA"/>
              </w:rPr>
              <w:t>0%；</w:t>
            </w:r>
          </w:p>
          <w:p w14:paraId="2D1D26FD">
            <w:pPr>
              <w:rPr>
                <w:rFonts w:hint="eastAsia" w:ascii="宋体" w:hAnsi="宋体" w:eastAsia="宋体" w:cs="宋体"/>
                <w:color w:val="FF0000"/>
                <w:kern w:val="2"/>
                <w:sz w:val="24"/>
                <w:szCs w:val="24"/>
                <w:lang w:val="en-US" w:eastAsia="zh-CN" w:bidi="ar-SA"/>
              </w:rPr>
            </w:pPr>
            <w:r>
              <w:rPr>
                <w:rFonts w:hint="eastAsia" w:ascii="宋体" w:hAnsi="宋体" w:eastAsia="宋体" w:cs="宋体"/>
                <w:color w:val="FF0000"/>
                <w:kern w:val="2"/>
                <w:sz w:val="24"/>
                <w:szCs w:val="24"/>
                <w:lang w:val="en-US" w:eastAsia="zh-CN" w:bidi="ar-SA"/>
              </w:rPr>
              <w:t>D.合同总价款的10%作为本合同约定设备的质量保证金，质量保证金在质量保证期内不计利息。质保期届满后支付。</w:t>
            </w:r>
          </w:p>
          <w:p w14:paraId="2D3CB187">
            <w:pPr>
              <w:rPr>
                <w:rFonts w:ascii="宋体" w:hAnsi="宋体" w:eastAsia="宋体" w:cs="宋体"/>
                <w:sz w:val="24"/>
                <w:szCs w:val="24"/>
                <w:highlight w:val="none"/>
              </w:rPr>
            </w:pPr>
            <w:r>
              <w:rPr>
                <w:rFonts w:hint="eastAsia" w:ascii="宋体" w:hAnsi="宋体" w:eastAsia="宋体" w:cs="宋体"/>
                <w:sz w:val="24"/>
                <w:szCs w:val="24"/>
                <w:highlight w:val="yellow"/>
                <w:lang w:val="en-US" w:eastAsia="zh-CN"/>
              </w:rPr>
              <w:t>*注：付款方式及付款比例不允许偏离。</w:t>
            </w:r>
          </w:p>
        </w:tc>
      </w:tr>
      <w:tr w14:paraId="140EB75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62999501">
            <w:pPr>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7.5</w:t>
            </w:r>
          </w:p>
        </w:tc>
        <w:tc>
          <w:tcPr>
            <w:tcW w:w="8363" w:type="dxa"/>
            <w:tcBorders>
              <w:top w:val="single" w:color="auto" w:sz="2" w:space="0"/>
              <w:left w:val="single" w:color="auto" w:sz="4" w:space="0"/>
              <w:bottom w:val="single" w:color="auto" w:sz="2" w:space="0"/>
              <w:right w:val="single" w:color="auto" w:sz="2" w:space="0"/>
            </w:tcBorders>
            <w:vAlign w:val="center"/>
          </w:tcPr>
          <w:p w14:paraId="711D3583">
            <w:pPr>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增值税专用发票开票信息：</w:t>
            </w:r>
          </w:p>
          <w:p w14:paraId="5BE83CB9">
            <w:pPr>
              <w:ind w:firstLine="480" w:firstLineChars="200"/>
              <w:rPr>
                <w:rFonts w:ascii="宋体" w:hAnsi="宋体" w:cs="宋体"/>
                <w:bCs/>
                <w:sz w:val="24"/>
                <w:szCs w:val="24"/>
                <w:highlight w:val="none"/>
              </w:rPr>
            </w:pPr>
            <w:r>
              <w:rPr>
                <w:rFonts w:hint="eastAsia" w:ascii="宋体" w:hAnsi="宋体" w:eastAsia="宋体" w:cs="宋体"/>
                <w:sz w:val="24"/>
                <w:szCs w:val="24"/>
                <w:highlight w:val="none"/>
                <w:lang w:bidi="ar"/>
              </w:rPr>
              <w:t>见最终合同签订信息</w:t>
            </w:r>
          </w:p>
        </w:tc>
      </w:tr>
      <w:tr w14:paraId="2477B43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2536549">
            <w:pPr>
              <w:pStyle w:val="12"/>
              <w:jc w:val="center"/>
              <w:rPr>
                <w:rFonts w:ascii="宋体" w:hAnsi="宋体" w:eastAsia="宋体" w:cs="宋体"/>
                <w:sz w:val="24"/>
                <w:szCs w:val="24"/>
                <w:highlight w:val="none"/>
              </w:rPr>
            </w:pPr>
            <w:r>
              <w:rPr>
                <w:rFonts w:hint="eastAsia" w:ascii="宋体" w:hAnsi="宋体" w:eastAsia="宋体" w:cs="宋体"/>
                <w:b/>
                <w:bCs/>
                <w:sz w:val="24"/>
                <w:szCs w:val="24"/>
                <w:highlight w:val="none"/>
              </w:rPr>
              <w:t>8.其它</w:t>
            </w:r>
          </w:p>
        </w:tc>
      </w:tr>
      <w:tr w14:paraId="538A296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167DFC1A">
            <w:pPr>
              <w:jc w:val="center"/>
              <w:rPr>
                <w:rFonts w:ascii="宋体" w:hAnsi="宋体" w:eastAsia="宋体" w:cs="宋体"/>
                <w:sz w:val="24"/>
                <w:szCs w:val="24"/>
                <w:highlight w:val="none"/>
              </w:rPr>
            </w:pPr>
            <w:r>
              <w:rPr>
                <w:rFonts w:hint="eastAsia" w:ascii="宋体" w:hAnsi="宋体" w:eastAsia="宋体" w:cs="宋体"/>
                <w:sz w:val="24"/>
                <w:szCs w:val="24"/>
                <w:highlight w:val="none"/>
              </w:rPr>
              <w:t>8.1</w:t>
            </w:r>
          </w:p>
        </w:tc>
        <w:tc>
          <w:tcPr>
            <w:tcW w:w="8363" w:type="dxa"/>
            <w:tcBorders>
              <w:top w:val="single" w:color="auto" w:sz="2" w:space="0"/>
              <w:left w:val="single" w:color="auto" w:sz="4" w:space="0"/>
              <w:bottom w:val="single" w:color="auto" w:sz="2" w:space="0"/>
              <w:right w:val="single" w:color="auto" w:sz="2" w:space="0"/>
            </w:tcBorders>
            <w:vAlign w:val="center"/>
          </w:tcPr>
          <w:p w14:paraId="5175E38D">
            <w:pPr>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投标内容的分解报价、设计图纸等招标人所需要的各类资料，招标人为推进项目招标定标流程时需要上述资料的，中标人应及时无偿提供。</w:t>
            </w:r>
          </w:p>
          <w:p w14:paraId="2D0E694F">
            <w:pPr>
              <w:pStyle w:val="12"/>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0E100F5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5257045C">
            <w:pPr>
              <w:jc w:val="center"/>
              <w:rPr>
                <w:rFonts w:ascii="宋体" w:hAnsi="宋体" w:eastAsia="宋体" w:cs="宋体"/>
                <w:sz w:val="24"/>
                <w:szCs w:val="24"/>
                <w:highlight w:val="none"/>
              </w:rPr>
            </w:pPr>
            <w:r>
              <w:rPr>
                <w:rFonts w:hint="eastAsia" w:ascii="宋体" w:hAnsi="宋体" w:eastAsia="宋体" w:cs="宋体"/>
                <w:sz w:val="24"/>
                <w:szCs w:val="24"/>
                <w:highlight w:val="none"/>
              </w:rPr>
              <w:t>8.2</w:t>
            </w:r>
          </w:p>
        </w:tc>
        <w:tc>
          <w:tcPr>
            <w:tcW w:w="8363" w:type="dxa"/>
            <w:tcBorders>
              <w:top w:val="single" w:color="auto" w:sz="2" w:space="0"/>
              <w:left w:val="single" w:color="auto" w:sz="4" w:space="0"/>
              <w:bottom w:val="single" w:color="auto" w:sz="2" w:space="0"/>
              <w:right w:val="single" w:color="auto" w:sz="2" w:space="0"/>
            </w:tcBorders>
            <w:vAlign w:val="center"/>
          </w:tcPr>
          <w:p w14:paraId="50B85E3D">
            <w:pPr>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中标人负责为招标人免费培训操作及维修人员，培训内容包括：基本原理、操作使用、安全操作注意事项以及维修保养等内容，直至达到买方使用需求。</w:t>
            </w:r>
          </w:p>
        </w:tc>
      </w:tr>
      <w:tr w14:paraId="1355AED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1D84DCDC">
            <w:pPr>
              <w:jc w:val="center"/>
              <w:rPr>
                <w:rFonts w:ascii="宋体" w:hAnsi="宋体" w:eastAsia="宋体" w:cs="宋体"/>
                <w:sz w:val="24"/>
                <w:szCs w:val="24"/>
                <w:highlight w:val="none"/>
              </w:rPr>
            </w:pPr>
            <w:r>
              <w:rPr>
                <w:rFonts w:hint="eastAsia" w:ascii="宋体" w:hAnsi="宋体" w:eastAsia="宋体" w:cs="宋体"/>
                <w:sz w:val="24"/>
                <w:szCs w:val="24"/>
                <w:highlight w:val="none"/>
              </w:rPr>
              <w:t>8.3</w:t>
            </w:r>
          </w:p>
        </w:tc>
        <w:tc>
          <w:tcPr>
            <w:tcW w:w="8363" w:type="dxa"/>
            <w:tcBorders>
              <w:top w:val="single" w:color="auto" w:sz="2" w:space="0"/>
              <w:left w:val="single" w:color="auto" w:sz="4" w:space="0"/>
              <w:bottom w:val="single" w:color="auto" w:sz="2" w:space="0"/>
              <w:right w:val="single" w:color="auto" w:sz="2" w:space="0"/>
            </w:tcBorders>
            <w:vAlign w:val="center"/>
          </w:tcPr>
          <w:p w14:paraId="6BCD539F">
            <w:pPr>
              <w:pStyle w:val="12"/>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中标方应在合同签订后</w:t>
            </w: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rPr>
              <w:t>日内</w:t>
            </w:r>
            <w:r>
              <w:rPr>
                <w:rFonts w:hint="eastAsia" w:ascii="宋体" w:hAnsi="宋体" w:eastAsia="宋体" w:cs="宋体"/>
                <w:sz w:val="24"/>
                <w:szCs w:val="24"/>
                <w:highlight w:val="none"/>
                <w:lang w:val="en-US" w:eastAsia="zh-CN"/>
              </w:rPr>
              <w:t>编制</w:t>
            </w:r>
            <w:r>
              <w:rPr>
                <w:rFonts w:hint="eastAsia" w:ascii="宋体" w:hAnsi="宋体" w:eastAsia="宋体" w:cs="宋体"/>
                <w:sz w:val="24"/>
                <w:szCs w:val="24"/>
                <w:highlight w:val="none"/>
              </w:rPr>
              <w:t>完成</w:t>
            </w:r>
            <w:r>
              <w:rPr>
                <w:rFonts w:hint="eastAsia" w:ascii="宋体" w:hAnsi="宋体" w:eastAsia="宋体" w:cs="宋体"/>
                <w:sz w:val="24"/>
                <w:szCs w:val="24"/>
                <w:highlight w:val="none"/>
                <w:lang w:val="en-US" w:eastAsia="zh-CN"/>
              </w:rPr>
              <w:t>项目计划和项目组织机构并盖章发给招标方</w:t>
            </w:r>
            <w:r>
              <w:rPr>
                <w:rFonts w:hint="eastAsia" w:ascii="宋体" w:hAnsi="宋体" w:eastAsia="宋体" w:cs="宋体"/>
                <w:sz w:val="24"/>
                <w:szCs w:val="24"/>
                <w:highlight w:val="none"/>
              </w:rPr>
              <w:t>。</w:t>
            </w:r>
          </w:p>
          <w:p w14:paraId="236F629C">
            <w:pPr>
              <w:pStyle w:val="12"/>
              <w:ind w:firstLine="480" w:firstLineChars="200"/>
              <w:rPr>
                <w:rFonts w:hint="eastAsia" w:ascii="宋体" w:hAnsi="宋体" w:eastAsia="宋体" w:cs="宋体"/>
                <w:sz w:val="24"/>
                <w:szCs w:val="24"/>
                <w:highlight w:val="none"/>
              </w:rPr>
            </w:pPr>
            <w:r>
              <w:rPr>
                <w:rFonts w:hint="eastAsia" w:ascii="宋体" w:hAnsi="宋体" w:eastAsia="宋体" w:cs="宋体"/>
                <w:sz w:val="24"/>
                <w:szCs w:val="24"/>
              </w:rPr>
              <w:t>中标人应在合同签订后</w:t>
            </w:r>
            <w:r>
              <w:rPr>
                <w:rFonts w:hint="eastAsia" w:ascii="宋体" w:hAnsi="宋体" w:eastAsia="宋体" w:cs="宋体"/>
                <w:color w:val="FF0000"/>
                <w:sz w:val="24"/>
                <w:szCs w:val="24"/>
                <w:highlight w:val="yellow"/>
              </w:rPr>
              <w:t>15日</w:t>
            </w:r>
            <w:r>
              <w:rPr>
                <w:rFonts w:hint="eastAsia" w:ascii="宋体" w:hAnsi="宋体" w:eastAsia="宋体" w:cs="宋体"/>
                <w:sz w:val="24"/>
                <w:szCs w:val="24"/>
              </w:rPr>
              <w:t>内需根据设计</w:t>
            </w:r>
            <w:r>
              <w:rPr>
                <w:rStyle w:val="42"/>
                <w:rFonts w:hint="eastAsia" w:ascii="宋体" w:hAnsi="宋体" w:eastAsia="宋体" w:cs="宋体"/>
                <w:sz w:val="24"/>
                <w:szCs w:val="24"/>
              </w:rPr>
              <w:t>提资</w:t>
            </w:r>
            <w:r>
              <w:rPr>
                <w:rFonts w:hint="eastAsia" w:ascii="宋体" w:hAnsi="宋体" w:eastAsia="宋体" w:cs="宋体"/>
                <w:sz w:val="24"/>
                <w:szCs w:val="24"/>
              </w:rPr>
              <w:t>要求提供详细的</w:t>
            </w:r>
            <w:r>
              <w:rPr>
                <w:rStyle w:val="42"/>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42"/>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42"/>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14:paraId="3713262E">
      <w:pPr>
        <w:pStyle w:val="17"/>
        <w:numPr>
          <w:ilvl w:val="0"/>
          <w:numId w:val="1"/>
        </w:numPr>
        <w:jc w:val="center"/>
        <w:outlineLvl w:val="0"/>
        <w:rPr>
          <w:rFonts w:ascii="Calibri" w:hAnsi="Calibri" w:eastAsia="宋体" w:cs="Times New Roman"/>
          <w:b/>
          <w:bCs/>
          <w:kern w:val="44"/>
          <w:sz w:val="36"/>
          <w:szCs w:val="44"/>
          <w:highlight w:val="none"/>
        </w:rPr>
        <w:sectPr>
          <w:headerReference r:id="rId7" w:type="default"/>
          <w:footerReference r:id="rId8" w:type="default"/>
          <w:pgSz w:w="11907" w:h="16840"/>
          <w:pgMar w:top="1304" w:right="1418" w:bottom="1304" w:left="1418" w:header="724" w:footer="851" w:gutter="0"/>
          <w:pgNumType w:fmt="decimal"/>
          <w:cols w:space="720" w:num="1"/>
          <w:docGrid w:linePitch="290" w:charSpace="-3931"/>
        </w:sectPr>
      </w:pPr>
    </w:p>
    <w:p w14:paraId="4C7E85DF">
      <w:pPr>
        <w:pStyle w:val="17"/>
        <w:jc w:val="center"/>
        <w:outlineLvl w:val="0"/>
        <w:rPr>
          <w:rFonts w:ascii="Calibri" w:hAnsi="Calibri" w:eastAsia="宋体" w:cs="Times New Roman"/>
          <w:b/>
          <w:bCs/>
          <w:kern w:val="44"/>
          <w:sz w:val="36"/>
          <w:szCs w:val="44"/>
          <w:highlight w:val="none"/>
        </w:rPr>
      </w:pPr>
      <w:bookmarkStart w:id="4" w:name="_Toc15609"/>
      <w:r>
        <w:rPr>
          <w:rFonts w:hint="eastAsia" w:ascii="Calibri" w:hAnsi="Calibri" w:eastAsia="宋体" w:cs="Times New Roman"/>
          <w:b/>
          <w:bCs/>
          <w:kern w:val="44"/>
          <w:sz w:val="36"/>
          <w:szCs w:val="44"/>
          <w:highlight w:val="none"/>
        </w:rPr>
        <w:t>第二部分 投标须知</w:t>
      </w:r>
      <w:bookmarkEnd w:id="4"/>
    </w:p>
    <w:p w14:paraId="03027F07">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一、项目名称</w:t>
      </w:r>
    </w:p>
    <w:p w14:paraId="72B2C307">
      <w:pPr>
        <w:spacing w:line="360" w:lineRule="auto"/>
        <w:ind w:left="1679" w:leftChars="228" w:hanging="1200" w:hangingChars="500"/>
        <w:rPr>
          <w:rFonts w:ascii="宋体" w:hAnsi="宋体" w:eastAsia="宋体" w:cs="宋体"/>
          <w:color w:val="000000"/>
          <w:sz w:val="24"/>
          <w:szCs w:val="24"/>
          <w:highlight w:val="none"/>
          <w:u w:val="single"/>
        </w:rPr>
      </w:pPr>
      <w:r>
        <w:rPr>
          <w:rFonts w:hint="eastAsia" w:ascii="宋体" w:hAnsi="宋体" w:eastAsia="宋体" w:cs="宋体"/>
          <w:color w:val="000000"/>
          <w:sz w:val="24"/>
          <w:szCs w:val="24"/>
          <w:highlight w:val="none"/>
        </w:rPr>
        <w:t>项目名称：</w:t>
      </w:r>
      <w:bookmarkStart w:id="5" w:name="OLE_LINK1"/>
      <w:r>
        <w:rPr>
          <w:rFonts w:hint="eastAsia" w:ascii="宋体" w:hAnsi="宋体" w:eastAsia="宋体" w:cs="宋体"/>
          <w:color w:val="000000"/>
          <w:sz w:val="24"/>
          <w:szCs w:val="24"/>
          <w:highlight w:val="none"/>
        </w:rPr>
        <w:t>见《投标须知前附表》。</w:t>
      </w:r>
    </w:p>
    <w:bookmarkEnd w:id="5"/>
    <w:p w14:paraId="2C4E8575">
      <w:pPr>
        <w:keepNext/>
        <w:keepLines/>
        <w:numPr>
          <w:ilvl w:val="0"/>
          <w:numId w:val="2"/>
        </w:numPr>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招标内容及形式</w:t>
      </w:r>
    </w:p>
    <w:p w14:paraId="58A7A183">
      <w:pPr>
        <w:pStyle w:val="17"/>
        <w:spacing w:line="360" w:lineRule="auto"/>
        <w:ind w:firstLine="480" w:firstLineChars="200"/>
        <w:rPr>
          <w:rFonts w:hAnsi="宋体" w:eastAsia="宋体" w:cs="宋体"/>
          <w:sz w:val="24"/>
          <w:szCs w:val="24"/>
          <w:highlight w:val="none"/>
        </w:rPr>
      </w:pPr>
      <w:r>
        <w:rPr>
          <w:rFonts w:hint="eastAsia" w:hAnsi="宋体" w:eastAsia="宋体" w:cs="宋体"/>
          <w:color w:val="000000"/>
          <w:sz w:val="24"/>
          <w:szCs w:val="24"/>
          <w:highlight w:val="none"/>
        </w:rPr>
        <w:t>见《投标须知前附表》。</w:t>
      </w:r>
    </w:p>
    <w:p w14:paraId="09D39ECE">
      <w:pPr>
        <w:spacing w:line="360" w:lineRule="auto"/>
        <w:ind w:firstLine="482" w:firstLineChars="200"/>
        <w:rPr>
          <w:rFonts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对于本项目需着重介绍的注意事项已经通过以下带颜色文档进行标记。</w:t>
      </w:r>
    </w:p>
    <w:p w14:paraId="0C87F0D3">
      <w:pPr>
        <w:spacing w:line="360" w:lineRule="auto"/>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具体要求详见《技术标书》。</w:t>
      </w:r>
    </w:p>
    <w:p w14:paraId="4BB6628F">
      <w:pPr>
        <w:keepNext/>
        <w:keepLines/>
        <w:numPr>
          <w:ilvl w:val="0"/>
          <w:numId w:val="2"/>
        </w:numPr>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交货及付款</w:t>
      </w:r>
      <w:r>
        <w:rPr>
          <w:rFonts w:hint="eastAsia" w:ascii="宋体" w:hAnsi="宋体" w:eastAsia="宋体" w:cs="宋体"/>
          <w:b/>
          <w:bCs/>
          <w:sz w:val="24"/>
          <w:szCs w:val="24"/>
          <w:highlight w:val="none"/>
        </w:rPr>
        <w:tab/>
      </w:r>
    </w:p>
    <w:p w14:paraId="500CF62B">
      <w:pPr>
        <w:pStyle w:val="17"/>
        <w:spacing w:line="360" w:lineRule="auto"/>
        <w:ind w:firstLine="480" w:firstLineChars="200"/>
        <w:rPr>
          <w:rFonts w:hAnsi="宋体" w:eastAsia="宋体" w:cs="宋体"/>
          <w:sz w:val="24"/>
          <w:szCs w:val="24"/>
          <w:highlight w:val="none"/>
        </w:rPr>
      </w:pPr>
      <w:r>
        <w:rPr>
          <w:rFonts w:hint="eastAsia" w:hAnsi="宋体" w:eastAsia="宋体" w:cs="宋体"/>
          <w:color w:val="000000"/>
          <w:sz w:val="24"/>
          <w:szCs w:val="24"/>
          <w:highlight w:val="none"/>
        </w:rPr>
        <w:t>交货期、交货地点、交货方式、付款方式及比例见《投标须知前附表》第7条。</w:t>
      </w:r>
    </w:p>
    <w:p w14:paraId="739C6B5A">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四、投标说明</w:t>
      </w:r>
    </w:p>
    <w:p w14:paraId="3B11CA13">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1.报名方式</w:t>
      </w:r>
    </w:p>
    <w:p w14:paraId="46E0D84B">
      <w:pPr>
        <w:spacing w:line="36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rPr>
        <w:t>投标人根据招标人在中国重汽官网等公开媒体上发布的招标信息，在“中国重汽e采通”平台报名。按照中国重汽e采通“SRM非生产供应商注册手册（附件15）”进行注册</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注册时配套能力中的供货类别选择“直管单位非生产招标 / 工艺设备 / 工艺设备”对应的业务主管部门为“工艺研究院”，提交注册后请电话告知招标方联系人。</w:t>
      </w:r>
    </w:p>
    <w:p w14:paraId="4862292D">
      <w:pPr>
        <w:spacing w:line="360" w:lineRule="auto"/>
        <w:ind w:firstLine="480" w:firstLineChars="200"/>
        <w:rPr>
          <w:rFonts w:ascii="宋体" w:hAnsi="宋体" w:eastAsia="宋体" w:cs="宋体"/>
          <w:color w:val="000000"/>
          <w:sz w:val="24"/>
          <w:szCs w:val="24"/>
          <w:highlight w:val="none"/>
        </w:rPr>
      </w:pPr>
      <w:r>
        <w:rPr>
          <w:rFonts w:hint="eastAsia" w:eastAsia="宋体" w:cs="Times New Roman"/>
          <w:color w:val="000000"/>
          <w:sz w:val="24"/>
          <w:szCs w:val="24"/>
          <w:highlight w:val="none"/>
        </w:rPr>
        <w:t>注册完毕后按照</w:t>
      </w:r>
      <w:r>
        <w:rPr>
          <w:rFonts w:hint="eastAsia" w:ascii="宋体" w:hAnsi="宋体" w:eastAsia="宋体" w:cs="宋体"/>
          <w:b/>
          <w:color w:val="000000"/>
          <w:sz w:val="24"/>
          <w:szCs w:val="24"/>
          <w:highlight w:val="none"/>
        </w:rPr>
        <w:t>“SRM系统供应商用户手册（附件16）”登录系统，</w:t>
      </w:r>
      <w:r>
        <w:rPr>
          <w:rFonts w:hint="eastAsia" w:ascii="宋体" w:hAnsi="宋体" w:eastAsia="宋体" w:cs="宋体"/>
          <w:color w:val="000000"/>
          <w:sz w:val="24"/>
          <w:szCs w:val="24"/>
          <w:highlight w:val="none"/>
        </w:rPr>
        <w:t>进入“供应商应标”，选择对应的项目，点击“应标”后按照招标文件第三部分投标文件组成资格证明文件中的1.1-1.13准备资料并上传，资质审查通过即为报名成功，公示期间请尽快报名。</w:t>
      </w:r>
    </w:p>
    <w:p w14:paraId="4AD60C19">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投标保证金缴纳的时候，</w:t>
      </w:r>
      <w:r>
        <w:rPr>
          <w:rFonts w:hint="eastAsia" w:ascii="宋体" w:hAnsi="宋体" w:eastAsia="宋体" w:cs="宋体"/>
          <w:b/>
          <w:bCs/>
          <w:color w:val="000000"/>
          <w:sz w:val="24"/>
          <w:szCs w:val="24"/>
          <w:highlight w:val="none"/>
        </w:rPr>
        <w:t>务必备注所投标的项目名称</w:t>
      </w:r>
      <w:r>
        <w:rPr>
          <w:rFonts w:hint="eastAsia" w:ascii="宋体" w:hAnsi="宋体" w:eastAsia="宋体" w:cs="宋体"/>
          <w:color w:val="000000"/>
          <w:sz w:val="24"/>
          <w:szCs w:val="24"/>
          <w:highlight w:val="none"/>
        </w:rPr>
        <w:t>。</w:t>
      </w:r>
    </w:p>
    <w:p w14:paraId="4F5FB5C5">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不按要求报名的，或因未提供相关信息导致后期无法退回保证金的，需投标人承担责任。</w:t>
      </w:r>
    </w:p>
    <w:p w14:paraId="57C3CD3D">
      <w:pPr>
        <w:keepNext/>
        <w:keepLines/>
        <w:numPr>
          <w:ilvl w:val="0"/>
          <w:numId w:val="3"/>
        </w:numPr>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投标条件</w:t>
      </w:r>
    </w:p>
    <w:p w14:paraId="4BB9282B">
      <w:pPr>
        <w:pStyle w:val="17"/>
        <w:spacing w:line="360" w:lineRule="auto"/>
        <w:ind w:firstLine="480"/>
        <w:rPr>
          <w:rFonts w:hAnsi="宋体" w:eastAsia="宋体" w:cs="宋体"/>
          <w:b/>
          <w:color w:val="000000"/>
          <w:sz w:val="24"/>
          <w:szCs w:val="24"/>
          <w:highlight w:val="none"/>
        </w:rPr>
      </w:pPr>
      <w:r>
        <w:rPr>
          <w:rFonts w:hint="eastAsia" w:hAnsi="宋体" w:eastAsia="宋体" w:cs="宋体"/>
          <w:b/>
          <w:bCs/>
          <w:color w:val="000000"/>
          <w:sz w:val="24"/>
          <w:szCs w:val="24"/>
          <w:highlight w:val="none"/>
        </w:rPr>
        <w:t>投标条件详见招标文件“第一部分投标须知前附表1.6”。</w:t>
      </w:r>
    </w:p>
    <w:p w14:paraId="386D211A">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3.报价</w:t>
      </w:r>
    </w:p>
    <w:p w14:paraId="6BC79F53">
      <w:pPr>
        <w:pStyle w:val="17"/>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3.1</w:t>
      </w:r>
      <w:r>
        <w:rPr>
          <w:rFonts w:hint="eastAsia" w:hAnsi="宋体" w:eastAsia="宋体" w:cs="宋体"/>
          <w:sz w:val="24"/>
          <w:szCs w:val="24"/>
          <w:highlight w:val="none"/>
        </w:rPr>
        <w:t>本次招投标为</w:t>
      </w:r>
      <w:r>
        <w:rPr>
          <w:rFonts w:hint="eastAsia" w:hAnsi="宋体" w:eastAsia="宋体" w:cs="宋体"/>
          <w:color w:val="000000"/>
          <w:sz w:val="24"/>
          <w:szCs w:val="24"/>
          <w:highlight w:val="none"/>
        </w:rPr>
        <w:t>公开招标</w:t>
      </w:r>
      <w:r>
        <w:rPr>
          <w:rFonts w:hint="eastAsia" w:hAnsi="宋体" w:eastAsia="宋体" w:cs="宋体"/>
          <w:b/>
          <w:sz w:val="24"/>
          <w:szCs w:val="24"/>
          <w:highlight w:val="none"/>
        </w:rPr>
        <w:t>；</w:t>
      </w:r>
      <w:r>
        <w:rPr>
          <w:rFonts w:hint="eastAsia" w:hAnsi="宋体" w:eastAsia="宋体" w:cs="宋体"/>
          <w:color w:val="000000"/>
          <w:sz w:val="24"/>
          <w:szCs w:val="24"/>
          <w:highlight w:val="none"/>
        </w:rPr>
        <w:t>评标流程以及规则详见本部分第六条评标原则。</w:t>
      </w:r>
    </w:p>
    <w:p w14:paraId="6DFEE793">
      <w:pPr>
        <w:spacing w:line="360" w:lineRule="auto"/>
        <w:ind w:firstLine="235" w:firstLineChars="98"/>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投标人自行勘察现场，进行合理报价。投标总报价应包括设备费、原厂服务费及相关配件、随机资料、保险、税费、运杂、安装调试、与其他专业配合及可预见的风险以及其它不可预见等全部费用。</w:t>
      </w:r>
    </w:p>
    <w:p w14:paraId="73714EE6">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3.2</w:t>
      </w:r>
      <w:r>
        <w:rPr>
          <w:rFonts w:hint="eastAsia" w:ascii="宋体" w:hAnsi="宋体" w:eastAsia="宋体" w:cs="宋体"/>
          <w:b/>
          <w:bCs/>
          <w:color w:val="000000"/>
          <w:sz w:val="24"/>
          <w:szCs w:val="24"/>
          <w:highlight w:val="none"/>
        </w:rPr>
        <w:t>所有设备的报价货币单位为：</w:t>
      </w:r>
      <w:r>
        <w:rPr>
          <w:rFonts w:hint="eastAsia" w:ascii="宋体" w:hAnsi="宋体" w:eastAsia="宋体" w:cs="宋体"/>
          <w:b/>
          <w:bCs/>
          <w:color w:val="000000"/>
          <w:sz w:val="24"/>
          <w:szCs w:val="24"/>
          <w:highlight w:val="none"/>
          <w:u w:val="single"/>
        </w:rPr>
        <w:t xml:space="preserve">         </w:t>
      </w:r>
      <w:r>
        <w:rPr>
          <w:rFonts w:hint="eastAsia" w:ascii="宋体" w:hAnsi="宋体" w:eastAsia="宋体" w:cs="宋体"/>
          <w:b/>
          <w:bCs/>
          <w:color w:val="000000"/>
          <w:sz w:val="24"/>
          <w:szCs w:val="24"/>
          <w:highlight w:val="none"/>
        </w:rPr>
        <w:t>元【人民币（应同时报含税价和不含税价并写明税率）】。</w:t>
      </w:r>
    </w:p>
    <w:p w14:paraId="19D2EB44">
      <w:pPr>
        <w:keepNext/>
        <w:keepLines/>
        <w:spacing w:line="360" w:lineRule="auto"/>
        <w:ind w:firstLine="482" w:firstLineChars="200"/>
        <w:outlineLvl w:val="2"/>
        <w:rPr>
          <w:rFonts w:ascii="宋体" w:hAnsi="宋体" w:eastAsia="宋体" w:cs="宋体"/>
          <w:sz w:val="24"/>
          <w:szCs w:val="24"/>
          <w:highlight w:val="none"/>
        </w:rPr>
      </w:pPr>
      <w:r>
        <w:rPr>
          <w:rFonts w:hint="eastAsia" w:ascii="宋体" w:hAnsi="宋体" w:eastAsia="宋体" w:cs="宋体"/>
          <w:b/>
          <w:bCs/>
          <w:color w:val="000000"/>
          <w:sz w:val="24"/>
          <w:szCs w:val="24"/>
          <w:highlight w:val="none"/>
        </w:rPr>
        <w:t>4.设备要求：</w:t>
      </w:r>
    </w:p>
    <w:p w14:paraId="442EBE27">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4.1投标设备技术参数和总体要求按《技术标书》执行；</w:t>
      </w:r>
    </w:p>
    <w:p w14:paraId="01BFE871">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4.2设备制造完毕经出厂检验合格后方能发货；</w:t>
      </w:r>
    </w:p>
    <w:p w14:paraId="089DD780">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4.3设备包装按国家或部颁标准执行；</w:t>
      </w:r>
    </w:p>
    <w:p w14:paraId="68E3ECB2">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4.4设备交货要求直接发货至合同指定地点，否则买方有权拒绝接受货物；</w:t>
      </w:r>
    </w:p>
    <w:p w14:paraId="2BD9F2B6">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4.5投标企业按技术规范书提报设备详细技术资料；</w:t>
      </w:r>
    </w:p>
    <w:p w14:paraId="248E05C6">
      <w:pPr>
        <w:pStyle w:val="17"/>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48DD0719">
      <w:pPr>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4.7设备设施颜色严格执行我公司企业标准《设备设施颜色标识》（Q/Z</w:t>
      </w:r>
      <w:r>
        <w:rPr>
          <w:rFonts w:hint="eastAsia" w:hAnsi="宋体" w:eastAsia="宋体" w:cs="宋体"/>
          <w:color w:val="000000"/>
          <w:sz w:val="24"/>
          <w:szCs w:val="24"/>
          <w:highlight w:val="yellow"/>
        </w:rPr>
        <w:t>Z30070-2021</w:t>
      </w:r>
      <w:r>
        <w:rPr>
          <w:rFonts w:hint="eastAsia" w:hAnsi="宋体" w:eastAsia="宋体" w:cs="宋体"/>
          <w:color w:val="000000"/>
          <w:sz w:val="24"/>
          <w:szCs w:val="24"/>
          <w:highlight w:val="none"/>
        </w:rPr>
        <w:t>）。</w:t>
      </w:r>
    </w:p>
    <w:p w14:paraId="3F81E77B">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5.其他要求</w:t>
      </w:r>
    </w:p>
    <w:p w14:paraId="012BB84E">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包装、运输、检验、交付、安装、调试、培训、结算、质保及售后服务等，按《技术标书》要求，在标书中列示说明，最终以合同约定为准。</w:t>
      </w:r>
    </w:p>
    <w:p w14:paraId="66B99B95">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6.询标</w:t>
      </w:r>
    </w:p>
    <w:p w14:paraId="3AE7C0D6">
      <w:pPr>
        <w:keepNext/>
        <w:keepLines/>
        <w:spacing w:line="360" w:lineRule="auto"/>
        <w:ind w:firstLine="480" w:firstLineChars="200"/>
        <w:rPr>
          <w:rFonts w:ascii="宋体" w:hAnsi="宋体" w:eastAsia="宋体" w:cs="宋体"/>
          <w:b/>
          <w:bCs/>
          <w:color w:val="000000"/>
          <w:sz w:val="24"/>
          <w:szCs w:val="24"/>
          <w:highlight w:val="none"/>
        </w:rPr>
      </w:pPr>
      <w:r>
        <w:rPr>
          <w:rFonts w:hint="eastAsia" w:ascii="宋体" w:hAnsi="宋体" w:eastAsia="宋体" w:cs="宋体"/>
          <w:color w:val="000000"/>
          <w:sz w:val="24"/>
          <w:szCs w:val="24"/>
          <w:highlight w:val="none"/>
        </w:rPr>
        <w:t>凡对本次招标提出的询问，均以招标人的书面答复为准。</w:t>
      </w:r>
    </w:p>
    <w:p w14:paraId="1B375E11">
      <w:pPr>
        <w:keepNext/>
        <w:keepLines/>
        <w:spacing w:line="360" w:lineRule="auto"/>
        <w:outlineLvl w:val="1"/>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五、议程安排</w:t>
      </w:r>
    </w:p>
    <w:p w14:paraId="6A5D50BD">
      <w:pPr>
        <w:keepNext/>
        <w:keepLines/>
        <w:spacing w:line="360" w:lineRule="auto"/>
        <w:ind w:firstLine="482" w:firstLineChars="200"/>
        <w:outlineLvl w:val="2"/>
        <w:rPr>
          <w:rFonts w:ascii="宋体" w:hAnsi="宋体" w:eastAsia="宋体" w:cs="宋体"/>
          <w:color w:val="000000"/>
          <w:sz w:val="24"/>
          <w:szCs w:val="24"/>
          <w:highlight w:val="none"/>
        </w:rPr>
      </w:pPr>
      <w:r>
        <w:rPr>
          <w:rFonts w:hint="eastAsia" w:ascii="宋体" w:hAnsi="宋体" w:eastAsia="宋体" w:cs="宋体"/>
          <w:b/>
          <w:bCs/>
          <w:color w:val="000000"/>
          <w:sz w:val="24"/>
          <w:szCs w:val="24"/>
          <w:highlight w:val="none"/>
        </w:rPr>
        <w:t>1.发标时间</w:t>
      </w:r>
    </w:p>
    <w:p w14:paraId="53C2F10F">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见《投标须知前附表》2.1。</w:t>
      </w:r>
    </w:p>
    <w:p w14:paraId="14B6674D">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2.发标方式</w:t>
      </w:r>
    </w:p>
    <w:p w14:paraId="2EB7555F">
      <w:pPr>
        <w:keepNext/>
        <w:keepLines/>
        <w:spacing w:line="360" w:lineRule="auto"/>
        <w:ind w:firstLine="480" w:firstLineChars="200"/>
        <w:outlineLvl w:val="2"/>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中国重汽官网等公开媒体公布。</w:t>
      </w:r>
    </w:p>
    <w:p w14:paraId="42EE8081">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3.答疑</w:t>
      </w:r>
    </w:p>
    <w:p w14:paraId="19B15814">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见《投标须知前附表》第二条，逾期不受理。</w:t>
      </w:r>
    </w:p>
    <w:p w14:paraId="0911C664">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4.投标报名</w:t>
      </w:r>
    </w:p>
    <w:p w14:paraId="76D7CDF5">
      <w:pPr>
        <w:keepNext/>
        <w:keepLines/>
        <w:spacing w:line="360" w:lineRule="auto"/>
        <w:ind w:firstLine="482"/>
        <w:rPr>
          <w:rFonts w:ascii="宋体" w:hAnsi="宋体" w:eastAsia="宋体" w:cs="宋体"/>
          <w:sz w:val="24"/>
          <w:szCs w:val="24"/>
          <w:highlight w:val="none"/>
        </w:rPr>
      </w:pPr>
      <w:r>
        <w:rPr>
          <w:rFonts w:hint="eastAsia" w:ascii="宋体" w:hAnsi="宋体" w:eastAsia="宋体" w:cs="宋体"/>
          <w:sz w:val="24"/>
          <w:szCs w:val="24"/>
          <w:highlight w:val="none"/>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14:paraId="66EFD06F">
      <w:pPr>
        <w:pStyle w:val="117"/>
        <w:ind w:firstLine="480"/>
        <w:rPr>
          <w:rFonts w:eastAsia="宋体" w:cs="宋体"/>
          <w:highlight w:val="none"/>
        </w:rPr>
      </w:pPr>
      <w:r>
        <w:rPr>
          <w:rFonts w:hint="eastAsia" w:eastAsia="宋体" w:cs="宋体"/>
          <w:highlight w:val="none"/>
        </w:rPr>
        <w:t>4.2招标人银行账户信息如下：见《投标须知前附表》4.2。</w:t>
      </w:r>
    </w:p>
    <w:p w14:paraId="39C9DC8B">
      <w:pPr>
        <w:pStyle w:val="117"/>
        <w:ind w:firstLine="480"/>
        <w:rPr>
          <w:rFonts w:eastAsia="宋体" w:cs="宋体"/>
          <w:highlight w:val="none"/>
        </w:rPr>
      </w:pPr>
      <w:r>
        <w:rPr>
          <w:rFonts w:hint="eastAsia" w:eastAsia="宋体" w:cs="宋体"/>
          <w:highlight w:val="none"/>
        </w:rPr>
        <w:t>转账附言：公司名称+项目名称+投标保证金；</w:t>
      </w:r>
    </w:p>
    <w:p w14:paraId="710186CD">
      <w:pPr>
        <w:pStyle w:val="117"/>
        <w:ind w:firstLine="480"/>
        <w:rPr>
          <w:rFonts w:eastAsia="宋体" w:cs="宋体"/>
          <w:highlight w:val="none"/>
        </w:rPr>
      </w:pPr>
      <w:r>
        <w:rPr>
          <w:rFonts w:hint="eastAsia" w:eastAsia="宋体" w:cs="宋体"/>
          <w:highlight w:val="none"/>
        </w:rPr>
        <w:t>对于没有中标的投标人，投标保证金将于招标人内部完成中标人评审并确认最终中标人后在</w:t>
      </w:r>
      <w:r>
        <w:rPr>
          <w:rFonts w:hint="eastAsia" w:eastAsia="宋体" w:cs="宋体"/>
          <w:highlight w:val="none"/>
          <w:lang w:val="en-US" w:eastAsia="zh-CN"/>
        </w:rPr>
        <w:t>一个付款周期</w:t>
      </w:r>
      <w:r>
        <w:rPr>
          <w:rFonts w:hint="eastAsia" w:eastAsia="宋体" w:cs="宋体"/>
          <w:highlight w:val="none"/>
        </w:rPr>
        <w:t>内予以原路返还（无息）；对于中标方，投标保证金将在签订合同后</w:t>
      </w:r>
      <w:r>
        <w:rPr>
          <w:rFonts w:hint="eastAsia" w:eastAsia="宋体" w:cs="宋体"/>
          <w:highlight w:val="none"/>
          <w:lang w:val="en-US" w:eastAsia="zh-CN"/>
        </w:rPr>
        <w:t>一个付款周期</w:t>
      </w:r>
      <w:r>
        <w:rPr>
          <w:rFonts w:hint="eastAsia" w:eastAsia="宋体" w:cs="宋体"/>
          <w:highlight w:val="none"/>
        </w:rPr>
        <w:t>内原路返还（无息）；</w:t>
      </w:r>
    </w:p>
    <w:p w14:paraId="5EA2838E">
      <w:pPr>
        <w:pStyle w:val="117"/>
        <w:ind w:firstLine="480"/>
        <w:rPr>
          <w:rFonts w:eastAsia="宋体" w:cs="宋体"/>
          <w:highlight w:val="none"/>
        </w:rPr>
      </w:pPr>
      <w:r>
        <w:rPr>
          <w:rFonts w:hint="eastAsia" w:eastAsia="宋体" w:cs="宋体"/>
          <w:highlight w:val="none"/>
        </w:rPr>
        <w:t>4.3说明</w:t>
      </w:r>
    </w:p>
    <w:p w14:paraId="14E08811">
      <w:pPr>
        <w:pStyle w:val="117"/>
        <w:ind w:firstLine="480"/>
        <w:rPr>
          <w:rFonts w:eastAsia="宋体" w:cs="宋体"/>
          <w:highlight w:val="none"/>
        </w:rPr>
      </w:pPr>
      <w:r>
        <w:rPr>
          <w:rFonts w:hint="eastAsia" w:eastAsia="宋体" w:cs="宋体"/>
          <w:highlight w:val="none"/>
        </w:rPr>
        <w:t>4.3.1 投标人在向招标人出示《投标保证金缴纳凭证》后方可进行投标；</w:t>
      </w:r>
    </w:p>
    <w:p w14:paraId="3746FB04">
      <w:pPr>
        <w:pStyle w:val="117"/>
        <w:ind w:firstLine="480"/>
        <w:rPr>
          <w:rFonts w:eastAsia="宋体" w:cs="宋体"/>
          <w:highlight w:val="none"/>
        </w:rPr>
      </w:pPr>
      <w:r>
        <w:rPr>
          <w:rFonts w:hint="eastAsia" w:eastAsia="宋体" w:cs="宋体"/>
          <w:highlight w:val="none"/>
        </w:rPr>
        <w:t>4.3.2 发生以下情况时，招标人有权没收保证金：</w:t>
      </w:r>
    </w:p>
    <w:p w14:paraId="5A8AA165">
      <w:pPr>
        <w:pStyle w:val="117"/>
        <w:ind w:firstLine="480"/>
        <w:rPr>
          <w:rFonts w:eastAsia="宋体" w:cs="宋体"/>
          <w:highlight w:val="none"/>
        </w:rPr>
      </w:pPr>
      <w:r>
        <w:rPr>
          <w:rFonts w:hint="eastAsia" w:eastAsia="宋体" w:cs="宋体"/>
          <w:highlight w:val="none"/>
        </w:rPr>
        <w:t>4.3.2.1 截至开标前3天，投标人无正当理由且未以书面形式递交说明而在投标截止日不来投标的；</w:t>
      </w:r>
    </w:p>
    <w:p w14:paraId="73342DA9">
      <w:pPr>
        <w:pStyle w:val="117"/>
        <w:ind w:firstLine="480"/>
        <w:rPr>
          <w:rFonts w:eastAsia="宋体" w:cs="宋体"/>
          <w:highlight w:val="none"/>
        </w:rPr>
      </w:pPr>
      <w:r>
        <w:rPr>
          <w:rFonts w:hint="eastAsia" w:eastAsia="宋体" w:cs="宋体"/>
          <w:highlight w:val="none"/>
        </w:rPr>
        <w:t>4.3.2.2 投标人递送投标文件后，无正当理由放弃投标的；</w:t>
      </w:r>
    </w:p>
    <w:p w14:paraId="4A3FB8DD">
      <w:pPr>
        <w:pStyle w:val="117"/>
        <w:ind w:firstLine="480"/>
        <w:rPr>
          <w:rFonts w:eastAsia="宋体" w:cs="宋体"/>
          <w:highlight w:val="none"/>
        </w:rPr>
      </w:pPr>
      <w:r>
        <w:rPr>
          <w:rFonts w:hint="eastAsia" w:eastAsia="宋体" w:cs="宋体"/>
          <w:highlight w:val="none"/>
        </w:rPr>
        <w:t>4.3.2.3若为视频开标，招标过程中澄清函等资料原件未按要求提交的；</w:t>
      </w:r>
    </w:p>
    <w:p w14:paraId="7BA364E2">
      <w:pPr>
        <w:pStyle w:val="117"/>
        <w:ind w:firstLine="480"/>
        <w:rPr>
          <w:rFonts w:eastAsia="宋体" w:cs="宋体"/>
          <w:highlight w:val="none"/>
        </w:rPr>
      </w:pPr>
      <w:r>
        <w:rPr>
          <w:rFonts w:hint="eastAsia" w:eastAsia="宋体" w:cs="宋体"/>
          <w:highlight w:val="none"/>
        </w:rPr>
        <w:t>4.3.2.4自中标通知书发出之日起30日内，中标人无正当理由不签订合同的；</w:t>
      </w:r>
    </w:p>
    <w:p w14:paraId="5D1C8C82">
      <w:pPr>
        <w:pStyle w:val="117"/>
        <w:ind w:firstLine="480"/>
        <w:rPr>
          <w:rFonts w:eastAsia="宋体" w:cs="宋体"/>
          <w:highlight w:val="none"/>
        </w:rPr>
      </w:pPr>
      <w:r>
        <w:rPr>
          <w:rFonts w:hint="eastAsia" w:eastAsia="宋体" w:cs="宋体"/>
          <w:highlight w:val="none"/>
        </w:rPr>
        <w:t>4.3.2.5投标人在投标过程中被查实有串标、围标、陪标等违规违纪行为的；</w:t>
      </w:r>
    </w:p>
    <w:p w14:paraId="2E68E3E2">
      <w:pPr>
        <w:pStyle w:val="117"/>
        <w:spacing w:line="360" w:lineRule="auto"/>
        <w:ind w:firstLine="48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4.3.2.6投标人有违约违规行为或被投诉、举报的，在调查处理期间，保证金暂不退还，待调查处理结束后按有关规定处理。</w:t>
      </w:r>
    </w:p>
    <w:p w14:paraId="39830B90">
      <w:pPr>
        <w:pStyle w:val="117"/>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.3.2.</w:t>
      </w:r>
      <w:r>
        <w:rPr>
          <w:rFonts w:hint="eastAsia" w:ascii="宋体" w:hAnsi="宋体" w:eastAsia="宋体" w:cs="宋体"/>
          <w:color w:val="000000"/>
          <w:sz w:val="24"/>
          <w:szCs w:val="24"/>
          <w:highlight w:val="none"/>
          <w:lang w:val="en-US" w:eastAsia="zh-CN"/>
        </w:rPr>
        <w:t>7</w:t>
      </w:r>
      <w:r>
        <w:rPr>
          <w:rFonts w:hint="eastAsia" w:ascii="宋体" w:hAnsi="宋体" w:eastAsia="宋体" w:cs="宋体"/>
          <w:color w:val="000000"/>
          <w:sz w:val="24"/>
          <w:szCs w:val="24"/>
          <w:highlight w:val="none"/>
        </w:rPr>
        <w:t>供应商与采购人、其他供应商或者采购代理机构恶意串通、围标、陪标的</w:t>
      </w:r>
      <w:r>
        <w:rPr>
          <w:rFonts w:hint="eastAsia" w:ascii="宋体" w:hAnsi="宋体" w:eastAsia="宋体" w:cs="宋体"/>
          <w:sz w:val="24"/>
          <w:szCs w:val="24"/>
          <w:highlight w:val="none"/>
        </w:rPr>
        <w:t>；</w:t>
      </w:r>
    </w:p>
    <w:p w14:paraId="79D5FD70">
      <w:pPr>
        <w:spacing w:line="360" w:lineRule="auto"/>
        <w:ind w:right="2" w:firstLine="480" w:firstLineChars="200"/>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lang w:val="en-US" w:eastAsia="zh-CN"/>
        </w:rPr>
        <w:t>4</w:t>
      </w:r>
      <w:r>
        <w:rPr>
          <w:rFonts w:hint="eastAsia" w:ascii="宋体" w:hAnsi="宋体" w:eastAsia="宋体" w:cs="宋体"/>
          <w:color w:val="000000"/>
          <w:sz w:val="24"/>
          <w:szCs w:val="24"/>
          <w:highlight w:val="none"/>
        </w:rPr>
        <w:t>.3.2.</w:t>
      </w:r>
      <w:r>
        <w:rPr>
          <w:rFonts w:hint="eastAsia" w:ascii="宋体" w:hAnsi="宋体" w:eastAsia="宋体" w:cs="宋体"/>
          <w:color w:val="000000"/>
          <w:sz w:val="24"/>
          <w:szCs w:val="24"/>
          <w:highlight w:val="none"/>
          <w:lang w:val="en-US" w:eastAsia="zh-CN"/>
        </w:rPr>
        <w:t>8</w:t>
      </w:r>
      <w:r>
        <w:rPr>
          <w:rFonts w:hint="eastAsia" w:ascii="宋体" w:hAnsi="宋体" w:eastAsia="宋体" w:cs="宋体"/>
          <w:color w:val="000000"/>
          <w:sz w:val="24"/>
          <w:szCs w:val="24"/>
          <w:highlight w:val="none"/>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14:paraId="2FDB3995">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4.3.2.9</w:t>
      </w:r>
      <w:r>
        <w:rPr>
          <w:rFonts w:hint="eastAsia" w:ascii="宋体" w:hAnsi="宋体" w:eastAsia="宋体" w:cs="宋体"/>
          <w:color w:val="000000"/>
          <w:sz w:val="24"/>
          <w:szCs w:val="24"/>
          <w:highlight w:val="none"/>
        </w:rPr>
        <w:t>采购文件规定的其他情形。</w:t>
      </w:r>
    </w:p>
    <w:p w14:paraId="78DF38F0">
      <w:pPr>
        <w:pStyle w:val="117"/>
        <w:ind w:firstLine="480"/>
        <w:rPr>
          <w:rFonts w:eastAsia="宋体" w:cs="宋体"/>
          <w:highlight w:val="none"/>
        </w:rPr>
      </w:pPr>
      <w:r>
        <w:rPr>
          <w:rFonts w:hint="eastAsia" w:eastAsia="宋体" w:cs="宋体"/>
          <w:highlight w:val="none"/>
        </w:rPr>
        <w:t>4.4投标报名截止时间</w:t>
      </w:r>
    </w:p>
    <w:p w14:paraId="3F09C89E">
      <w:pPr>
        <w:pStyle w:val="117"/>
        <w:ind w:firstLine="480"/>
        <w:rPr>
          <w:rFonts w:eastAsia="宋体" w:cs="宋体"/>
          <w:highlight w:val="none"/>
        </w:rPr>
      </w:pPr>
      <w:r>
        <w:rPr>
          <w:rFonts w:hint="eastAsia" w:eastAsia="宋体" w:cs="宋体"/>
          <w:highlight w:val="none"/>
        </w:rPr>
        <w:t>报名方式：见《投标须知前附表》2.3。</w:t>
      </w:r>
    </w:p>
    <w:p w14:paraId="122C762E">
      <w:pPr>
        <w:pStyle w:val="117"/>
        <w:ind w:firstLine="480"/>
        <w:rPr>
          <w:rFonts w:eastAsia="宋体" w:cs="宋体"/>
          <w:highlight w:val="none"/>
        </w:rPr>
      </w:pPr>
      <w:r>
        <w:rPr>
          <w:rFonts w:hint="eastAsia" w:eastAsia="宋体" w:cs="宋体"/>
          <w:highlight w:val="none"/>
        </w:rPr>
        <w:t>报名提交资料：均为盖章电子扫描版，用“公司名称+文件名称”命名。</w:t>
      </w:r>
    </w:p>
    <w:p w14:paraId="43199B66">
      <w:pPr>
        <w:numPr>
          <w:ilvl w:val="0"/>
          <w:numId w:val="4"/>
        </w:numPr>
        <w:spacing w:line="360" w:lineRule="auto"/>
        <w:rPr>
          <w:rFonts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如果是授权委托人投标，</w:t>
      </w:r>
      <w:r>
        <w:rPr>
          <w:rFonts w:hint="eastAsia" w:ascii="宋体" w:hAnsi="宋体" w:eastAsia="宋体" w:cs="宋体"/>
          <w:color w:val="000000"/>
          <w:sz w:val="24"/>
          <w:szCs w:val="24"/>
          <w:highlight w:val="none"/>
        </w:rPr>
        <w:t>要提交营业执照副本、法人授权委托书（含法人及授权人身份信息证明、授权代表联系方式）。</w:t>
      </w:r>
    </w:p>
    <w:p w14:paraId="470F6C18">
      <w:pPr>
        <w:numPr>
          <w:ilvl w:val="0"/>
          <w:numId w:val="4"/>
        </w:numPr>
        <w:spacing w:line="360" w:lineRule="auto"/>
        <w:rPr>
          <w:rFonts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如果是法人参加投标</w:t>
      </w:r>
      <w:r>
        <w:rPr>
          <w:rFonts w:hint="eastAsia" w:ascii="宋体" w:hAnsi="宋体" w:eastAsia="宋体" w:cs="宋体"/>
          <w:color w:val="000000"/>
          <w:sz w:val="24"/>
          <w:szCs w:val="24"/>
          <w:highlight w:val="none"/>
        </w:rPr>
        <w:t>，要提交营业执照副本、法人代表证明文件。</w:t>
      </w:r>
    </w:p>
    <w:p w14:paraId="2C288284">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5.开标时间</w:t>
      </w:r>
    </w:p>
    <w:p w14:paraId="56A3F47C">
      <w:pPr>
        <w:keepNext/>
        <w:keepLines/>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见《投标须知前附表》5.1，若有变动另行通知。</w:t>
      </w:r>
    </w:p>
    <w:p w14:paraId="08987FC2">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6.开标方式</w:t>
      </w:r>
    </w:p>
    <w:p w14:paraId="7A019121">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原则上来现场参与开标。如因特殊情况无法现场参与，需在开标前三日，通知招标人，由招标人创建视频链接，并在报名结束后统一通知。</w:t>
      </w:r>
    </w:p>
    <w:p w14:paraId="45BC5125">
      <w:pPr>
        <w:spacing w:line="360" w:lineRule="auto"/>
        <w:jc w:val="left"/>
        <w:outlineLvl w:val="1"/>
        <w:rPr>
          <w:rFonts w:ascii="宋体" w:hAnsi="宋体" w:eastAsia="宋体" w:cs="宋体"/>
          <w:b/>
          <w:sz w:val="24"/>
          <w:szCs w:val="24"/>
          <w:highlight w:val="none"/>
        </w:rPr>
      </w:pPr>
      <w:bookmarkStart w:id="6" w:name="_Toc33266627"/>
      <w:bookmarkStart w:id="7" w:name="_Toc33285487"/>
      <w:bookmarkStart w:id="8" w:name="_Toc33266950"/>
      <w:bookmarkStart w:id="9" w:name="_Toc33267001"/>
      <w:bookmarkStart w:id="10" w:name="_Toc33265653"/>
      <w:bookmarkStart w:id="11" w:name="_Toc33266914"/>
      <w:bookmarkStart w:id="12" w:name="_Toc33265752"/>
      <w:r>
        <w:rPr>
          <w:rFonts w:hint="eastAsia" w:ascii="宋体" w:hAnsi="宋体" w:eastAsia="宋体" w:cs="宋体"/>
          <w:b/>
          <w:sz w:val="24"/>
          <w:szCs w:val="24"/>
          <w:highlight w:val="none"/>
        </w:rPr>
        <w:t>六、评价原则</w:t>
      </w:r>
      <w:bookmarkEnd w:id="6"/>
      <w:bookmarkEnd w:id="7"/>
      <w:bookmarkEnd w:id="8"/>
      <w:bookmarkEnd w:id="9"/>
      <w:bookmarkEnd w:id="10"/>
      <w:bookmarkEnd w:id="11"/>
      <w:bookmarkEnd w:id="12"/>
      <w:bookmarkStart w:id="13" w:name="_Toc395116633"/>
    </w:p>
    <w:bookmarkEnd w:id="13"/>
    <w:p w14:paraId="3C458363">
      <w:pPr>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1.评标</w:t>
      </w:r>
    </w:p>
    <w:p w14:paraId="2C119989">
      <w:pPr>
        <w:adjustRightInd w:val="0"/>
        <w:snapToGrid w:val="0"/>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sz w:val="24"/>
          <w:szCs w:val="24"/>
          <w:highlight w:val="none"/>
        </w:rPr>
        <w:t>本次招标</w:t>
      </w:r>
      <w:bookmarkStart w:id="14" w:name="_Toc395116634"/>
      <w:bookmarkStart w:id="15" w:name="_Toc33267002"/>
      <w:bookmarkStart w:id="16" w:name="_Toc33265654"/>
      <w:bookmarkStart w:id="17" w:name="_Toc33266628"/>
      <w:bookmarkStart w:id="18" w:name="_Toc33265753"/>
      <w:bookmarkStart w:id="19" w:name="_Toc33266915"/>
      <w:bookmarkStart w:id="20" w:name="_Toc33285489"/>
      <w:bookmarkStart w:id="21" w:name="_Toc33266951"/>
      <w:r>
        <w:rPr>
          <w:rFonts w:hint="eastAsia" w:ascii="宋体" w:hAnsi="宋体" w:eastAsia="宋体" w:cs="宋体"/>
          <w:sz w:val="24"/>
          <w:szCs w:val="24"/>
          <w:highlight w:val="none"/>
        </w:rPr>
        <w:t>采用</w:t>
      </w:r>
      <w:r>
        <w:rPr>
          <w:rFonts w:hint="eastAsia" w:ascii="宋体" w:hAnsi="宋体" w:eastAsia="宋体" w:cs="宋体"/>
          <w:sz w:val="24"/>
          <w:szCs w:val="24"/>
          <w:highlight w:val="none"/>
          <w:lang w:val="en-US" w:eastAsia="zh-CN"/>
        </w:rPr>
        <w:t>综合评标法</w:t>
      </w:r>
      <w:r>
        <w:rPr>
          <w:rFonts w:hint="eastAsia" w:ascii="宋体" w:hAnsi="宋体" w:eastAsia="宋体" w:cs="宋体"/>
          <w:sz w:val="24"/>
          <w:szCs w:val="24"/>
          <w:highlight w:val="none"/>
        </w:rPr>
        <w:t>。</w:t>
      </w:r>
      <w:r>
        <w:rPr>
          <w:rFonts w:hint="eastAsia" w:ascii="宋体" w:hAnsi="宋体" w:eastAsia="宋体" w:cs="宋体"/>
          <w:b/>
          <w:color w:val="000000"/>
          <w:sz w:val="24"/>
          <w:szCs w:val="24"/>
          <w:highlight w:val="none"/>
        </w:rPr>
        <w:t>对未中标单位不做任何解释。</w:t>
      </w:r>
    </w:p>
    <w:bookmarkEnd w:id="14"/>
    <w:bookmarkEnd w:id="15"/>
    <w:bookmarkEnd w:id="16"/>
    <w:bookmarkEnd w:id="17"/>
    <w:bookmarkEnd w:id="18"/>
    <w:bookmarkEnd w:id="19"/>
    <w:bookmarkEnd w:id="20"/>
    <w:bookmarkEnd w:id="21"/>
    <w:p w14:paraId="5511E847">
      <w:pPr>
        <w:spacing w:line="360" w:lineRule="auto"/>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评标流程：</w:t>
      </w:r>
    </w:p>
    <w:p w14:paraId="2D224955">
      <w:pPr>
        <w:pStyle w:val="17"/>
        <w:spacing w:line="360" w:lineRule="auto"/>
        <w:ind w:firstLine="482" w:firstLineChars="200"/>
        <w:rPr>
          <w:rFonts w:hAnsi="宋体" w:eastAsia="宋体" w:cs="宋体"/>
          <w:sz w:val="24"/>
          <w:szCs w:val="24"/>
          <w:highlight w:val="none"/>
        </w:rPr>
      </w:pPr>
      <w:r>
        <w:rPr>
          <w:rFonts w:hint="eastAsia" w:hAnsi="宋体" w:eastAsia="宋体" w:cs="宋体"/>
          <w:b/>
          <w:color w:val="000000"/>
          <w:sz w:val="24"/>
          <w:szCs w:val="24"/>
          <w:highlight w:val="none"/>
        </w:rPr>
        <w:t>投标文件包含《投标文件（资质标）》、《投标文件（技术标）》、《投标文件（商务标）》（开标一览表），共计三个文件。</w:t>
      </w:r>
    </w:p>
    <w:p w14:paraId="0AA6E281">
      <w:pPr>
        <w:numPr>
          <w:ilvl w:val="0"/>
          <w:numId w:val="5"/>
        </w:numPr>
        <w:spacing w:line="360" w:lineRule="auto"/>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应标资格审查：在“中国重汽e采通”应标报名时，</w:t>
      </w:r>
      <w:r>
        <w:rPr>
          <w:rFonts w:hint="eastAsia" w:ascii="宋体" w:hAnsi="宋体" w:eastAsia="宋体" w:cs="宋体"/>
          <w:b/>
          <w:bCs/>
          <w:color w:val="000000"/>
          <w:sz w:val="24"/>
          <w:szCs w:val="24"/>
          <w:highlight w:val="none"/>
        </w:rPr>
        <w:t>按照第三部分第三条投标文件组成资格证明文件中的1.1-1.1</w:t>
      </w:r>
      <w:r>
        <w:rPr>
          <w:rFonts w:hint="eastAsia" w:ascii="宋体" w:hAnsi="宋体" w:eastAsia="宋体" w:cs="宋体"/>
          <w:b/>
          <w:bCs/>
          <w:color w:val="000000"/>
          <w:sz w:val="24"/>
          <w:szCs w:val="24"/>
          <w:highlight w:val="none"/>
          <w:lang w:val="en-US" w:eastAsia="zh-CN"/>
        </w:rPr>
        <w:t>3</w:t>
      </w:r>
      <w:r>
        <w:rPr>
          <w:rFonts w:hint="eastAsia" w:ascii="宋体" w:hAnsi="宋体" w:eastAsia="宋体" w:cs="宋体"/>
          <w:b/>
          <w:bCs/>
          <w:color w:val="000000"/>
          <w:sz w:val="24"/>
          <w:szCs w:val="24"/>
          <w:highlight w:val="none"/>
        </w:rPr>
        <w:t>准备资料，上传完毕后，等待审核</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yellow"/>
        </w:rPr>
        <w:t>请投标人确认中国重汽e采通系统中供应商信息完整、准确，因供应商信息不全或错误导致的报名不成功，由投标人自行承担。</w:t>
      </w:r>
    </w:p>
    <w:p w14:paraId="6DDAF21D">
      <w:pPr>
        <w:numPr>
          <w:ilvl w:val="0"/>
          <w:numId w:val="6"/>
        </w:numPr>
        <w:spacing w:line="360" w:lineRule="auto"/>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通过应标资格审查的单位进入投标环节，按照“SRM系统供应商用户手册（附件16）”，在重汽e采通平台投递电子标书（包含资质标、技术标、商务标）；没有通过应标资质审查的单位不能进入投标环节；</w:t>
      </w:r>
    </w:p>
    <w:p w14:paraId="576438D1">
      <w:pPr>
        <w:numPr>
          <w:ilvl w:val="0"/>
          <w:numId w:val="5"/>
        </w:numPr>
        <w:spacing w:line="360" w:lineRule="auto"/>
        <w:rPr>
          <w:rFonts w:ascii="宋体" w:hAnsi="宋体" w:eastAsia="宋体" w:cs="宋体"/>
          <w:b/>
          <w:color w:val="000000"/>
          <w:sz w:val="24"/>
          <w:szCs w:val="24"/>
          <w:highlight w:val="none"/>
        </w:rPr>
      </w:pPr>
      <w:r>
        <w:rPr>
          <w:rFonts w:hint="eastAsia" w:ascii="宋体" w:hAnsi="宋体" w:eastAsia="宋体" w:cs="宋体"/>
          <w:b/>
          <w:sz w:val="24"/>
          <w:szCs w:val="24"/>
          <w:highlight w:val="none"/>
        </w:rPr>
        <w:t>资质评审：资质审核通过的单位，可以进入</w:t>
      </w:r>
      <w:r>
        <w:rPr>
          <w:rFonts w:hint="eastAsia" w:ascii="宋体" w:hAnsi="宋体" w:eastAsia="宋体" w:cs="宋体"/>
          <w:b/>
          <w:color w:val="000000"/>
          <w:sz w:val="24"/>
          <w:szCs w:val="24"/>
          <w:highlight w:val="none"/>
        </w:rPr>
        <w:t>公开唱标环节；</w:t>
      </w:r>
    </w:p>
    <w:p w14:paraId="4228E3EE">
      <w:pPr>
        <w:numPr>
          <w:ilvl w:val="0"/>
          <w:numId w:val="7"/>
        </w:numPr>
        <w:spacing w:line="360" w:lineRule="auto"/>
        <w:rPr>
          <w:rFonts w:ascii="宋体" w:hAnsi="宋体" w:eastAsia="宋体" w:cs="宋体"/>
          <w:b/>
          <w:sz w:val="24"/>
          <w:szCs w:val="24"/>
          <w:highlight w:val="none"/>
        </w:rPr>
      </w:pPr>
      <w:r>
        <w:rPr>
          <w:rFonts w:hint="eastAsia" w:ascii="宋体" w:hAnsi="宋体" w:eastAsia="宋体" w:cs="宋体"/>
          <w:b/>
          <w:color w:val="000000"/>
          <w:sz w:val="24"/>
          <w:szCs w:val="24"/>
          <w:highlight w:val="none"/>
        </w:rPr>
        <w:t>公开唱标：公示资质标入围单位的开标价格及商务条款响应情况</w:t>
      </w:r>
      <w:r>
        <w:rPr>
          <w:rFonts w:hint="eastAsia" w:ascii="宋体" w:hAnsi="宋体" w:eastAsia="宋体" w:cs="宋体"/>
          <w:b/>
          <w:sz w:val="24"/>
          <w:szCs w:val="24"/>
          <w:highlight w:val="none"/>
        </w:rPr>
        <w:t>；</w:t>
      </w:r>
    </w:p>
    <w:p w14:paraId="65D06BD2">
      <w:pPr>
        <w:numPr>
          <w:ilvl w:val="0"/>
          <w:numId w:val="7"/>
        </w:numPr>
        <w:spacing w:line="360" w:lineRule="auto"/>
        <w:rPr>
          <w:rFonts w:ascii="宋体" w:hAnsi="宋体" w:eastAsia="宋体" w:cs="宋体"/>
          <w:b/>
          <w:sz w:val="24"/>
          <w:szCs w:val="24"/>
          <w:highlight w:val="none"/>
        </w:rPr>
      </w:pPr>
      <w:r>
        <w:rPr>
          <w:rFonts w:hint="eastAsia" w:ascii="宋体" w:hAnsi="宋体" w:eastAsia="宋体" w:cs="宋体"/>
          <w:b/>
          <w:color w:val="000000"/>
          <w:sz w:val="24"/>
          <w:szCs w:val="24"/>
          <w:highlight w:val="none"/>
        </w:rPr>
        <w:t>技术标评审</w:t>
      </w:r>
      <w:r>
        <w:rPr>
          <w:rFonts w:hint="eastAsia" w:ascii="宋体" w:hAnsi="宋体" w:eastAsia="宋体" w:cs="宋体"/>
          <w:b/>
          <w:sz w:val="24"/>
          <w:szCs w:val="24"/>
          <w:highlight w:val="none"/>
        </w:rPr>
        <w:t>：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4"/>
          <w:szCs w:val="24"/>
          <w:highlight w:val="none"/>
        </w:rPr>
        <w:t>技术标评分标准见附件14；</w:t>
      </w:r>
    </w:p>
    <w:p w14:paraId="1E493F8D">
      <w:pPr>
        <w:numPr>
          <w:ilvl w:val="0"/>
          <w:numId w:val="8"/>
        </w:numPr>
        <w:spacing w:line="360" w:lineRule="auto"/>
        <w:rPr>
          <w:rFonts w:ascii="宋体" w:hAnsi="宋体" w:eastAsia="宋体" w:cs="宋体"/>
          <w:b/>
          <w:sz w:val="24"/>
          <w:szCs w:val="24"/>
          <w:highlight w:val="none"/>
        </w:rPr>
      </w:pPr>
      <w:r>
        <w:rPr>
          <w:rFonts w:hint="eastAsia" w:ascii="宋体" w:hAnsi="宋体" w:eastAsia="宋体" w:cs="宋体"/>
          <w:b/>
          <w:sz w:val="24"/>
          <w:szCs w:val="24"/>
          <w:highlight w:val="none"/>
        </w:rPr>
        <w:t>商务标评审：商务条款相应确认→价格澄清→商务标评审；评审期间产生的商务价格澄清均由投标人在重汽e采通平台限时内完成提交；</w:t>
      </w:r>
    </w:p>
    <w:p w14:paraId="32113FD0">
      <w:pPr>
        <w:numPr>
          <w:ilvl w:val="255"/>
          <w:numId w:val="0"/>
        </w:numPr>
        <w:spacing w:line="360" w:lineRule="auto"/>
        <w:ind w:firstLine="482" w:firstLineChars="200"/>
        <w:rPr>
          <w:rFonts w:ascii="宋体" w:hAnsi="宋体" w:eastAsia="宋体" w:cs="宋体"/>
          <w:b/>
          <w:sz w:val="24"/>
          <w:szCs w:val="24"/>
          <w:highlight w:val="none"/>
        </w:rPr>
      </w:pPr>
      <w:r>
        <w:rPr>
          <w:rFonts w:hint="eastAsia" w:ascii="宋体" w:hAnsi="宋体" w:eastAsia="宋体" w:cs="宋体"/>
          <w:b/>
          <w:sz w:val="24"/>
          <w:szCs w:val="24"/>
          <w:highlight w:val="none"/>
        </w:rPr>
        <w:t>注意：投标人均需要自带笔记本电脑在重汽e采通进行自主投标和提交澄清函；投标和提交澄清函均有时间限制，超时未提交的按无效处理。</w:t>
      </w:r>
    </w:p>
    <w:p w14:paraId="679D9E62">
      <w:pPr>
        <w:numPr>
          <w:ilvl w:val="0"/>
          <w:numId w:val="9"/>
        </w:numPr>
        <w:spacing w:line="360" w:lineRule="auto"/>
        <w:rPr>
          <w:rFonts w:ascii="宋体" w:hAnsi="宋体" w:eastAsia="宋体" w:cs="宋体"/>
          <w:b/>
          <w:sz w:val="24"/>
          <w:szCs w:val="24"/>
          <w:highlight w:val="none"/>
        </w:rPr>
      </w:pPr>
      <w:r>
        <w:rPr>
          <w:rFonts w:hint="eastAsia" w:ascii="宋体" w:hAnsi="宋体" w:eastAsia="宋体" w:cs="宋体"/>
          <w:b/>
          <w:sz w:val="24"/>
          <w:szCs w:val="24"/>
          <w:highlight w:val="none"/>
        </w:rPr>
        <w:t>中标人确定：</w:t>
      </w:r>
      <w:r>
        <w:rPr>
          <w:rFonts w:hint="eastAsia" w:ascii="宋体" w:hAnsi="宋体" w:eastAsia="宋体" w:cs="Times New Roman"/>
          <w:b/>
          <w:sz w:val="24"/>
          <w:szCs w:val="24"/>
          <w:highlight w:val="none"/>
          <w:lang w:val="en-US" w:eastAsia="zh-CN"/>
        </w:rPr>
        <w:t>在满足招标方技术要求的前提下</w:t>
      </w:r>
      <w:r>
        <w:rPr>
          <w:rFonts w:hint="eastAsia" w:ascii="宋体" w:hAnsi="宋体" w:eastAsia="宋体" w:cs="Times New Roman"/>
          <w:b/>
          <w:sz w:val="24"/>
          <w:szCs w:val="24"/>
          <w:highlight w:val="none"/>
        </w:rPr>
        <w:t>，原则上综合评标法</w:t>
      </w:r>
      <w:r>
        <w:rPr>
          <w:rFonts w:hint="eastAsia" w:ascii="宋体" w:hAnsi="宋体" w:eastAsia="宋体" w:cs="Times New Roman"/>
          <w:b/>
          <w:sz w:val="24"/>
          <w:szCs w:val="24"/>
          <w:highlight w:val="none"/>
          <w:lang w:eastAsia="zh-CN"/>
        </w:rPr>
        <w:t>。</w:t>
      </w:r>
    </w:p>
    <w:p w14:paraId="61852794">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highlight w:val="none"/>
          <w:lang w:bidi="ar"/>
        </w:rPr>
        <w:t>变更意向中标人</w:t>
      </w:r>
      <w:r>
        <w:rPr>
          <w:rFonts w:hint="eastAsia" w:ascii="宋体" w:hAnsi="宋体" w:eastAsia="宋体" w:cs="宋体"/>
          <w:color w:val="000000"/>
          <w:sz w:val="24"/>
          <w:szCs w:val="24"/>
          <w:highlight w:val="none"/>
        </w:rPr>
        <w:t>。</w:t>
      </w:r>
    </w:p>
    <w:p w14:paraId="6C6E2424">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七、合同签订</w:t>
      </w:r>
    </w:p>
    <w:p w14:paraId="34AFA6A6">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1.招标人根据评标工作小组的评标结果确定中标人，在</w:t>
      </w:r>
      <w:r>
        <w:rPr>
          <w:rFonts w:hint="eastAsia" w:ascii="Times New Roman" w:hAnsi="Times New Roman" w:eastAsia="宋体" w:cs="Times New Roman"/>
          <w:color w:val="000000"/>
          <w:sz w:val="24"/>
          <w:szCs w:val="24"/>
          <w:highlight w:val="none"/>
        </w:rPr>
        <w:t>中国</w:t>
      </w:r>
      <w:r>
        <w:rPr>
          <w:rFonts w:hint="eastAsia" w:ascii="宋体" w:hAnsi="宋体" w:eastAsia="宋体" w:cs="宋体"/>
          <w:color w:val="000000"/>
          <w:sz w:val="24"/>
          <w:szCs w:val="24"/>
          <w:highlight w:val="none"/>
        </w:rPr>
        <w:t>重汽e采通平台公布中标结果，并发送中标通知。</w:t>
      </w:r>
    </w:p>
    <w:p w14:paraId="005F80B2">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2.中标人应该在中标通知书规定的时间、地点与招标人签订采购合同，否则按照开标后撤回投标处理。</w:t>
      </w:r>
    </w:p>
    <w:p w14:paraId="3AE5734D">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3.中标人应当按照合同约定的履约责任，在保证质量的前提下完成中标项目，不得将中标项目转包或分包给他人，否则视为违约，招标人有权解除合同。</w:t>
      </w:r>
    </w:p>
    <w:p w14:paraId="2E8B1927">
      <w:pPr>
        <w:spacing w:line="360" w:lineRule="auto"/>
        <w:ind w:firstLine="482" w:firstLineChars="200"/>
        <w:rPr>
          <w:rFonts w:ascii="宋体" w:hAnsi="宋体" w:eastAsia="宋体" w:cs="宋体"/>
          <w:b/>
          <w:sz w:val="24"/>
          <w:szCs w:val="24"/>
          <w:highlight w:val="none"/>
        </w:rPr>
      </w:pPr>
      <w:r>
        <w:rPr>
          <w:rFonts w:hint="eastAsia" w:ascii="宋体" w:hAnsi="宋体" w:eastAsia="宋体" w:cs="宋体"/>
          <w:b/>
          <w:sz w:val="24"/>
          <w:szCs w:val="24"/>
          <w:highlight w:val="none"/>
        </w:rPr>
        <w:t>4.中标人由于履行义务的能力或信用有严重缺陷，招标人有权取消其中标资格，招标人将从中标候选单位中依序重新确定中标人，或重新组织招标；</w:t>
      </w:r>
    </w:p>
    <w:p w14:paraId="25683BF8">
      <w:pPr>
        <w:spacing w:line="360" w:lineRule="auto"/>
        <w:ind w:firstLine="482" w:firstLineChars="200"/>
        <w:rPr>
          <w:rFonts w:ascii="宋体" w:hAnsi="宋体" w:eastAsia="宋体" w:cs="宋体"/>
          <w:b/>
          <w:sz w:val="24"/>
          <w:szCs w:val="24"/>
          <w:highlight w:val="none"/>
        </w:rPr>
      </w:pPr>
      <w:r>
        <w:rPr>
          <w:rFonts w:hint="eastAsia" w:ascii="宋体" w:hAnsi="宋体" w:eastAsia="宋体" w:cs="宋体"/>
          <w:b/>
          <w:sz w:val="24"/>
          <w:szCs w:val="24"/>
          <w:highlight w:val="none"/>
        </w:rPr>
        <w:t>5.合同以双方最终签署的版本为准。</w:t>
      </w:r>
    </w:p>
    <w:p w14:paraId="2CD0C523">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八、废标及终止招标</w:t>
      </w:r>
    </w:p>
    <w:p w14:paraId="50B5A4B9">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9D5F617">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（1）投标人提供的有关资格、资质证明文件不合格、不真实或提供虚假投标材料；</w:t>
      </w:r>
    </w:p>
    <w:p w14:paraId="6AB846A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14:paraId="152CEBE7">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14:paraId="74AB25CD">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14:paraId="1EFCBA98">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14:paraId="27478058">
      <w:pPr>
        <w:pStyle w:val="17"/>
        <w:spacing w:line="360" w:lineRule="auto"/>
        <w:rPr>
          <w:rFonts w:hAnsi="宋体" w:eastAsia="宋体" w:cs="宋体"/>
          <w:sz w:val="24"/>
          <w:szCs w:val="24"/>
          <w:highlight w:val="none"/>
        </w:rPr>
      </w:pPr>
      <w:r>
        <w:rPr>
          <w:rFonts w:hint="eastAsia" w:hAnsi="宋体" w:eastAsia="宋体" w:cs="宋体"/>
          <w:color w:val="000000"/>
          <w:sz w:val="24"/>
          <w:szCs w:val="24"/>
          <w:highlight w:val="none"/>
        </w:rPr>
        <w:t xml:space="preserve">    （6）投标人被举报、检举，并经招标人查实无误的；</w:t>
      </w:r>
    </w:p>
    <w:p w14:paraId="4E1C8FE3">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14:paraId="29041326">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14:paraId="2C0EF3E7">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（9）有效投标不足三家；</w:t>
      </w:r>
    </w:p>
    <w:p w14:paraId="67FADB95">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14:paraId="01240B75">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14:paraId="4C0189E6">
      <w:pPr>
        <w:pStyle w:val="17"/>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（12）不同投标人的投标文件异常一致；</w:t>
      </w:r>
    </w:p>
    <w:p w14:paraId="05F58422">
      <w:pPr>
        <w:pStyle w:val="17"/>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（13）投标报价呈规律性差异的；</w:t>
      </w:r>
    </w:p>
    <w:p w14:paraId="7FBE129A">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hAnsi="宋体" w:eastAsia="宋体" w:cs="宋体"/>
          <w:color w:val="000000"/>
          <w:sz w:val="24"/>
          <w:szCs w:val="24"/>
          <w:highlight w:val="none"/>
        </w:rPr>
        <w:t>4</w:t>
      </w:r>
      <w:r>
        <w:rPr>
          <w:rFonts w:hint="eastAsia" w:ascii="宋体" w:hAnsi="宋体" w:eastAsia="宋体" w:cs="宋体"/>
          <w:color w:val="000000"/>
          <w:sz w:val="24"/>
          <w:szCs w:val="24"/>
          <w:highlight w:val="none"/>
        </w:rPr>
        <w:t>）法律、法规规定的其他情况。</w:t>
      </w:r>
    </w:p>
    <w:p w14:paraId="4F884304">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2.出现下列情形之一，招标人有权否决所有投标人的投标，并终止招标。</w:t>
      </w:r>
    </w:p>
    <w:p w14:paraId="3875CA03">
      <w:pPr>
        <w:spacing w:line="360" w:lineRule="auto"/>
        <w:ind w:right="2" w:firstLine="480" w:firstLineChars="200"/>
        <w:rPr>
          <w:rFonts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14:paraId="76F1B8BB">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14:paraId="31FA0EE0">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3AD34141">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bookmarkStart w:id="22" w:name="OLE_LINK27"/>
      <w:bookmarkStart w:id="23" w:name="OLE_LINK25"/>
      <w:bookmarkStart w:id="24" w:name="OLE_LINK26"/>
      <w:bookmarkStart w:id="25" w:name="OLE_LINK29"/>
      <w:bookmarkStart w:id="26" w:name="OLE_LINK28"/>
      <w:r>
        <w:rPr>
          <w:rFonts w:hint="eastAsia" w:ascii="宋体" w:hAnsi="宋体" w:eastAsia="宋体" w:cs="宋体"/>
          <w:bCs/>
          <w:sz w:val="24"/>
          <w:szCs w:val="24"/>
          <w:highlight w:val="none"/>
        </w:rPr>
        <w:t>；</w:t>
      </w:r>
      <w:bookmarkEnd w:id="22"/>
      <w:bookmarkEnd w:id="23"/>
      <w:bookmarkEnd w:id="24"/>
      <w:bookmarkEnd w:id="25"/>
      <w:bookmarkEnd w:id="26"/>
    </w:p>
    <w:p w14:paraId="03E218C6">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14:paraId="6B9AE7E6">
      <w:pPr>
        <w:pStyle w:val="17"/>
        <w:spacing w:line="360" w:lineRule="auto"/>
        <w:ind w:firstLine="480" w:firstLineChars="200"/>
        <w:rPr>
          <w:rFonts w:hAnsi="宋体" w:eastAsia="宋体" w:cs="宋体"/>
          <w:bCs/>
          <w:sz w:val="24"/>
          <w:szCs w:val="24"/>
          <w:highlight w:val="none"/>
        </w:rPr>
      </w:pPr>
      <w:r>
        <w:rPr>
          <w:rFonts w:hint="eastAsia" w:hAnsi="宋体" w:eastAsia="宋体" w:cs="宋体"/>
          <w:bCs/>
          <w:sz w:val="24"/>
          <w:szCs w:val="24"/>
          <w:highlight w:val="none"/>
        </w:rPr>
        <w:t>（6）招标人认为其他应终止招标的情形。</w:t>
      </w:r>
    </w:p>
    <w:p w14:paraId="4B4661E0">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798666A4">
      <w:pPr>
        <w:spacing w:line="360" w:lineRule="auto"/>
        <w:ind w:right="2" w:firstLine="482" w:firstLineChars="200"/>
        <w:outlineLvl w:val="1"/>
        <w:rPr>
          <w:rFonts w:ascii="宋体" w:hAnsi="宋体" w:eastAsia="宋体" w:cs="宋体"/>
          <w:b/>
          <w:color w:val="000000"/>
          <w:sz w:val="24"/>
          <w:szCs w:val="24"/>
          <w:highlight w:val="none"/>
        </w:rPr>
      </w:pPr>
      <w:r>
        <w:rPr>
          <w:rFonts w:hint="eastAsia" w:ascii="宋体" w:hAnsi="宋体" w:eastAsia="宋体" w:cs="宋体"/>
          <w:b/>
          <w:bCs/>
          <w:sz w:val="24"/>
          <w:szCs w:val="24"/>
          <w:highlight w:val="none"/>
        </w:rPr>
        <w:t>九、本次招标最终解释权</w:t>
      </w:r>
      <w:r>
        <w:rPr>
          <w:rFonts w:hint="eastAsia" w:ascii="宋体" w:hAnsi="宋体" w:eastAsia="宋体" w:cs="宋体"/>
          <w:b/>
          <w:color w:val="000000"/>
          <w:sz w:val="24"/>
          <w:szCs w:val="24"/>
          <w:highlight w:val="none"/>
        </w:rPr>
        <w:t>归</w:t>
      </w:r>
      <w:r>
        <w:rPr>
          <w:rFonts w:hint="eastAsia" w:ascii="宋体" w:hAnsi="宋体" w:eastAsia="宋体" w:cs="宋体"/>
          <w:b/>
          <w:color w:val="000000"/>
          <w:sz w:val="24"/>
          <w:szCs w:val="24"/>
          <w:highlight w:val="none"/>
          <w:lang w:eastAsia="zh-CN"/>
        </w:rPr>
        <w:t>中国重汽集团杭州发动机有限公司</w:t>
      </w:r>
      <w:r>
        <w:rPr>
          <w:rFonts w:hint="eastAsia" w:ascii="宋体" w:hAnsi="宋体" w:eastAsia="宋体" w:cs="宋体"/>
          <w:b/>
          <w:color w:val="000000"/>
          <w:sz w:val="24"/>
          <w:szCs w:val="24"/>
          <w:highlight w:val="none"/>
        </w:rPr>
        <w:t>。</w:t>
      </w:r>
    </w:p>
    <w:p w14:paraId="606CB4C3">
      <w:pPr>
        <w:pStyle w:val="17"/>
        <w:spacing w:line="360" w:lineRule="auto"/>
        <w:jc w:val="center"/>
        <w:rPr>
          <w:rFonts w:hAnsi="宋体" w:eastAsia="宋体" w:cs="宋体"/>
          <w:b/>
          <w:bCs/>
          <w:kern w:val="44"/>
          <w:sz w:val="24"/>
          <w:szCs w:val="24"/>
          <w:highlight w:val="none"/>
        </w:rPr>
        <w:sectPr>
          <w:footerReference r:id="rId9" w:type="default"/>
          <w:pgSz w:w="11907" w:h="16840"/>
          <w:pgMar w:top="1304" w:right="1418" w:bottom="1304" w:left="1418" w:header="724" w:footer="851" w:gutter="0"/>
          <w:pgNumType w:fmt="decimal"/>
          <w:cols w:space="720" w:num="1"/>
          <w:docGrid w:linePitch="290" w:charSpace="-3931"/>
        </w:sectPr>
      </w:pPr>
    </w:p>
    <w:p w14:paraId="0B77ADE6">
      <w:pPr>
        <w:pStyle w:val="17"/>
        <w:numPr>
          <w:ilvl w:val="255"/>
          <w:numId w:val="0"/>
        </w:numPr>
        <w:jc w:val="center"/>
        <w:outlineLvl w:val="0"/>
        <w:rPr>
          <w:rFonts w:ascii="Calibri" w:hAnsi="Calibri" w:eastAsia="宋体" w:cs="Times New Roman"/>
          <w:b/>
          <w:bCs/>
          <w:kern w:val="44"/>
          <w:sz w:val="36"/>
          <w:szCs w:val="44"/>
          <w:highlight w:val="none"/>
        </w:rPr>
      </w:pPr>
      <w:bookmarkStart w:id="27" w:name="_Toc22879"/>
      <w:r>
        <w:rPr>
          <w:rFonts w:hint="eastAsia" w:ascii="Calibri" w:hAnsi="Calibri" w:eastAsia="宋体" w:cs="Times New Roman"/>
          <w:b/>
          <w:bCs/>
          <w:kern w:val="44"/>
          <w:sz w:val="36"/>
          <w:szCs w:val="44"/>
          <w:highlight w:val="none"/>
        </w:rPr>
        <w:t>第三部分 投标文件编制</w:t>
      </w:r>
      <w:bookmarkEnd w:id="27"/>
    </w:p>
    <w:p w14:paraId="62C79168">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一、投标文件的编制</w:t>
      </w:r>
    </w:p>
    <w:p w14:paraId="545ECFC5">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1.投标人应认真阅读招标文件的所有内容，按招标文件的要求提供投标文件，并保证提供的全部资料的真实性，以使其投标对招标文件作出实质性响应，否则，其投标将被拒绝。</w:t>
      </w:r>
    </w:p>
    <w:p w14:paraId="4E21813D">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2.投标文件和与投标有关的所有文件均应使用中文。</w:t>
      </w:r>
    </w:p>
    <w:p w14:paraId="79E9F9F5">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3.除投标文件的技术规格中另有规定外，投标文件中所使用的计量单位应为中华人民共和国法定计量单位。</w:t>
      </w:r>
    </w:p>
    <w:p w14:paraId="665E3788">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二、投标文件资料</w:t>
      </w:r>
    </w:p>
    <w:p w14:paraId="4E497F94">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1.投标人所投标设备详细技术资料清单，在标书中列示说明；</w:t>
      </w:r>
    </w:p>
    <w:p w14:paraId="7439E127">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2.投标人完整的技术支持与售后服务实施方案，在标书中列示说明，包含但不限于以下内容：</w:t>
      </w:r>
    </w:p>
    <w:p w14:paraId="0FD0B1CC">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A、除享受由本品牌生产厂家提供的正规的全球或全国联保三包服务之外，还能获得由本品牌生产厂家或经销商提供的何种免费支持、免费服务或其他对招标人有利的服务项目。</w:t>
      </w:r>
    </w:p>
    <w:p w14:paraId="68753817">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B、售后服务机构或网点（名称、地址、联系人、电话）。</w:t>
      </w:r>
    </w:p>
    <w:p w14:paraId="056C69F4">
      <w:pPr>
        <w:spacing w:line="360" w:lineRule="auto"/>
        <w:ind w:firstLine="480" w:firstLineChars="200"/>
        <w:rPr>
          <w:rFonts w:ascii="宋体" w:hAnsi="宋体" w:eastAsia="宋体" w:cs="宋体"/>
          <w:bCs/>
          <w:color w:val="000000"/>
          <w:sz w:val="24"/>
          <w:szCs w:val="24"/>
          <w:highlight w:val="none"/>
        </w:rPr>
      </w:pPr>
      <w:r>
        <w:rPr>
          <w:rFonts w:hint="eastAsia" w:ascii="宋体" w:hAnsi="宋体" w:eastAsia="宋体" w:cs="宋体"/>
          <w:bCs/>
          <w:color w:val="000000"/>
          <w:sz w:val="24"/>
          <w:szCs w:val="24"/>
          <w:highlight w:val="none"/>
        </w:rPr>
        <w:t>C、针对本项目的技术服务团队情况（人员数量、姓名、电话、专业资质等）。</w:t>
      </w:r>
    </w:p>
    <w:p w14:paraId="651F0D69">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D、日常维护保养及故障排除措施保证。</w:t>
      </w:r>
    </w:p>
    <w:p w14:paraId="612EE78A">
      <w:pPr>
        <w:spacing w:line="360" w:lineRule="auto"/>
        <w:ind w:firstLine="480" w:firstLineChars="200"/>
        <w:rPr>
          <w:rFonts w:ascii="宋体" w:hAnsi="宋体" w:eastAsia="宋体" w:cs="宋体"/>
          <w:sz w:val="24"/>
          <w:szCs w:val="24"/>
          <w:highlight w:val="none"/>
        </w:rPr>
      </w:pPr>
      <w:r>
        <w:rPr>
          <w:rFonts w:hint="eastAsia" w:ascii="宋体" w:hAnsi="宋体" w:eastAsia="宋体" w:cs="宋体"/>
          <w:color w:val="000000"/>
          <w:sz w:val="24"/>
          <w:szCs w:val="24"/>
          <w:highlight w:val="none"/>
        </w:rPr>
        <w:t>3.投标人关于包装、运输、检验、交付、安装、调试、培训等方案，均需在投标文件中列示说明。</w:t>
      </w:r>
    </w:p>
    <w:p w14:paraId="3A0659DD">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三、投标文件的组成</w:t>
      </w:r>
    </w:p>
    <w:p w14:paraId="5645E851">
      <w:pPr>
        <w:spacing w:line="360" w:lineRule="auto"/>
        <w:ind w:firstLine="480" w:firstLineChars="200"/>
        <w:rPr>
          <w:rFonts w:ascii="宋体" w:hAnsi="宋体" w:eastAsia="宋体" w:cs="宋体"/>
          <w:bCs/>
          <w:color w:val="000000"/>
          <w:sz w:val="24"/>
          <w:szCs w:val="24"/>
          <w:highlight w:val="none"/>
        </w:rPr>
      </w:pPr>
      <w:r>
        <w:rPr>
          <w:rFonts w:hint="eastAsia" w:ascii="宋体" w:hAnsi="宋体" w:eastAsia="宋体" w:cs="宋体"/>
          <w:bCs/>
          <w:sz w:val="24"/>
          <w:szCs w:val="24"/>
          <w:highlight w:val="none"/>
        </w:rPr>
        <w:t>本项目投标文件分为</w:t>
      </w:r>
      <w:r>
        <w:rPr>
          <w:rFonts w:hint="eastAsia" w:ascii="宋体" w:hAnsi="宋体" w:eastAsia="宋体" w:cs="宋体"/>
          <w:b/>
          <w:sz w:val="24"/>
          <w:szCs w:val="24"/>
          <w:highlight w:val="none"/>
        </w:rPr>
        <w:t>纸质版</w:t>
      </w:r>
      <w:r>
        <w:rPr>
          <w:rFonts w:hint="eastAsia" w:ascii="宋体" w:hAnsi="宋体" w:eastAsia="宋体" w:cs="宋体"/>
          <w:bCs/>
          <w:sz w:val="24"/>
          <w:szCs w:val="24"/>
          <w:highlight w:val="none"/>
        </w:rPr>
        <w:t>投标文件和</w:t>
      </w:r>
      <w:r>
        <w:rPr>
          <w:rFonts w:hint="eastAsia" w:ascii="宋体" w:hAnsi="宋体" w:eastAsia="宋体" w:cs="宋体"/>
          <w:b/>
          <w:sz w:val="24"/>
          <w:szCs w:val="24"/>
          <w:highlight w:val="none"/>
        </w:rPr>
        <w:t>电子版</w:t>
      </w:r>
      <w:r>
        <w:rPr>
          <w:rFonts w:hint="eastAsia" w:ascii="宋体" w:hAnsi="宋体" w:eastAsia="宋体" w:cs="宋体"/>
          <w:bCs/>
          <w:sz w:val="24"/>
          <w:szCs w:val="24"/>
          <w:highlight w:val="none"/>
        </w:rPr>
        <w:t>投标文件，均由</w:t>
      </w:r>
      <w:r>
        <w:rPr>
          <w:rFonts w:hint="eastAsia" w:ascii="宋体" w:hAnsi="宋体" w:eastAsia="宋体" w:cs="宋体"/>
          <w:b/>
          <w:sz w:val="24"/>
          <w:szCs w:val="24"/>
          <w:highlight w:val="none"/>
        </w:rPr>
        <w:t>《投标文件（资质标）》、《投标文件（技术标）》、《投标文件（商务标）》（开标一览表）</w:t>
      </w:r>
      <w:r>
        <w:rPr>
          <w:rFonts w:hint="eastAsia" w:ascii="宋体" w:hAnsi="宋体" w:eastAsia="宋体" w:cs="宋体"/>
          <w:bCs/>
          <w:sz w:val="24"/>
          <w:szCs w:val="24"/>
          <w:highlight w:val="none"/>
        </w:rPr>
        <w:t>文件组成，共计3</w:t>
      </w:r>
      <w:r>
        <w:rPr>
          <w:rFonts w:hint="eastAsia" w:ascii="宋体" w:hAnsi="宋体" w:eastAsia="宋体" w:cs="宋体"/>
          <w:bCs/>
          <w:color w:val="000000"/>
          <w:sz w:val="24"/>
          <w:szCs w:val="24"/>
          <w:highlight w:val="none"/>
        </w:rPr>
        <w:t>个文件。</w:t>
      </w:r>
    </w:p>
    <w:p w14:paraId="721CAAE2">
      <w:pPr>
        <w:spacing w:line="360" w:lineRule="auto"/>
        <w:ind w:firstLine="482" w:firstLineChars="200"/>
        <w:rPr>
          <w:rFonts w:ascii="宋体" w:hAnsi="宋体" w:eastAsia="宋体" w:cs="宋体"/>
          <w:bCs/>
          <w:color w:val="000000"/>
          <w:sz w:val="24"/>
          <w:szCs w:val="24"/>
          <w:highlight w:val="none"/>
        </w:rPr>
      </w:pPr>
      <w:r>
        <w:rPr>
          <w:rFonts w:hint="eastAsia" w:ascii="宋体" w:hAnsi="宋体" w:eastAsia="宋体" w:cs="宋体"/>
          <w:b/>
          <w:color w:val="000000"/>
          <w:sz w:val="24"/>
          <w:szCs w:val="24"/>
          <w:highlight w:val="none"/>
        </w:rPr>
        <w:t>投标文件的份数要求及投递方式</w:t>
      </w:r>
      <w:r>
        <w:rPr>
          <w:rFonts w:hint="eastAsia" w:ascii="宋体" w:hAnsi="宋体" w:eastAsia="宋体" w:cs="宋体"/>
          <w:bCs/>
          <w:color w:val="000000"/>
          <w:sz w:val="24"/>
          <w:szCs w:val="24"/>
          <w:highlight w:val="none"/>
        </w:rPr>
        <w:t>，见《投标须知前附表》第3条。</w:t>
      </w:r>
    </w:p>
    <w:p w14:paraId="1BB1FF51">
      <w:pPr>
        <w:spacing w:line="360" w:lineRule="auto"/>
        <w:ind w:firstLine="480" w:firstLineChars="200"/>
        <w:rPr>
          <w:rFonts w:ascii="宋体" w:hAnsi="宋体" w:eastAsia="宋体" w:cs="宋体"/>
          <w:bCs/>
          <w:color w:val="000000"/>
          <w:sz w:val="24"/>
          <w:szCs w:val="24"/>
          <w:highlight w:val="none"/>
        </w:rPr>
      </w:pPr>
      <w:r>
        <w:rPr>
          <w:rFonts w:hint="eastAsia" w:ascii="宋体" w:hAnsi="宋体" w:eastAsia="宋体" w:cs="宋体"/>
          <w:bCs/>
          <w:color w:val="000000"/>
          <w:sz w:val="24"/>
          <w:szCs w:val="24"/>
          <w:highlight w:val="none"/>
        </w:rPr>
        <w:t>详见附件格式1—13，其余未尽事宜请按各单位习惯制定即可。</w:t>
      </w:r>
    </w:p>
    <w:p w14:paraId="161FCFFF">
      <w:pPr>
        <w:spacing w:line="360" w:lineRule="auto"/>
        <w:ind w:firstLine="482" w:firstLineChars="200"/>
        <w:rPr>
          <w:rFonts w:ascii="宋体" w:hAnsi="宋体" w:eastAsia="宋体" w:cs="宋体"/>
          <w:color w:val="000000"/>
          <w:sz w:val="24"/>
          <w:szCs w:val="24"/>
          <w:highlight w:val="none"/>
        </w:rPr>
      </w:pPr>
      <w:r>
        <w:rPr>
          <w:rFonts w:hint="eastAsia" w:ascii="宋体" w:hAnsi="宋体" w:eastAsia="宋体" w:cs="宋体"/>
          <w:b/>
          <w:bCs/>
          <w:sz w:val="24"/>
          <w:szCs w:val="24"/>
          <w:highlight w:val="none"/>
        </w:rPr>
        <w:t>1.《投标文件（资质标）》包括</w:t>
      </w:r>
      <w:r>
        <w:rPr>
          <w:rFonts w:hint="eastAsia" w:ascii="宋体" w:hAnsi="宋体" w:eastAsia="宋体" w:cs="宋体"/>
          <w:color w:val="000000"/>
          <w:sz w:val="24"/>
          <w:szCs w:val="24"/>
          <w:highlight w:val="none"/>
        </w:rPr>
        <w:t>：</w:t>
      </w:r>
    </w:p>
    <w:p w14:paraId="29EB9E58">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1.1营业执照副本复印件（需加盖公章）；</w:t>
      </w:r>
    </w:p>
    <w:p w14:paraId="2D020D0D">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1.2投标函（附件1）；</w:t>
      </w:r>
    </w:p>
    <w:p w14:paraId="12433347">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highlight w:val="none"/>
        </w:rPr>
        <w:t>（含法人身份证和被授权人身份证正反面复印件）和</w:t>
      </w:r>
      <w:r>
        <w:rPr>
          <w:rFonts w:hint="eastAsia" w:ascii="宋体" w:hAnsi="宋体" w:eastAsia="宋体" w:cs="宋体"/>
          <w:sz w:val="24"/>
          <w:szCs w:val="24"/>
          <w:highlight w:val="none"/>
        </w:rPr>
        <w:t>被授权人</w:t>
      </w:r>
      <w:r>
        <w:rPr>
          <w:rFonts w:hint="eastAsia" w:ascii="宋体" w:hAnsi="宋体" w:eastAsia="宋体" w:cs="宋体"/>
          <w:kern w:val="0"/>
          <w:sz w:val="24"/>
          <w:szCs w:val="24"/>
          <w:highlight w:val="none"/>
          <w:lang w:bidi="en-US"/>
        </w:rPr>
        <w:t>近6个月及以上在授权单位的社保缴纳证明</w:t>
      </w:r>
      <w:r>
        <w:rPr>
          <w:rFonts w:hint="eastAsia" w:ascii="宋体" w:hAnsi="宋体" w:eastAsia="宋体" w:cs="宋体"/>
          <w:b/>
          <w:color w:val="000000"/>
          <w:sz w:val="24"/>
          <w:szCs w:val="24"/>
          <w:highlight w:val="none"/>
        </w:rPr>
        <w:t>；</w:t>
      </w:r>
    </w:p>
    <w:p w14:paraId="1D180CC0">
      <w:pPr>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color w:val="000000"/>
          <w:sz w:val="24"/>
          <w:szCs w:val="24"/>
          <w:highlight w:val="none"/>
        </w:rPr>
        <w:t>1.4经会计师事务所审计且出具无保留意见的近</w:t>
      </w:r>
      <w:r>
        <w:rPr>
          <w:rFonts w:hint="eastAsia" w:ascii="宋体" w:hAnsi="宋体" w:eastAsia="宋体" w:cs="宋体"/>
          <w:color w:val="000000"/>
          <w:sz w:val="24"/>
          <w:szCs w:val="24"/>
          <w:highlight w:val="none"/>
          <w:lang w:val="en-US" w:eastAsia="zh-CN"/>
        </w:rPr>
        <w:t>三</w:t>
      </w:r>
      <w:r>
        <w:rPr>
          <w:rFonts w:hint="eastAsia" w:ascii="宋体" w:hAnsi="宋体" w:eastAsia="宋体" w:cs="宋体"/>
          <w:color w:val="000000"/>
          <w:sz w:val="24"/>
          <w:szCs w:val="24"/>
          <w:highlight w:val="none"/>
        </w:rPr>
        <w:t>年的财务审计报告，并加盖公章，包括但不限于报告页、经审计的资产负债表、利润表、现金流量表及报表附注</w:t>
      </w:r>
      <w:r>
        <w:rPr>
          <w:rFonts w:hint="eastAsia" w:ascii="宋体" w:hAnsi="宋体" w:eastAsia="宋体" w:cs="宋体"/>
          <w:color w:val="000000"/>
          <w:sz w:val="24"/>
          <w:szCs w:val="24"/>
          <w:highlight w:val="none"/>
          <w:lang w:eastAsia="zh-CN"/>
        </w:rPr>
        <w:t>，</w:t>
      </w:r>
      <w:r>
        <w:rPr>
          <w:rFonts w:hint="eastAsia" w:hAnsi="宋体" w:eastAsia="宋体" w:cs="宋体"/>
          <w:color w:val="000000"/>
          <w:sz w:val="24"/>
          <w:szCs w:val="24"/>
          <w:highlight w:val="none"/>
        </w:rPr>
        <w:t>（如投标人公司没有经审计的财务报告，可提供加盖公章的近</w:t>
      </w:r>
      <w:r>
        <w:rPr>
          <w:rFonts w:hint="eastAsia" w:hAnsi="宋体" w:eastAsia="宋体" w:cs="宋体"/>
          <w:color w:val="000000"/>
          <w:sz w:val="24"/>
          <w:szCs w:val="24"/>
          <w:highlight w:val="none"/>
          <w:lang w:val="en-US" w:eastAsia="zh-CN"/>
        </w:rPr>
        <w:t>三</w:t>
      </w:r>
      <w:r>
        <w:rPr>
          <w:rFonts w:hint="eastAsia" w:hAnsi="宋体" w:eastAsia="宋体" w:cs="宋体"/>
          <w:color w:val="000000"/>
          <w:sz w:val="24"/>
          <w:szCs w:val="24"/>
          <w:highlight w:val="none"/>
        </w:rPr>
        <w:t>年财务报表，包括但不限于资产负债表、利润表、现金流量表）</w:t>
      </w:r>
      <w:r>
        <w:rPr>
          <w:rFonts w:hint="eastAsia" w:ascii="宋体" w:hAnsi="宋体" w:eastAsia="宋体" w:cs="宋体"/>
          <w:color w:val="000000"/>
          <w:sz w:val="24"/>
          <w:szCs w:val="24"/>
          <w:highlight w:val="none"/>
        </w:rPr>
        <w:t>。必须连续，同时填写投标人基本情况及资产情况汇总表（附件3）</w:t>
      </w:r>
      <w:r>
        <w:rPr>
          <w:rFonts w:hint="eastAsia" w:ascii="宋体" w:hAnsi="宋体" w:eastAsia="宋体" w:cs="宋体"/>
          <w:color w:val="000000"/>
          <w:sz w:val="24"/>
          <w:szCs w:val="24"/>
          <w:highlight w:val="none"/>
          <w:lang w:eastAsia="zh-CN"/>
        </w:rPr>
        <w:t>；</w:t>
      </w:r>
    </w:p>
    <w:p w14:paraId="245B198A">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1.5近三年内在经营活动中</w:t>
      </w:r>
      <w:r>
        <w:rPr>
          <w:rFonts w:hint="eastAsia" w:hAnsi="宋体" w:eastAsia="宋体" w:cs="宋体"/>
          <w:color w:val="000000"/>
          <w:sz w:val="24"/>
          <w:szCs w:val="24"/>
          <w:highlight w:val="none"/>
        </w:rPr>
        <w:t>无与本项目有关的违法及重大违规</w:t>
      </w:r>
      <w:r>
        <w:rPr>
          <w:rFonts w:hint="eastAsia" w:ascii="宋体" w:hAnsi="宋体" w:eastAsia="宋体" w:cs="宋体"/>
          <w:color w:val="000000"/>
          <w:sz w:val="24"/>
          <w:szCs w:val="24"/>
          <w:highlight w:val="none"/>
        </w:rPr>
        <w:t>行为的声明；</w:t>
      </w:r>
    </w:p>
    <w:p w14:paraId="263E4719">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1.6投标人在国家企业信用信息公示系统中无与本项目有关的行政处罚、经营异常和失信信息的声明；（附投标当日系统内相关截图或报告）</w:t>
      </w:r>
    </w:p>
    <w:p w14:paraId="5AFCBBB6">
      <w:pPr>
        <w:spacing w:line="360" w:lineRule="auto"/>
        <w:ind w:firstLine="480" w:firstLineChars="200"/>
        <w:rPr>
          <w:highlight w:val="none"/>
        </w:rPr>
      </w:pPr>
      <w:r>
        <w:rPr>
          <w:rFonts w:hint="eastAsia" w:ascii="宋体" w:hAnsi="宋体" w:eastAsia="宋体" w:cs="宋体"/>
          <w:color w:val="000000"/>
          <w:sz w:val="24"/>
          <w:szCs w:val="24"/>
          <w:highlight w:val="none"/>
        </w:rPr>
        <w:t>1.7</w:t>
      </w:r>
      <w:r>
        <w:rPr>
          <w:rFonts w:ascii="宋体" w:hAnsi="宋体" w:eastAsia="宋体" w:cs="宋体"/>
          <w:sz w:val="24"/>
          <w:szCs w:val="24"/>
          <w:highlight w:val="none"/>
        </w:rPr>
        <w:t>企业对外担保说明（写明贵单位对外有无对外担保和质押业务，需加盖公章）</w:t>
      </w:r>
      <w:r>
        <w:rPr>
          <w:rFonts w:hint="eastAsia" w:ascii="宋体" w:hAnsi="宋体" w:eastAsia="宋体" w:cs="宋体"/>
          <w:color w:val="000000"/>
          <w:sz w:val="24"/>
          <w:szCs w:val="24"/>
          <w:highlight w:val="none"/>
        </w:rPr>
        <w:t>；</w:t>
      </w:r>
    </w:p>
    <w:p w14:paraId="2C155C1A">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1.8企业信用证明材料（征信中心出具的信用报告）；</w:t>
      </w:r>
    </w:p>
    <w:p w14:paraId="3D429EEE">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color w:val="000000"/>
          <w:sz w:val="24"/>
          <w:szCs w:val="24"/>
          <w:highlight w:val="none"/>
          <w:lang w:val="en-US" w:eastAsia="zh-CN"/>
        </w:rPr>
        <w:t>9</w:t>
      </w:r>
      <w:r>
        <w:rPr>
          <w:rFonts w:hint="eastAsia" w:ascii="宋体" w:hAnsi="宋体" w:eastAsia="宋体" w:cs="宋体"/>
          <w:color w:val="000000"/>
          <w:sz w:val="24"/>
          <w:szCs w:val="24"/>
          <w:highlight w:val="none"/>
        </w:rPr>
        <w:t>企业最近半年的完税证明，并附</w:t>
      </w:r>
      <w:r>
        <w:rPr>
          <w:rFonts w:ascii="宋体" w:hAnsi="宋体" w:eastAsia="宋体" w:cs="宋体"/>
          <w:sz w:val="24"/>
          <w:szCs w:val="24"/>
          <w:highlight w:val="none"/>
        </w:rPr>
        <w:t>年度纳税信用评价信息（可从电子税务局查询截图，需加盖公章）</w:t>
      </w:r>
      <w:r>
        <w:rPr>
          <w:rFonts w:hint="eastAsia" w:ascii="宋体" w:hAnsi="宋体" w:eastAsia="宋体" w:cs="宋体"/>
          <w:color w:val="000000"/>
          <w:sz w:val="24"/>
          <w:szCs w:val="24"/>
          <w:highlight w:val="none"/>
        </w:rPr>
        <w:t>；</w:t>
      </w:r>
    </w:p>
    <w:p w14:paraId="498DFDBA">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1.1</w:t>
      </w:r>
      <w:r>
        <w:rPr>
          <w:rFonts w:hint="eastAsia" w:ascii="宋体" w:hAnsi="宋体" w:eastAsia="宋体" w:cs="宋体"/>
          <w:color w:val="000000"/>
          <w:sz w:val="24"/>
          <w:szCs w:val="24"/>
          <w:highlight w:val="none"/>
          <w:lang w:val="en-US" w:eastAsia="zh-CN"/>
        </w:rPr>
        <w:t>0</w:t>
      </w:r>
      <w:r>
        <w:rPr>
          <w:rFonts w:hint="eastAsia" w:ascii="宋体" w:hAnsi="宋体" w:eastAsia="宋体" w:cs="宋体"/>
          <w:color w:val="000000"/>
          <w:sz w:val="24"/>
          <w:szCs w:val="24"/>
          <w:highlight w:val="none"/>
        </w:rPr>
        <w:t>保密承诺函（附件4）；</w:t>
      </w:r>
    </w:p>
    <w:p w14:paraId="64231C0F">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1.1</w:t>
      </w:r>
      <w:r>
        <w:rPr>
          <w:rFonts w:hint="eastAsia" w:ascii="宋体" w:hAnsi="宋体" w:eastAsia="宋体" w:cs="宋体"/>
          <w:color w:val="000000"/>
          <w:sz w:val="24"/>
          <w:szCs w:val="24"/>
          <w:highlight w:val="none"/>
          <w:lang w:val="en-US" w:eastAsia="zh-CN"/>
        </w:rPr>
        <w:t xml:space="preserve">1 </w:t>
      </w:r>
      <w:r>
        <w:rPr>
          <w:rFonts w:hint="eastAsia" w:ascii="宋体" w:hAnsi="宋体" w:eastAsia="宋体" w:cs="宋体"/>
          <w:color w:val="000000"/>
          <w:sz w:val="24"/>
          <w:szCs w:val="24"/>
          <w:highlight w:val="none"/>
        </w:rPr>
        <w:t>202</w:t>
      </w:r>
      <w:r>
        <w:rPr>
          <w:rFonts w:hint="eastAsia" w:ascii="宋体" w:hAnsi="宋体" w:eastAsia="宋体" w:cs="宋体"/>
          <w:color w:val="000000"/>
          <w:sz w:val="24"/>
          <w:szCs w:val="24"/>
          <w:highlight w:val="none"/>
          <w:lang w:val="en-US" w:eastAsia="zh-CN"/>
        </w:rPr>
        <w:t>2</w:t>
      </w:r>
      <w:r>
        <w:rPr>
          <w:rFonts w:hint="eastAsia" w:ascii="宋体" w:hAnsi="宋体" w:eastAsia="宋体" w:cs="宋体"/>
          <w:color w:val="000000"/>
          <w:sz w:val="24"/>
          <w:szCs w:val="24"/>
          <w:highlight w:val="none"/>
        </w:rPr>
        <w:t>年1月1日至今，企业近三年同类项目业绩证明，</w:t>
      </w:r>
      <w:r>
        <w:rPr>
          <w:rFonts w:ascii="宋体" w:hAnsi="宋体" w:eastAsia="宋体" w:cs="宋体"/>
          <w:sz w:val="24"/>
          <w:szCs w:val="24"/>
          <w:highlight w:val="none"/>
        </w:rPr>
        <w:t>须提供</w:t>
      </w:r>
      <w:r>
        <w:rPr>
          <w:rFonts w:hint="eastAsia" w:hAnsi="宋体" w:eastAsia="宋体" w:cs="宋体"/>
          <w:b/>
          <w:bCs/>
          <w:color w:val="000000"/>
          <w:kern w:val="0"/>
          <w:sz w:val="24"/>
          <w:szCs w:val="24"/>
          <w:highlight w:val="none"/>
        </w:rPr>
        <w:t>用户清单</w:t>
      </w:r>
      <w:r>
        <w:rPr>
          <w:rFonts w:ascii="宋体" w:hAnsi="宋体" w:eastAsia="宋体" w:cs="宋体"/>
          <w:sz w:val="24"/>
          <w:szCs w:val="24"/>
          <w:highlight w:val="none"/>
        </w:rPr>
        <w:t>、采购合同</w:t>
      </w:r>
      <w:r>
        <w:rPr>
          <w:rFonts w:hint="eastAsia" w:ascii="宋体" w:hAnsi="宋体" w:eastAsia="宋体" w:cs="宋体"/>
          <w:sz w:val="24"/>
          <w:szCs w:val="24"/>
          <w:highlight w:val="none"/>
        </w:rPr>
        <w:t>复印件</w:t>
      </w:r>
      <w:r>
        <w:rPr>
          <w:rFonts w:hint="eastAsia" w:ascii="宋体" w:hAnsi="宋体" w:eastAsia="宋体" w:cs="宋体"/>
          <w:color w:val="000000"/>
          <w:sz w:val="24"/>
          <w:szCs w:val="24"/>
          <w:highlight w:val="none"/>
        </w:rPr>
        <w:t>；</w:t>
      </w:r>
    </w:p>
    <w:p w14:paraId="426623E9">
      <w:pPr>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1.12</w:t>
      </w:r>
      <w:r>
        <w:rPr>
          <w:rFonts w:hint="eastAsia" w:ascii="宋体" w:hAnsi="宋体" w:eastAsia="宋体" w:cs="宋体"/>
          <w:color w:val="000000"/>
          <w:sz w:val="24"/>
          <w:szCs w:val="24"/>
          <w:highlight w:val="none"/>
        </w:rPr>
        <w:t>有效期内的生产许可证（实行生产许可制度的企业提供）加盖公章</w:t>
      </w:r>
      <w:r>
        <w:rPr>
          <w:rFonts w:hint="eastAsia" w:ascii="宋体" w:hAnsi="宋体" w:eastAsia="宋体" w:cs="宋体"/>
          <w:color w:val="000000"/>
          <w:sz w:val="24"/>
          <w:szCs w:val="24"/>
          <w:highlight w:val="none"/>
          <w:lang w:eastAsia="zh-CN"/>
        </w:rPr>
        <w:t>；</w:t>
      </w:r>
    </w:p>
    <w:p w14:paraId="35886A80">
      <w:pPr>
        <w:spacing w:line="360" w:lineRule="auto"/>
        <w:ind w:firstLine="480" w:firstLineChars="200"/>
        <w:rPr>
          <w:rFonts w:hint="eastAsia" w:ascii="宋体" w:hAnsi="宋体" w:cs="宋体"/>
          <w:color w:val="000000"/>
          <w:sz w:val="24"/>
          <w:szCs w:val="24"/>
          <w:highlight w:val="none"/>
          <w:lang w:val="en-US" w:eastAsia="zh-CN"/>
        </w:rPr>
      </w:pPr>
      <w:r>
        <w:rPr>
          <w:rFonts w:hint="eastAsia" w:ascii="宋体" w:hAnsi="宋体" w:cs="宋体"/>
          <w:color w:val="000000"/>
          <w:sz w:val="24"/>
          <w:szCs w:val="24"/>
          <w:highlight w:val="none"/>
          <w:lang w:val="en-US" w:eastAsia="zh-CN"/>
        </w:rPr>
        <w:t>1.13</w:t>
      </w:r>
      <w:r>
        <w:rPr>
          <w:rFonts w:hint="eastAsia" w:ascii="宋体" w:hAnsi="宋体" w:eastAsia="宋体" w:cs="宋体"/>
          <w:color w:val="000000"/>
          <w:sz w:val="24"/>
          <w:szCs w:val="24"/>
          <w:highlight w:val="none"/>
        </w:rPr>
        <w:t>代理商投标要携带生产商的授权书、原厂售后服务承诺书，根据实际情况提供即可，无格式限制</w:t>
      </w:r>
      <w:r>
        <w:rPr>
          <w:rFonts w:hint="eastAsia" w:hAnsi="宋体" w:eastAsia="宋体" w:cs="宋体"/>
          <w:color w:val="000000"/>
          <w:sz w:val="24"/>
          <w:szCs w:val="24"/>
          <w:highlight w:val="none"/>
          <w:lang w:eastAsia="zh-CN"/>
        </w:rPr>
        <w:t>（</w:t>
      </w:r>
      <w:r>
        <w:rPr>
          <w:rFonts w:hint="eastAsia" w:hAnsi="宋体" w:eastAsia="宋体" w:cs="宋体"/>
          <w:color w:val="000000"/>
          <w:sz w:val="24"/>
          <w:szCs w:val="24"/>
          <w:highlight w:val="none"/>
        </w:rPr>
        <w:t>包括所代理品牌针对项目的唯一授权书</w:t>
      </w:r>
      <w:r>
        <w:rPr>
          <w:rFonts w:hint="eastAsia"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w:t>
      </w:r>
    </w:p>
    <w:p w14:paraId="09038E11">
      <w:pPr>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1.14</w:t>
      </w:r>
      <w:r>
        <w:rPr>
          <w:rFonts w:hint="eastAsia" w:ascii="宋体" w:hAnsi="宋体" w:eastAsia="宋体" w:cs="宋体"/>
          <w:color w:val="000000"/>
          <w:sz w:val="24"/>
          <w:szCs w:val="24"/>
          <w:highlight w:val="none"/>
        </w:rPr>
        <w:t>产品鉴定证书（如需）</w:t>
      </w:r>
      <w:r>
        <w:rPr>
          <w:rFonts w:hint="eastAsia" w:ascii="宋体" w:hAnsi="宋体" w:eastAsia="宋体" w:cs="宋体"/>
          <w:color w:val="000000"/>
          <w:sz w:val="24"/>
          <w:szCs w:val="24"/>
          <w:highlight w:val="none"/>
          <w:lang w:eastAsia="zh-CN"/>
        </w:rPr>
        <w:t>；</w:t>
      </w:r>
    </w:p>
    <w:p w14:paraId="2086A324">
      <w:pPr>
        <w:spacing w:line="360" w:lineRule="auto"/>
        <w:ind w:firstLine="480" w:firstLineChars="200"/>
        <w:rPr>
          <w:rFonts w:hint="eastAsia" w:ascii="宋体" w:hAnsi="宋体" w:cs="宋体"/>
          <w:color w:val="000000"/>
          <w:sz w:val="24"/>
          <w:szCs w:val="24"/>
          <w:highlight w:val="none"/>
          <w:lang w:eastAsia="zh-CN"/>
        </w:rPr>
      </w:pPr>
      <w:r>
        <w:rPr>
          <w:rFonts w:hint="eastAsia" w:ascii="宋体" w:hAnsi="宋体" w:cs="宋体"/>
          <w:color w:val="000000"/>
          <w:sz w:val="24"/>
          <w:szCs w:val="24"/>
          <w:highlight w:val="none"/>
          <w:lang w:val="en-US" w:eastAsia="zh-CN"/>
        </w:rPr>
        <w:t>1.15</w:t>
      </w:r>
      <w:r>
        <w:rPr>
          <w:rFonts w:hint="eastAsia" w:ascii="宋体" w:hAnsi="宋体" w:eastAsia="宋体" w:cs="宋体"/>
          <w:color w:val="000000"/>
          <w:sz w:val="24"/>
          <w:szCs w:val="24"/>
          <w:highlight w:val="none"/>
        </w:rPr>
        <w:t>质量体系认证证书（如需）</w:t>
      </w:r>
      <w:r>
        <w:rPr>
          <w:rFonts w:hint="eastAsia" w:ascii="宋体" w:hAnsi="宋体" w:eastAsia="宋体" w:cs="宋体"/>
          <w:color w:val="000000"/>
          <w:sz w:val="24"/>
          <w:szCs w:val="24"/>
          <w:highlight w:val="none"/>
          <w:lang w:eastAsia="zh-CN"/>
        </w:rPr>
        <w:t>；</w:t>
      </w:r>
    </w:p>
    <w:p w14:paraId="588DEC45">
      <w:pPr>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1.16</w:t>
      </w:r>
      <w:r>
        <w:rPr>
          <w:rFonts w:hint="eastAsia" w:ascii="宋体" w:hAnsi="宋体" w:eastAsia="宋体" w:cs="宋体"/>
          <w:color w:val="000000"/>
          <w:sz w:val="24"/>
          <w:szCs w:val="24"/>
          <w:highlight w:val="none"/>
        </w:rPr>
        <w:t>产品和主要元器件“CCC”认证证书（如需）</w:t>
      </w:r>
      <w:r>
        <w:rPr>
          <w:rFonts w:hint="eastAsia" w:ascii="宋体" w:hAnsi="宋体" w:eastAsia="宋体" w:cs="宋体"/>
          <w:color w:val="000000"/>
          <w:sz w:val="24"/>
          <w:szCs w:val="24"/>
          <w:highlight w:val="none"/>
          <w:lang w:eastAsia="zh-CN"/>
        </w:rPr>
        <w:t>；</w:t>
      </w:r>
    </w:p>
    <w:p w14:paraId="0792AD9A">
      <w:pPr>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1.17</w:t>
      </w:r>
      <w:r>
        <w:rPr>
          <w:rFonts w:hint="eastAsia" w:ascii="宋体" w:hAnsi="宋体" w:eastAsia="宋体" w:cs="宋体"/>
          <w:color w:val="000000"/>
          <w:sz w:val="24"/>
          <w:szCs w:val="24"/>
          <w:highlight w:val="none"/>
        </w:rPr>
        <w:t>产品的检测、检验报告复印件（如有，需权威部门出具）</w:t>
      </w:r>
      <w:r>
        <w:rPr>
          <w:rFonts w:hint="eastAsia" w:ascii="宋体" w:hAnsi="宋体" w:eastAsia="宋体" w:cs="宋体"/>
          <w:color w:val="000000"/>
          <w:sz w:val="24"/>
          <w:szCs w:val="24"/>
          <w:highlight w:val="none"/>
          <w:lang w:eastAsia="zh-CN"/>
        </w:rPr>
        <w:t>；</w:t>
      </w:r>
    </w:p>
    <w:p w14:paraId="1FE77D0E">
      <w:pPr>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1.18</w:t>
      </w:r>
      <w:r>
        <w:rPr>
          <w:rFonts w:hint="eastAsia" w:ascii="宋体" w:hAnsi="宋体" w:eastAsia="宋体" w:cs="宋体"/>
          <w:color w:val="000000"/>
          <w:sz w:val="24"/>
          <w:szCs w:val="24"/>
          <w:highlight w:val="none"/>
        </w:rPr>
        <w:t>招标文件要求的其它必要资格文件</w:t>
      </w:r>
      <w:r>
        <w:rPr>
          <w:rFonts w:hint="eastAsia" w:ascii="宋体" w:hAnsi="宋体" w:eastAsia="宋体" w:cs="宋体"/>
          <w:color w:val="000000"/>
          <w:sz w:val="24"/>
          <w:szCs w:val="24"/>
          <w:highlight w:val="none"/>
          <w:lang w:eastAsia="zh-CN"/>
        </w:rPr>
        <w:t>；</w:t>
      </w:r>
    </w:p>
    <w:p w14:paraId="5F98547A">
      <w:pPr>
        <w:spacing w:line="360" w:lineRule="auto"/>
        <w:ind w:firstLine="480" w:firstLineChars="200"/>
        <w:rPr>
          <w:rFonts w:hint="default" w:ascii="宋体" w:hAnsi="宋体" w:eastAsia="宋体" w:cs="宋体"/>
          <w:color w:val="000000"/>
          <w:sz w:val="24"/>
          <w:szCs w:val="24"/>
          <w:highlight w:val="none"/>
          <w:lang w:val="en-US" w:eastAsia="zh-CN"/>
        </w:rPr>
      </w:pPr>
      <w:r>
        <w:rPr>
          <w:rFonts w:hint="eastAsia" w:ascii="宋体" w:hAnsi="宋体" w:cs="宋体"/>
          <w:color w:val="000000"/>
          <w:sz w:val="24"/>
          <w:szCs w:val="24"/>
          <w:highlight w:val="none"/>
          <w:lang w:val="en-US" w:eastAsia="zh-CN"/>
        </w:rPr>
        <w:t>1.19</w:t>
      </w:r>
      <w:r>
        <w:rPr>
          <w:rFonts w:hint="eastAsia" w:ascii="宋体" w:hAnsi="宋体" w:eastAsia="宋体" w:cs="宋体"/>
          <w:color w:val="000000"/>
          <w:sz w:val="24"/>
          <w:szCs w:val="24"/>
          <w:highlight w:val="none"/>
        </w:rPr>
        <w:t>投标方认为对其投标有利的其他资料</w:t>
      </w:r>
      <w:r>
        <w:rPr>
          <w:rFonts w:hint="eastAsia" w:ascii="宋体" w:hAnsi="宋体" w:eastAsia="宋体" w:cs="宋体"/>
          <w:color w:val="000000"/>
          <w:sz w:val="24"/>
          <w:szCs w:val="24"/>
          <w:highlight w:val="none"/>
          <w:lang w:eastAsia="zh-CN"/>
        </w:rPr>
        <w:t>；</w:t>
      </w:r>
    </w:p>
    <w:p w14:paraId="220EE310">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color w:val="000000"/>
          <w:sz w:val="24"/>
          <w:szCs w:val="24"/>
          <w:highlight w:val="none"/>
          <w:lang w:val="en-US" w:eastAsia="zh-CN"/>
        </w:rPr>
        <w:t>20</w:t>
      </w:r>
      <w:r>
        <w:rPr>
          <w:rFonts w:hint="eastAsia" w:ascii="宋体" w:hAnsi="宋体" w:eastAsia="宋体" w:cs="宋体"/>
          <w:color w:val="000000"/>
          <w:sz w:val="24"/>
          <w:szCs w:val="24"/>
          <w:highlight w:val="none"/>
        </w:rPr>
        <w:t>投标保证金缴纳凭证，同时正文描述付款账号、户名、开户行名称、开户行行号、保证金金额。</w:t>
      </w:r>
    </w:p>
    <w:p w14:paraId="08B830E5">
      <w:pPr>
        <w:spacing w:line="360" w:lineRule="auto"/>
        <w:ind w:firstLine="482" w:firstLineChars="200"/>
        <w:rPr>
          <w:rFonts w:ascii="宋体" w:hAnsi="宋体" w:eastAsia="宋体" w:cs="宋体"/>
          <w:b/>
          <w:bCs/>
          <w:sz w:val="24"/>
          <w:szCs w:val="24"/>
          <w:highlight w:val="none"/>
        </w:rPr>
      </w:pPr>
      <w:bookmarkStart w:id="28" w:name="_Toc212369515"/>
      <w:r>
        <w:rPr>
          <w:rFonts w:hint="eastAsia" w:ascii="宋体" w:hAnsi="宋体" w:eastAsia="宋体" w:cs="宋体"/>
          <w:b/>
          <w:bCs/>
          <w:sz w:val="24"/>
          <w:szCs w:val="24"/>
          <w:highlight w:val="none"/>
        </w:rPr>
        <w:t>2.</w:t>
      </w:r>
      <w:r>
        <w:rPr>
          <w:rFonts w:hint="eastAsia" w:ascii="宋体" w:hAnsi="宋体" w:eastAsia="宋体" w:cs="宋体"/>
          <w:b/>
          <w:sz w:val="24"/>
          <w:szCs w:val="24"/>
          <w:highlight w:val="none"/>
        </w:rPr>
        <w:t>《投标文件（技术标）》</w:t>
      </w:r>
      <w:r>
        <w:rPr>
          <w:rFonts w:hint="eastAsia" w:ascii="宋体" w:hAnsi="宋体" w:eastAsia="宋体" w:cs="宋体"/>
          <w:b/>
          <w:bCs/>
          <w:sz w:val="24"/>
          <w:szCs w:val="24"/>
          <w:highlight w:val="none"/>
        </w:rPr>
        <w:t>：</w:t>
      </w:r>
      <w:bookmarkEnd w:id="28"/>
    </w:p>
    <w:p w14:paraId="6ABEB901">
      <w:pPr>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color w:val="000000"/>
          <w:sz w:val="24"/>
          <w:szCs w:val="24"/>
          <w:highlight w:val="none"/>
        </w:rPr>
        <w:t>2.1技术规格偏离表（附件5-1），</w:t>
      </w:r>
      <w:r>
        <w:rPr>
          <w:rFonts w:hint="eastAsia" w:ascii="宋体" w:hAnsi="宋体" w:eastAsia="宋体" w:cs="宋体"/>
          <w:b/>
          <w:color w:val="000000"/>
          <w:sz w:val="24"/>
          <w:szCs w:val="24"/>
          <w:highlight w:val="none"/>
        </w:rPr>
        <w:t>必须先进行两列要求一一对照，不允许直接写无偏离；</w:t>
      </w:r>
    </w:p>
    <w:p w14:paraId="0AB08026">
      <w:pPr>
        <w:spacing w:line="360" w:lineRule="auto"/>
        <w:ind w:firstLine="480" w:firstLineChars="200"/>
        <w:rPr>
          <w:rFonts w:hAnsi="宋体" w:eastAsia="宋体" w:cs="宋体"/>
          <w:b/>
          <w:color w:val="000000"/>
          <w:sz w:val="24"/>
          <w:szCs w:val="24"/>
          <w:highlight w:val="none"/>
        </w:rPr>
      </w:pPr>
      <w:r>
        <w:rPr>
          <w:rFonts w:hint="eastAsia" w:ascii="宋体" w:hAnsi="宋体" w:eastAsia="宋体" w:cs="宋体"/>
          <w:bCs/>
          <w:color w:val="000000"/>
          <w:sz w:val="24"/>
          <w:szCs w:val="24"/>
          <w:highlight w:val="none"/>
        </w:rPr>
        <w:t>2.2</w:t>
      </w:r>
      <w:r>
        <w:rPr>
          <w:rFonts w:hint="eastAsia" w:hAnsi="宋体" w:eastAsia="宋体" w:cs="宋体"/>
          <w:color w:val="000000"/>
          <w:sz w:val="24"/>
          <w:szCs w:val="24"/>
          <w:highlight w:val="none"/>
        </w:rPr>
        <w:t>设备分项配置表（附件5-2），列明项目设备分项配置规格型号、品牌等信息，非标机械部件提供单件图纸（要求分项明细与附表9-1完全对应），但</w:t>
      </w:r>
      <w:r>
        <w:rPr>
          <w:rFonts w:hint="eastAsia" w:ascii="宋体" w:hAnsi="宋体" w:eastAsia="宋体" w:cs="宋体"/>
          <w:b/>
          <w:color w:val="000000"/>
          <w:sz w:val="24"/>
          <w:szCs w:val="24"/>
          <w:highlight w:val="none"/>
        </w:rPr>
        <w:t>注意：</w:t>
      </w:r>
      <w:r>
        <w:rPr>
          <w:rFonts w:hint="eastAsia" w:hAnsi="宋体" w:eastAsia="宋体" w:cs="宋体"/>
          <w:b/>
          <w:color w:val="000000"/>
          <w:sz w:val="24"/>
          <w:szCs w:val="24"/>
          <w:highlight w:val="none"/>
        </w:rPr>
        <w:t>此表在技术标书中，禁止出现任何分项价格及项目总价；</w:t>
      </w:r>
    </w:p>
    <w:p w14:paraId="4B027D9F">
      <w:pPr>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color w:val="000000"/>
          <w:sz w:val="24"/>
          <w:szCs w:val="24"/>
          <w:highlight w:val="none"/>
        </w:rPr>
        <w:t>2.3提供202</w:t>
      </w:r>
      <w:r>
        <w:rPr>
          <w:rFonts w:hint="eastAsia" w:ascii="宋体" w:hAnsi="宋体" w:eastAsia="宋体" w:cs="宋体"/>
          <w:color w:val="000000"/>
          <w:sz w:val="24"/>
          <w:szCs w:val="24"/>
          <w:highlight w:val="none"/>
          <w:lang w:val="en-US" w:eastAsia="zh-CN"/>
        </w:rPr>
        <w:t>2</w:t>
      </w:r>
      <w:r>
        <w:rPr>
          <w:rFonts w:hint="eastAsia" w:ascii="宋体" w:hAnsi="宋体" w:eastAsia="宋体" w:cs="宋体"/>
          <w:color w:val="000000"/>
          <w:sz w:val="24"/>
          <w:szCs w:val="24"/>
          <w:highlight w:val="none"/>
        </w:rPr>
        <w:t>年1月1日以来同类产品的制造销售业绩（用户名单、联系方式），并附合同复印件。该同类项目业绩一览表必</w:t>
      </w:r>
      <w:r>
        <w:rPr>
          <w:rFonts w:hint="eastAsia" w:ascii="宋体" w:hAnsi="宋体" w:eastAsia="宋体" w:cs="宋体"/>
          <w:b/>
          <w:bCs/>
          <w:color w:val="000000"/>
          <w:sz w:val="24"/>
          <w:szCs w:val="24"/>
          <w:highlight w:val="none"/>
        </w:rPr>
        <w:t>须如实填写，应全尽全</w:t>
      </w:r>
      <w:r>
        <w:rPr>
          <w:rFonts w:hint="eastAsia" w:ascii="宋体" w:hAnsi="宋体" w:eastAsia="宋体" w:cs="宋体"/>
          <w:color w:val="000000"/>
          <w:sz w:val="24"/>
          <w:szCs w:val="24"/>
          <w:highlight w:val="none"/>
        </w:rPr>
        <w:t>；</w:t>
      </w:r>
      <w:r>
        <w:rPr>
          <w:rFonts w:hint="eastAsia" w:ascii="宋体" w:hAnsi="宋体" w:eastAsia="宋体" w:cs="宋体"/>
          <w:b/>
          <w:bCs/>
          <w:color w:val="000000"/>
          <w:sz w:val="24"/>
          <w:szCs w:val="24"/>
          <w:highlight w:val="none"/>
        </w:rPr>
        <w:t>一览表最终的所有业绩合同总额汇总必填</w:t>
      </w:r>
      <w:r>
        <w:rPr>
          <w:rFonts w:hint="eastAsia" w:ascii="宋体" w:hAnsi="宋体" w:eastAsia="宋体" w:cs="宋体"/>
          <w:color w:val="000000"/>
          <w:sz w:val="24"/>
          <w:szCs w:val="24"/>
          <w:highlight w:val="none"/>
        </w:rPr>
        <w:t>，数据将影响现场评标专家组对投标单位的业绩考评。</w:t>
      </w:r>
      <w:r>
        <w:rPr>
          <w:rFonts w:hint="eastAsia" w:ascii="宋体" w:hAnsi="宋体" w:eastAsia="宋体" w:cs="宋体"/>
          <w:b/>
          <w:bCs/>
          <w:color w:val="000000"/>
          <w:sz w:val="24"/>
          <w:szCs w:val="24"/>
          <w:highlight w:val="none"/>
        </w:rPr>
        <w:t>若未提供相应业绩证明，根据技术标评分规则，将影响现场评标专家组对投标单位业绩判定打分</w:t>
      </w:r>
      <w:r>
        <w:rPr>
          <w:rFonts w:hint="eastAsia" w:ascii="宋体" w:hAnsi="宋体" w:eastAsia="宋体" w:cs="宋体"/>
          <w:b/>
          <w:color w:val="000000"/>
          <w:sz w:val="24"/>
          <w:szCs w:val="24"/>
          <w:highlight w:val="none"/>
        </w:rPr>
        <w:t>；</w:t>
      </w:r>
    </w:p>
    <w:p w14:paraId="448215AE">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2.4供货期及保证措施；</w:t>
      </w:r>
    </w:p>
    <w:p w14:paraId="1225A2AA">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2.5产品的技术服务和售后服务内容及措施；</w:t>
      </w:r>
    </w:p>
    <w:p w14:paraId="2CE6C24E">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2.6交货进度及计划；</w:t>
      </w:r>
    </w:p>
    <w:p w14:paraId="6BAFAFCE">
      <w:pPr>
        <w:spacing w:line="360" w:lineRule="auto"/>
        <w:ind w:firstLine="480" w:firstLineChars="200"/>
        <w:rPr>
          <w:rFonts w:ascii="宋体" w:hAnsi="宋体" w:eastAsia="宋体" w:cs="宋体"/>
          <w:color w:val="000000"/>
          <w:sz w:val="24"/>
          <w:szCs w:val="24"/>
          <w:highlight w:val="none"/>
        </w:rPr>
      </w:pPr>
      <w:bookmarkStart w:id="29" w:name="_Toc536542319"/>
      <w:r>
        <w:rPr>
          <w:rFonts w:hint="eastAsia" w:ascii="宋体" w:hAnsi="宋体" w:eastAsia="宋体" w:cs="宋体"/>
          <w:color w:val="000000"/>
          <w:sz w:val="24"/>
          <w:szCs w:val="24"/>
          <w:highlight w:val="none"/>
        </w:rPr>
        <w:t>2.7投标产品技术支持材料</w:t>
      </w:r>
      <w:bookmarkEnd w:id="29"/>
      <w:r>
        <w:rPr>
          <w:rFonts w:hint="eastAsia" w:ascii="宋体" w:hAnsi="宋体" w:eastAsia="宋体" w:cs="宋体"/>
          <w:color w:val="000000"/>
          <w:sz w:val="24"/>
          <w:szCs w:val="24"/>
          <w:highlight w:val="none"/>
        </w:rPr>
        <w:t>；</w:t>
      </w:r>
    </w:p>
    <w:p w14:paraId="0F1DA03A">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2.8设备质量承诺函（附件7）；</w:t>
      </w:r>
    </w:p>
    <w:p w14:paraId="37C37890">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2.9投标人需提交的其它资料。</w:t>
      </w:r>
    </w:p>
    <w:p w14:paraId="1EB40CA2">
      <w:pPr>
        <w:spacing w:line="360" w:lineRule="auto"/>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3.</w:t>
      </w:r>
      <w:r>
        <w:rPr>
          <w:rFonts w:hint="eastAsia" w:ascii="宋体" w:hAnsi="宋体" w:eastAsia="宋体" w:cs="宋体"/>
          <w:b/>
          <w:sz w:val="24"/>
          <w:szCs w:val="24"/>
          <w:highlight w:val="none"/>
        </w:rPr>
        <w:t>《投标文件（商务标）》（开标一览表）</w:t>
      </w:r>
      <w:r>
        <w:rPr>
          <w:rFonts w:hint="eastAsia" w:ascii="宋体" w:hAnsi="宋体" w:eastAsia="宋体" w:cs="宋体"/>
          <w:b/>
          <w:bCs/>
          <w:sz w:val="24"/>
          <w:szCs w:val="24"/>
          <w:highlight w:val="none"/>
        </w:rPr>
        <w:t>：</w:t>
      </w:r>
    </w:p>
    <w:p w14:paraId="0D2AA1E9">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3.1开标一览表（附件8）；</w:t>
      </w:r>
    </w:p>
    <w:p w14:paraId="43C8C186">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3.2投标报价明细表（附件9-1至9-5）</w:t>
      </w:r>
      <w:r>
        <w:rPr>
          <w:rFonts w:hint="eastAsia" w:ascii="宋体" w:hAnsi="宋体" w:eastAsia="宋体" w:cs="宋体"/>
          <w:b/>
          <w:bCs/>
          <w:color w:val="000000"/>
          <w:sz w:val="24"/>
          <w:szCs w:val="24"/>
          <w:highlight w:val="none"/>
          <w:lang w:eastAsia="zh-CN"/>
        </w:rPr>
        <w:t>【分项报价中需明确：规格型号、材质、重量、数量、品牌、价格等信息，注明是否包含加工费等其他费用】</w:t>
      </w:r>
      <w:r>
        <w:rPr>
          <w:rFonts w:hint="eastAsia" w:ascii="宋体" w:hAnsi="宋体" w:eastAsia="宋体" w:cs="宋体"/>
          <w:b/>
          <w:color w:val="000000"/>
          <w:sz w:val="24"/>
          <w:szCs w:val="24"/>
          <w:highlight w:val="none"/>
        </w:rPr>
        <w:t>；</w:t>
      </w:r>
    </w:p>
    <w:p w14:paraId="5219BCB1">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3.3商务条款偏离表（附件10）</w:t>
      </w:r>
      <w:bookmarkStart w:id="30" w:name="OLE_LINK18"/>
      <w:bookmarkStart w:id="31" w:name="OLE_LINK19"/>
      <w:r>
        <w:rPr>
          <w:rFonts w:hint="eastAsia" w:ascii="宋体" w:hAnsi="宋体" w:eastAsia="宋体" w:cs="宋体"/>
          <w:b/>
          <w:color w:val="000000"/>
          <w:sz w:val="24"/>
          <w:szCs w:val="24"/>
          <w:highlight w:val="none"/>
        </w:rPr>
        <w:t>；</w:t>
      </w:r>
      <w:bookmarkEnd w:id="30"/>
      <w:bookmarkEnd w:id="31"/>
      <w:r>
        <w:rPr>
          <w:rFonts w:hint="eastAsia" w:ascii="宋体" w:hAnsi="宋体" w:eastAsia="宋体" w:cs="宋体"/>
          <w:color w:val="000000"/>
          <w:sz w:val="24"/>
          <w:szCs w:val="24"/>
          <w:highlight w:val="none"/>
        </w:rPr>
        <w:t xml:space="preserve"> </w:t>
      </w:r>
    </w:p>
    <w:p w14:paraId="67ADCDB1">
      <w:pPr>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color w:val="000000"/>
          <w:sz w:val="24"/>
          <w:szCs w:val="24"/>
          <w:highlight w:val="none"/>
        </w:rPr>
        <w:t>3.4投标人承诺（附件11）</w:t>
      </w:r>
      <w:r>
        <w:rPr>
          <w:rFonts w:hint="eastAsia" w:ascii="宋体" w:hAnsi="宋体" w:eastAsia="宋体" w:cs="宋体"/>
          <w:b/>
          <w:color w:val="000000"/>
          <w:sz w:val="24"/>
          <w:szCs w:val="24"/>
          <w:highlight w:val="none"/>
        </w:rPr>
        <w:t>；</w:t>
      </w:r>
    </w:p>
    <w:p w14:paraId="5CBEFAA2">
      <w:pPr>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color w:val="000000"/>
          <w:sz w:val="24"/>
          <w:szCs w:val="24"/>
          <w:highlight w:val="none"/>
        </w:rPr>
        <w:t>3.5服务承诺函（附件12），</w:t>
      </w:r>
      <w:r>
        <w:rPr>
          <w:rFonts w:hint="eastAsia" w:ascii="宋体" w:hAnsi="宋体" w:eastAsia="宋体" w:cs="宋体"/>
          <w:b/>
          <w:color w:val="000000"/>
          <w:sz w:val="24"/>
          <w:szCs w:val="24"/>
          <w:highlight w:val="none"/>
        </w:rPr>
        <w:t>需写明质保期以外服务费用情况</w:t>
      </w:r>
      <w:r>
        <w:rPr>
          <w:rFonts w:hint="eastAsia" w:ascii="宋体" w:hAnsi="宋体" w:eastAsia="宋体" w:cs="宋体"/>
          <w:color w:val="000000"/>
          <w:sz w:val="24"/>
          <w:szCs w:val="24"/>
          <w:highlight w:val="none"/>
        </w:rPr>
        <w:t>；</w:t>
      </w:r>
    </w:p>
    <w:p w14:paraId="492A9151">
      <w:pPr>
        <w:spacing w:line="36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rPr>
        <w:t>3.6按招标文件投标人须知和技术规格书中要求提供的有关文件</w:t>
      </w:r>
      <w:r>
        <w:rPr>
          <w:rFonts w:hint="eastAsia" w:ascii="宋体" w:hAnsi="宋体" w:eastAsia="宋体" w:cs="宋体"/>
          <w:color w:val="000000"/>
          <w:sz w:val="24"/>
          <w:szCs w:val="24"/>
          <w:highlight w:val="none"/>
          <w:lang w:val="en-US" w:eastAsia="zh-CN"/>
        </w:rPr>
        <w:t>;</w:t>
      </w:r>
    </w:p>
    <w:p w14:paraId="6D076FDC">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四、投标文件格式</w:t>
      </w:r>
    </w:p>
    <w:p w14:paraId="0B4555AD">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详见第六部分投标文件附件格式1—13，其余未尽事宜请按各单位习惯制定即可。</w:t>
      </w:r>
    </w:p>
    <w:p w14:paraId="2ED46BF9">
      <w:pPr>
        <w:pStyle w:val="17"/>
        <w:jc w:val="center"/>
        <w:rPr>
          <w:rFonts w:ascii="Calibri" w:hAnsi="Calibri" w:eastAsia="宋体" w:cs="Times New Roman"/>
          <w:b/>
          <w:bCs/>
          <w:kern w:val="44"/>
          <w:sz w:val="36"/>
          <w:szCs w:val="44"/>
          <w:highlight w:val="none"/>
        </w:rPr>
        <w:sectPr>
          <w:pgSz w:w="11907" w:h="16840"/>
          <w:pgMar w:top="1304" w:right="1418" w:bottom="1304" w:left="1418" w:header="724" w:footer="851" w:gutter="0"/>
          <w:pgNumType w:fmt="decimal"/>
          <w:cols w:space="720" w:num="1"/>
          <w:docGrid w:linePitch="290" w:charSpace="-3931"/>
        </w:sectPr>
      </w:pPr>
    </w:p>
    <w:bookmarkEnd w:id="0"/>
    <w:bookmarkEnd w:id="1"/>
    <w:p w14:paraId="542D8748">
      <w:pPr>
        <w:keepNext/>
        <w:keepLines/>
        <w:numPr>
          <w:ilvl w:val="0"/>
          <w:numId w:val="10"/>
        </w:numPr>
        <w:jc w:val="center"/>
        <w:outlineLvl w:val="0"/>
        <w:rPr>
          <w:rFonts w:hint="eastAsia" w:ascii="Calibri" w:hAnsi="Calibri" w:eastAsia="宋体" w:cs="Times New Roman"/>
          <w:b/>
          <w:bCs/>
          <w:kern w:val="44"/>
          <w:sz w:val="36"/>
          <w:szCs w:val="44"/>
        </w:rPr>
      </w:pPr>
      <w:bookmarkStart w:id="32" w:name="_Toc9849"/>
      <w:bookmarkStart w:id="33" w:name="_Toc465187648"/>
      <w:bookmarkStart w:id="34" w:name="_Toc169605877"/>
      <w:r>
        <w:rPr>
          <w:rFonts w:hint="eastAsia" w:ascii="Calibri" w:hAnsi="Calibri" w:eastAsia="宋体" w:cs="Times New Roman"/>
          <w:b/>
          <w:bCs/>
          <w:kern w:val="44"/>
          <w:sz w:val="36"/>
          <w:szCs w:val="44"/>
        </w:rPr>
        <w:t>技术标书</w:t>
      </w:r>
      <w:bookmarkEnd w:id="32"/>
    </w:p>
    <w:p w14:paraId="059E6FB3">
      <w:pPr>
        <w:spacing w:line="360" w:lineRule="auto"/>
        <w:rPr>
          <w:bCs/>
          <w:sz w:val="32"/>
          <w:szCs w:val="32"/>
        </w:rPr>
      </w:pPr>
      <w:r>
        <w:rPr>
          <w:rFonts w:hint="eastAsia"/>
          <w:bCs/>
          <w:sz w:val="32"/>
          <w:szCs w:val="32"/>
        </w:rPr>
        <w:t xml:space="preserve">      </w:t>
      </w:r>
    </w:p>
    <w:p w14:paraId="71E16DDD">
      <w:pPr>
        <w:spacing w:line="360" w:lineRule="auto"/>
        <w:jc w:val="center"/>
        <w:rPr>
          <w:b/>
          <w:sz w:val="32"/>
          <w:szCs w:val="32"/>
        </w:rPr>
      </w:pPr>
    </w:p>
    <w:p w14:paraId="01B9C9FF">
      <w:pPr>
        <w:spacing w:line="360" w:lineRule="auto"/>
        <w:jc w:val="center"/>
        <w:rPr>
          <w:b/>
          <w:sz w:val="32"/>
          <w:szCs w:val="32"/>
        </w:rPr>
      </w:pPr>
    </w:p>
    <w:p w14:paraId="4A621B66">
      <w:pPr>
        <w:pStyle w:val="17"/>
        <w:jc w:val="center"/>
        <w:rPr>
          <w:rFonts w:ascii="Calibri" w:eastAsia="宋体" w:cs="Times New Roman"/>
          <w:b/>
          <w:bCs/>
          <w:color w:val="000000"/>
          <w:spacing w:val="-8"/>
          <w:sz w:val="52"/>
          <w:szCs w:val="52"/>
        </w:rPr>
      </w:pPr>
      <w:r>
        <w:rPr>
          <w:rFonts w:hint="eastAsia" w:ascii="Calibri" w:eastAsia="宋体" w:cs="Times New Roman"/>
          <w:b/>
          <w:bCs/>
          <w:color w:val="000000"/>
          <w:spacing w:val="-8"/>
          <w:sz w:val="52"/>
          <w:szCs w:val="52"/>
        </w:rPr>
        <w:t>中国重汽集团杭州发动机有限公司</w:t>
      </w:r>
    </w:p>
    <w:p w14:paraId="0787A3A8">
      <w:pPr>
        <w:pStyle w:val="17"/>
        <w:jc w:val="center"/>
        <w:rPr>
          <w:rFonts w:ascii="Calibri" w:eastAsia="宋体" w:cs="Times New Roman"/>
          <w:b/>
          <w:bCs/>
          <w:color w:val="000000"/>
          <w:spacing w:val="-8"/>
          <w:sz w:val="52"/>
          <w:szCs w:val="52"/>
        </w:rPr>
      </w:pPr>
      <w:r>
        <w:rPr>
          <w:rFonts w:hint="eastAsia" w:ascii="Calibri" w:eastAsia="宋体" w:cs="Times New Roman"/>
          <w:b/>
          <w:bCs/>
          <w:color w:val="000000"/>
          <w:spacing w:val="-8"/>
          <w:sz w:val="52"/>
          <w:szCs w:val="52"/>
        </w:rPr>
        <w:t xml:space="preserve">试车台架系统更新改造项目 </w:t>
      </w:r>
    </w:p>
    <w:p w14:paraId="6694BCC1">
      <w:pPr>
        <w:pStyle w:val="17"/>
        <w:jc w:val="center"/>
        <w:rPr>
          <w:rFonts w:ascii="Calibri" w:eastAsia="宋体" w:cs="Times New Roman"/>
          <w:b/>
          <w:bCs/>
          <w:color w:val="000000"/>
          <w:spacing w:val="-8"/>
          <w:sz w:val="52"/>
          <w:szCs w:val="52"/>
        </w:rPr>
      </w:pPr>
    </w:p>
    <w:p w14:paraId="2A0C07E7">
      <w:pPr>
        <w:jc w:val="center"/>
        <w:rPr>
          <w:rFonts w:ascii="黑体" w:hAnsi="宋体" w:eastAsia="黑体" w:cs="Times New Roman"/>
          <w:color w:val="000000"/>
          <w:sz w:val="72"/>
          <w:szCs w:val="72"/>
        </w:rPr>
      </w:pPr>
      <w:r>
        <w:rPr>
          <w:rFonts w:hint="eastAsia" w:ascii="黑体" w:hAnsi="宋体" w:eastAsia="宋体" w:cs="Times New Roman"/>
          <w:color w:val="000000"/>
          <w:sz w:val="72"/>
          <w:szCs w:val="72"/>
        </w:rPr>
        <w:t>技</w:t>
      </w:r>
    </w:p>
    <w:p w14:paraId="04CA7C00">
      <w:pPr>
        <w:jc w:val="center"/>
        <w:rPr>
          <w:rFonts w:ascii="黑体" w:hAnsi="宋体" w:eastAsia="黑体" w:cs="Times New Roman"/>
          <w:color w:val="000000"/>
          <w:sz w:val="72"/>
          <w:szCs w:val="72"/>
        </w:rPr>
      </w:pPr>
      <w:r>
        <w:rPr>
          <w:rFonts w:hint="eastAsia" w:ascii="黑体" w:hAnsi="宋体" w:eastAsia="宋体" w:cs="Times New Roman"/>
          <w:color w:val="000000"/>
          <w:sz w:val="72"/>
          <w:szCs w:val="72"/>
        </w:rPr>
        <w:t>术</w:t>
      </w:r>
    </w:p>
    <w:p w14:paraId="3C8D42AD">
      <w:pPr>
        <w:jc w:val="center"/>
        <w:rPr>
          <w:rFonts w:ascii="黑体" w:hAnsi="宋体" w:eastAsia="黑体" w:cs="Times New Roman"/>
          <w:color w:val="000000"/>
          <w:sz w:val="72"/>
          <w:szCs w:val="72"/>
        </w:rPr>
      </w:pPr>
      <w:r>
        <w:rPr>
          <w:rFonts w:hint="eastAsia" w:ascii="黑体" w:hAnsi="宋体" w:eastAsia="宋体" w:cs="Times New Roman"/>
          <w:color w:val="000000"/>
          <w:sz w:val="72"/>
          <w:szCs w:val="72"/>
        </w:rPr>
        <w:t>标</w:t>
      </w:r>
    </w:p>
    <w:p w14:paraId="0789D6A9">
      <w:pPr>
        <w:jc w:val="center"/>
        <w:rPr>
          <w:rFonts w:ascii="黑体" w:hAnsi="宋体" w:eastAsia="黑体" w:cs="Times New Roman"/>
          <w:color w:val="000000"/>
          <w:sz w:val="72"/>
          <w:szCs w:val="72"/>
        </w:rPr>
      </w:pPr>
      <w:r>
        <w:rPr>
          <w:rFonts w:hint="eastAsia" w:ascii="黑体" w:hAnsi="宋体" w:eastAsia="宋体" w:cs="Times New Roman"/>
          <w:color w:val="000000"/>
          <w:sz w:val="72"/>
          <w:szCs w:val="72"/>
        </w:rPr>
        <w:t>书</w:t>
      </w:r>
    </w:p>
    <w:p w14:paraId="6519088B">
      <w:pPr>
        <w:spacing w:line="860" w:lineRule="exact"/>
        <w:ind w:left="3118" w:leftChars="1485" w:firstLine="1"/>
        <w:rPr>
          <w:rFonts w:ascii="华文仿宋" w:hAnsi="华文仿宋" w:eastAsia="宋体"/>
          <w:b/>
          <w:bCs/>
          <w:sz w:val="32"/>
          <w:szCs w:val="28"/>
        </w:rPr>
      </w:pPr>
      <w:r>
        <w:rPr>
          <w:rFonts w:hint="eastAsia" w:ascii="华文仿宋" w:hAnsi="华文仿宋" w:eastAsia="宋体"/>
          <w:b/>
          <w:bCs/>
          <w:sz w:val="32"/>
          <w:szCs w:val="28"/>
        </w:rPr>
        <w:t xml:space="preserve">编制： </w:t>
      </w:r>
      <w:r>
        <w:rPr>
          <w:rFonts w:ascii="华文仿宋" w:hAnsi="华文仿宋" w:eastAsia="宋体"/>
          <w:b/>
          <w:bCs/>
          <w:sz w:val="32"/>
          <w:szCs w:val="28"/>
        </w:rPr>
        <w:t xml:space="preserve">       </w:t>
      </w:r>
      <w:r>
        <w:rPr>
          <w:rFonts w:hint="eastAsia" w:ascii="华文仿宋" w:hAnsi="华文仿宋" w:eastAsia="宋体"/>
          <w:b/>
          <w:bCs/>
          <w:sz w:val="32"/>
          <w:szCs w:val="28"/>
        </w:rPr>
        <w:t>蔡胜忠</w:t>
      </w:r>
      <w:r>
        <w:rPr>
          <w:rFonts w:ascii="华文仿宋" w:hAnsi="华文仿宋" w:eastAsia="宋体"/>
          <w:b/>
          <w:bCs/>
          <w:sz w:val="32"/>
          <w:szCs w:val="28"/>
        </w:rPr>
        <w:t xml:space="preserve"> </w:t>
      </w:r>
    </w:p>
    <w:p w14:paraId="2F407EDD">
      <w:pPr>
        <w:spacing w:line="860" w:lineRule="exact"/>
        <w:ind w:left="3118" w:leftChars="1485"/>
        <w:rPr>
          <w:rFonts w:ascii="华文仿宋" w:hAnsi="华文仿宋" w:eastAsia="宋体"/>
          <w:b/>
          <w:bCs/>
          <w:sz w:val="32"/>
          <w:szCs w:val="28"/>
        </w:rPr>
      </w:pPr>
      <w:r>
        <w:rPr>
          <w:rFonts w:hint="eastAsia" w:ascii="华文仿宋" w:hAnsi="华文仿宋" w:eastAsia="宋体"/>
          <w:b/>
          <w:bCs/>
          <w:sz w:val="32"/>
          <w:szCs w:val="28"/>
        </w:rPr>
        <w:t xml:space="preserve">校对： </w:t>
      </w:r>
      <w:r>
        <w:rPr>
          <w:rFonts w:ascii="华文仿宋" w:hAnsi="华文仿宋" w:eastAsia="宋体"/>
          <w:b/>
          <w:bCs/>
          <w:sz w:val="32"/>
          <w:szCs w:val="28"/>
        </w:rPr>
        <w:t xml:space="preserve">       </w:t>
      </w:r>
      <w:r>
        <w:rPr>
          <w:rFonts w:hint="eastAsia" w:ascii="华文仿宋" w:hAnsi="华文仿宋" w:eastAsia="宋体"/>
          <w:b/>
          <w:bCs/>
          <w:sz w:val="32"/>
          <w:szCs w:val="28"/>
        </w:rPr>
        <w:t>黄强强</w:t>
      </w:r>
    </w:p>
    <w:p w14:paraId="1AC756C6">
      <w:pPr>
        <w:spacing w:line="860" w:lineRule="exact"/>
        <w:ind w:left="3118" w:leftChars="1485"/>
        <w:rPr>
          <w:rFonts w:ascii="华文仿宋" w:hAnsi="华文仿宋" w:eastAsia="宋体"/>
          <w:sz w:val="32"/>
          <w:szCs w:val="28"/>
        </w:rPr>
      </w:pPr>
      <w:r>
        <w:rPr>
          <w:rFonts w:hint="eastAsia" w:ascii="华文仿宋" w:hAnsi="华文仿宋" w:eastAsia="宋体"/>
          <w:b/>
          <w:bCs/>
          <w:sz w:val="32"/>
          <w:szCs w:val="28"/>
        </w:rPr>
        <w:t xml:space="preserve">会签： </w:t>
      </w:r>
      <w:r>
        <w:rPr>
          <w:rFonts w:ascii="华文仿宋" w:hAnsi="华文仿宋" w:eastAsia="宋体"/>
          <w:b/>
          <w:bCs/>
          <w:sz w:val="32"/>
          <w:szCs w:val="28"/>
        </w:rPr>
        <w:t xml:space="preserve">       </w:t>
      </w:r>
      <w:r>
        <w:rPr>
          <w:rFonts w:hint="eastAsia" w:ascii="华文仿宋" w:hAnsi="华文仿宋" w:eastAsia="宋体"/>
          <w:b/>
          <w:bCs/>
          <w:sz w:val="32"/>
          <w:szCs w:val="28"/>
        </w:rPr>
        <w:t>金旭涛</w:t>
      </w:r>
    </w:p>
    <w:p w14:paraId="57AA8651">
      <w:pPr>
        <w:spacing w:line="860" w:lineRule="exact"/>
        <w:ind w:left="3118" w:leftChars="1485"/>
        <w:rPr>
          <w:rFonts w:ascii="华文仿宋" w:hAnsi="华文仿宋" w:eastAsia="宋体"/>
          <w:b/>
          <w:bCs/>
          <w:sz w:val="32"/>
          <w:szCs w:val="28"/>
        </w:rPr>
      </w:pPr>
      <w:r>
        <w:rPr>
          <w:rFonts w:hint="eastAsia" w:ascii="华文仿宋" w:hAnsi="华文仿宋" w:eastAsia="宋体"/>
          <w:b/>
          <w:bCs/>
          <w:sz w:val="32"/>
          <w:szCs w:val="28"/>
        </w:rPr>
        <w:t xml:space="preserve">审核： </w:t>
      </w:r>
      <w:r>
        <w:rPr>
          <w:rFonts w:ascii="华文仿宋" w:hAnsi="华文仿宋" w:eastAsia="宋体"/>
          <w:b/>
          <w:bCs/>
          <w:sz w:val="32"/>
          <w:szCs w:val="28"/>
        </w:rPr>
        <w:t xml:space="preserve">       </w:t>
      </w:r>
      <w:r>
        <w:rPr>
          <w:rFonts w:hint="eastAsia" w:ascii="华文仿宋" w:hAnsi="华文仿宋" w:eastAsia="宋体"/>
          <w:b/>
          <w:bCs/>
          <w:sz w:val="32"/>
          <w:szCs w:val="28"/>
        </w:rPr>
        <w:t>钟晓渝</w:t>
      </w:r>
    </w:p>
    <w:p w14:paraId="605C8A83">
      <w:pPr>
        <w:spacing w:line="860" w:lineRule="exact"/>
        <w:ind w:left="3118" w:leftChars="1485"/>
        <w:rPr>
          <w:rFonts w:ascii="华文仿宋" w:hAnsi="华文仿宋" w:eastAsia="宋体"/>
          <w:b/>
          <w:bCs/>
          <w:sz w:val="32"/>
          <w:szCs w:val="28"/>
        </w:rPr>
      </w:pPr>
      <w:r>
        <w:rPr>
          <w:rFonts w:hint="eastAsia" w:ascii="华文仿宋" w:hAnsi="华文仿宋" w:eastAsia="宋体"/>
          <w:b/>
          <w:bCs/>
          <w:sz w:val="32"/>
          <w:szCs w:val="28"/>
        </w:rPr>
        <w:t xml:space="preserve">批准： </w:t>
      </w:r>
      <w:r>
        <w:rPr>
          <w:rFonts w:ascii="华文仿宋" w:hAnsi="华文仿宋" w:eastAsia="宋体"/>
          <w:b/>
          <w:bCs/>
          <w:sz w:val="32"/>
          <w:szCs w:val="28"/>
        </w:rPr>
        <w:t xml:space="preserve">       </w:t>
      </w:r>
      <w:r>
        <w:rPr>
          <w:rFonts w:hint="eastAsia" w:ascii="华文仿宋" w:hAnsi="华文仿宋" w:eastAsia="宋体"/>
          <w:b/>
          <w:bCs/>
          <w:sz w:val="32"/>
          <w:szCs w:val="28"/>
        </w:rPr>
        <w:t>姜爱良</w:t>
      </w:r>
    </w:p>
    <w:p w14:paraId="0A3B48A7">
      <w:pPr>
        <w:pStyle w:val="17"/>
        <w:rPr>
          <w:rFonts w:ascii="华文仿宋" w:hAnsi="华文仿宋" w:eastAsia="华文仿宋"/>
          <w:b/>
          <w:bCs/>
          <w:sz w:val="32"/>
          <w:szCs w:val="28"/>
        </w:rPr>
      </w:pPr>
    </w:p>
    <w:p w14:paraId="2A025145">
      <w:pPr>
        <w:pStyle w:val="17"/>
        <w:rPr>
          <w:b/>
          <w:bCs/>
        </w:rPr>
      </w:pPr>
    </w:p>
    <w:p w14:paraId="6D9FDB48">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人：中国重汽集团杭州发动机有限公司</w:t>
      </w:r>
    </w:p>
    <w:p w14:paraId="182579FE">
      <w:pPr>
        <w:jc w:val="center"/>
        <w:rPr>
          <w:rFonts w:ascii="Calibri" w:hAnsi="Calibri" w:eastAsia="宋体" w:cs="Times New Roman"/>
          <w:b/>
          <w:bCs/>
          <w:kern w:val="44"/>
          <w:sz w:val="36"/>
          <w:szCs w:val="44"/>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rPr>
        <w:t>5</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11</w:t>
      </w:r>
      <w:r>
        <w:rPr>
          <w:rFonts w:hint="eastAsia" w:ascii="Calibri" w:hAnsi="Calibri" w:eastAsia="宋体" w:cs="Times New Roman"/>
          <w:color w:val="000000"/>
          <w:sz w:val="28"/>
          <w:szCs w:val="28"/>
        </w:rPr>
        <w:t>月</w:t>
      </w:r>
    </w:p>
    <w:p w14:paraId="47538CF8">
      <w:pPr>
        <w:spacing w:line="360" w:lineRule="auto"/>
        <w:rPr>
          <w:rFonts w:ascii="宋体" w:hAnsi="宋体" w:eastAsia="宋体" w:cs="Times New Roman"/>
          <w:b/>
          <w:sz w:val="36"/>
          <w:szCs w:val="36"/>
        </w:rPr>
        <w:sectPr>
          <w:headerReference r:id="rId10" w:type="default"/>
          <w:footerReference r:id="rId11" w:type="default"/>
          <w:pgSz w:w="11907" w:h="16840"/>
          <w:pgMar w:top="1304" w:right="1418" w:bottom="1304" w:left="1418" w:header="724" w:footer="851" w:gutter="0"/>
          <w:pgNumType w:fmt="numberInDash"/>
          <w:cols w:space="720" w:num="1"/>
          <w:docGrid w:linePitch="290" w:charSpace="-3931"/>
        </w:sectPr>
      </w:pPr>
    </w:p>
    <w:p w14:paraId="7F974299"/>
    <w:p w14:paraId="79548452">
      <w:pPr>
        <w:spacing w:line="360" w:lineRule="auto"/>
        <w:jc w:val="center"/>
        <w:rPr>
          <w:rFonts w:hAnsi="Calibri"/>
          <w:b/>
          <w:sz w:val="28"/>
          <w:szCs w:val="24"/>
        </w:rPr>
      </w:pPr>
      <w:r>
        <w:rPr>
          <w:rFonts w:hint="eastAsia"/>
          <w:b/>
          <w:sz w:val="28"/>
          <w:szCs w:val="24"/>
        </w:rPr>
        <w:t>第一章</w:t>
      </w:r>
      <w:r>
        <w:rPr>
          <w:b/>
          <w:sz w:val="28"/>
          <w:szCs w:val="24"/>
        </w:rPr>
        <w:t xml:space="preserve">  </w:t>
      </w:r>
      <w:r>
        <w:rPr>
          <w:rFonts w:hint="eastAsia"/>
          <w:b/>
          <w:sz w:val="28"/>
          <w:szCs w:val="24"/>
        </w:rPr>
        <w:t>采购货物概况</w:t>
      </w:r>
    </w:p>
    <w:p w14:paraId="2A8C180D">
      <w:pPr>
        <w:spacing w:line="360" w:lineRule="auto"/>
        <w:rPr>
          <w:rFonts w:eastAsia="黑体"/>
          <w:b/>
          <w:sz w:val="24"/>
          <w:szCs w:val="24"/>
        </w:rPr>
      </w:pPr>
      <w:r>
        <w:rPr>
          <w:rFonts w:hint="eastAsia"/>
          <w:b/>
          <w:sz w:val="24"/>
          <w:szCs w:val="24"/>
        </w:rPr>
        <w:t>第一节  使用环境</w:t>
      </w:r>
    </w:p>
    <w:p w14:paraId="351953CB">
      <w:pPr>
        <w:spacing w:line="360" w:lineRule="auto"/>
        <w:rPr>
          <w:sz w:val="24"/>
          <w:szCs w:val="24"/>
        </w:rPr>
      </w:pPr>
      <w:r>
        <w:rPr>
          <w:rFonts w:hint="eastAsia"/>
          <w:sz w:val="24"/>
          <w:szCs w:val="24"/>
        </w:rPr>
        <w:t>一、项目名称：</w:t>
      </w:r>
      <w:r>
        <w:rPr>
          <w:rFonts w:hint="eastAsia"/>
          <w:sz w:val="24"/>
          <w:szCs w:val="24"/>
          <w:u w:val="single"/>
        </w:rPr>
        <w:t>试车台架系统更新改造项目</w:t>
      </w:r>
    </w:p>
    <w:p w14:paraId="11BA4280">
      <w:pPr>
        <w:spacing w:line="360" w:lineRule="auto"/>
        <w:rPr>
          <w:rFonts w:ascii="宋体"/>
          <w:sz w:val="24"/>
          <w:szCs w:val="24"/>
        </w:rPr>
      </w:pPr>
      <w:r>
        <w:rPr>
          <w:rFonts w:hint="eastAsia"/>
          <w:sz w:val="24"/>
          <w:szCs w:val="24"/>
        </w:rPr>
        <w:t>二、建设地点：</w:t>
      </w:r>
      <w:r>
        <w:rPr>
          <w:rFonts w:hint="eastAsia" w:ascii="宋体" w:hAnsi="宋体" w:eastAsia="宋体" w:cs="Times New Roman"/>
          <w:sz w:val="24"/>
          <w:szCs w:val="24"/>
          <w:u w:val="single"/>
        </w:rPr>
        <w:t>杭州市萧山经济技术开发区红泰六路699号</w:t>
      </w:r>
      <w:r>
        <w:rPr>
          <w:rFonts w:hint="eastAsia"/>
          <w:sz w:val="24"/>
          <w:szCs w:val="24"/>
        </w:rPr>
        <w:t xml:space="preserve"> </w:t>
      </w:r>
    </w:p>
    <w:p w14:paraId="7287772A">
      <w:pPr>
        <w:spacing w:line="360" w:lineRule="auto"/>
        <w:rPr>
          <w:sz w:val="24"/>
          <w:szCs w:val="24"/>
          <w:u w:val="single"/>
        </w:rPr>
      </w:pPr>
      <w:r>
        <w:rPr>
          <w:rFonts w:hint="eastAsia"/>
          <w:sz w:val="24"/>
          <w:szCs w:val="24"/>
        </w:rPr>
        <w:t>三、使用地点：</w:t>
      </w:r>
      <w:r>
        <w:rPr>
          <w:rFonts w:hint="eastAsia"/>
          <w:sz w:val="24"/>
          <w:szCs w:val="24"/>
          <w:u w:val="single"/>
        </w:rPr>
        <w:t>中国重汽集团杭州发动机有限公司</w:t>
      </w:r>
    </w:p>
    <w:p w14:paraId="0F97AE79">
      <w:pPr>
        <w:spacing w:line="360" w:lineRule="auto"/>
        <w:rPr>
          <w:rFonts w:ascii="宋体" w:hAnsi="宋体" w:eastAsia="宋体" w:cs="Times New Roman"/>
          <w:sz w:val="24"/>
          <w:szCs w:val="24"/>
        </w:rPr>
      </w:pPr>
      <w:r>
        <w:rPr>
          <w:rFonts w:hint="eastAsia" w:ascii="黑体"/>
          <w:sz w:val="24"/>
          <w:szCs w:val="24"/>
        </w:rPr>
        <w:t>四、工作制度：</w:t>
      </w:r>
      <w:r>
        <w:rPr>
          <w:rFonts w:hint="eastAsia"/>
          <w:sz w:val="24"/>
          <w:szCs w:val="24"/>
        </w:rPr>
        <w:t>全年工作</w:t>
      </w:r>
      <w:r>
        <w:rPr>
          <w:rFonts w:hint="eastAsia" w:ascii="仿宋" w:hAnsi="仿宋" w:eastAsia="仿宋" w:cs="仿宋"/>
          <w:sz w:val="28"/>
          <w:szCs w:val="28"/>
        </w:rPr>
        <w:t>≥</w:t>
      </w:r>
      <w:r>
        <w:rPr>
          <w:rFonts w:hint="eastAsia" w:ascii="宋体" w:hAnsi="宋体" w:eastAsia="宋体" w:cs="Times New Roman"/>
          <w:sz w:val="24"/>
          <w:szCs w:val="24"/>
        </w:rPr>
        <w:t>250天</w:t>
      </w:r>
    </w:p>
    <w:p w14:paraId="5D79028F">
      <w:pPr>
        <w:spacing w:line="360" w:lineRule="auto"/>
        <w:rPr>
          <w:color w:val="FF0000"/>
          <w:sz w:val="24"/>
          <w:szCs w:val="24"/>
        </w:rPr>
      </w:pPr>
      <w:r>
        <w:rPr>
          <w:rFonts w:hint="eastAsia"/>
          <w:sz w:val="24"/>
          <w:szCs w:val="24"/>
        </w:rPr>
        <w:t>五、使用地点区域自然环境：</w:t>
      </w:r>
      <w:r>
        <w:rPr>
          <w:color w:val="FF0000"/>
          <w:sz w:val="24"/>
          <w:szCs w:val="24"/>
        </w:rPr>
        <w:t xml:space="preserve"> </w:t>
      </w:r>
    </w:p>
    <w:p w14:paraId="7767B2F3">
      <w:pPr>
        <w:pStyle w:val="131"/>
        <w:spacing w:line="360" w:lineRule="auto"/>
        <w:ind w:firstLine="0"/>
        <w:rPr>
          <w:rFonts w:ascii="宋体"/>
          <w:sz w:val="24"/>
          <w:szCs w:val="24"/>
        </w:rPr>
      </w:pPr>
      <w:r>
        <w:rPr>
          <w:sz w:val="24"/>
          <w:szCs w:val="24"/>
        </w:rPr>
        <w:t>1、海拨高度：1000m以下</w:t>
      </w:r>
      <w:r>
        <w:rPr>
          <w:sz w:val="24"/>
          <w:szCs w:val="24"/>
        </w:rPr>
        <w:br w:type="textWrapping"/>
      </w:r>
      <w:r>
        <w:rPr>
          <w:sz w:val="24"/>
          <w:szCs w:val="24"/>
        </w:rPr>
        <w:t>2、环境温度：室外极端最低温度-8</w:t>
      </w:r>
      <w:r>
        <w:rPr>
          <w:rFonts w:hint="eastAsia"/>
          <w:sz w:val="24"/>
          <w:szCs w:val="24"/>
        </w:rPr>
        <w:t>.</w:t>
      </w:r>
      <w:r>
        <w:rPr>
          <w:sz w:val="24"/>
          <w:szCs w:val="24"/>
        </w:rPr>
        <w:t>6℃、极端最高温度45℃，昼夜最大温差25℃；室内温度5～45℃。</w:t>
      </w:r>
      <w:r>
        <w:rPr>
          <w:sz w:val="24"/>
          <w:szCs w:val="24"/>
        </w:rPr>
        <w:br w:type="textWrapping"/>
      </w:r>
      <w:r>
        <w:rPr>
          <w:sz w:val="24"/>
          <w:szCs w:val="24"/>
        </w:rPr>
        <w:t>3、相对湿度：年平均80%RH，最大95%RH、最小35%RH。</w:t>
      </w:r>
      <w:r>
        <w:rPr>
          <w:sz w:val="24"/>
          <w:szCs w:val="24"/>
        </w:rPr>
        <w:br w:type="textWrapping"/>
      </w:r>
      <w:r>
        <w:rPr>
          <w:sz w:val="24"/>
          <w:szCs w:val="24"/>
        </w:rPr>
        <w:t>4、降雨量：日最大降雨量300mm、时最大降雨量100mm。</w:t>
      </w:r>
      <w:r>
        <w:rPr>
          <w:sz w:val="24"/>
          <w:szCs w:val="24"/>
        </w:rPr>
        <w:br w:type="textWrapping"/>
      </w:r>
      <w:r>
        <w:rPr>
          <w:sz w:val="24"/>
          <w:szCs w:val="24"/>
        </w:rPr>
        <w:t xml:space="preserve">5、最大风速：33.3m/s。 </w:t>
      </w:r>
      <w:r>
        <w:rPr>
          <w:sz w:val="24"/>
          <w:szCs w:val="24"/>
        </w:rPr>
        <w:br w:type="textWrapping"/>
      </w:r>
      <w:r>
        <w:rPr>
          <w:rFonts w:hint="eastAsia"/>
          <w:sz w:val="24"/>
          <w:szCs w:val="24"/>
        </w:rPr>
        <w:t>六、能源环境：</w:t>
      </w:r>
    </w:p>
    <w:p w14:paraId="63079C3A">
      <w:pPr>
        <w:pStyle w:val="131"/>
        <w:spacing w:line="360" w:lineRule="auto"/>
        <w:rPr>
          <w:sz w:val="24"/>
          <w:szCs w:val="24"/>
        </w:rPr>
      </w:pPr>
      <w:r>
        <w:rPr>
          <w:rFonts w:hint="eastAsia"/>
          <w:sz w:val="24"/>
          <w:szCs w:val="24"/>
        </w:rPr>
        <w:t>1、电力：</w:t>
      </w:r>
      <w:r>
        <w:rPr>
          <w:sz w:val="24"/>
          <w:szCs w:val="24"/>
        </w:rPr>
        <w:t>中国制式，供电电压380V±15%/220V±15%，供电频率50Hz±2%，三相五线制。</w:t>
      </w:r>
    </w:p>
    <w:p w14:paraId="75F8AC97">
      <w:pPr>
        <w:pStyle w:val="131"/>
        <w:spacing w:line="360" w:lineRule="auto"/>
        <w:rPr>
          <w:sz w:val="24"/>
          <w:szCs w:val="24"/>
        </w:rPr>
      </w:pPr>
      <w:r>
        <w:rPr>
          <w:rFonts w:hint="eastAsia"/>
          <w:sz w:val="24"/>
          <w:szCs w:val="24"/>
        </w:rPr>
        <w:t>2、</w:t>
      </w:r>
      <w:r>
        <w:rPr>
          <w:sz w:val="24"/>
          <w:szCs w:val="24"/>
        </w:rPr>
        <w:t>给水：市政自来水</w:t>
      </w:r>
      <w:r>
        <w:rPr>
          <w:rFonts w:hint="eastAsia"/>
          <w:sz w:val="24"/>
          <w:szCs w:val="24"/>
        </w:rPr>
        <w:t>。</w:t>
      </w:r>
    </w:p>
    <w:p w14:paraId="0D2698F3">
      <w:pPr>
        <w:spacing w:line="360" w:lineRule="auto"/>
        <w:rPr>
          <w:sz w:val="24"/>
          <w:szCs w:val="24"/>
        </w:rPr>
      </w:pPr>
      <w:bookmarkStart w:id="35" w:name="_Toc19068"/>
      <w:bookmarkStart w:id="36" w:name="_Toc9838"/>
      <w:bookmarkStart w:id="37" w:name="_Toc13018"/>
      <w:bookmarkStart w:id="38" w:name="_Toc137705867"/>
      <w:bookmarkStart w:id="39" w:name="_Toc27088"/>
    </w:p>
    <w:p w14:paraId="425743E5">
      <w:pPr>
        <w:spacing w:line="360" w:lineRule="auto"/>
        <w:rPr>
          <w:rFonts w:eastAsia="黑体"/>
          <w:b/>
          <w:sz w:val="24"/>
          <w:szCs w:val="24"/>
        </w:rPr>
      </w:pPr>
      <w:r>
        <w:rPr>
          <w:rFonts w:hint="eastAsia"/>
          <w:b/>
          <w:sz w:val="24"/>
          <w:szCs w:val="24"/>
        </w:rPr>
        <w:t>第二节  采购货物概况</w:t>
      </w:r>
      <w:bookmarkEnd w:id="35"/>
      <w:bookmarkEnd w:id="36"/>
      <w:bookmarkEnd w:id="37"/>
      <w:bookmarkEnd w:id="38"/>
      <w:bookmarkEnd w:id="39"/>
    </w:p>
    <w:p w14:paraId="0309D281">
      <w:pPr>
        <w:spacing w:line="360" w:lineRule="auto"/>
        <w:rPr>
          <w:sz w:val="24"/>
          <w:szCs w:val="24"/>
        </w:rPr>
      </w:pPr>
      <w:r>
        <w:rPr>
          <w:rFonts w:hint="eastAsia"/>
          <w:sz w:val="24"/>
          <w:szCs w:val="24"/>
        </w:rPr>
        <w:t>一、货物名称：试车台架系统更新改造项目</w:t>
      </w:r>
    </w:p>
    <w:p w14:paraId="770BD608">
      <w:pPr>
        <w:spacing w:line="360" w:lineRule="auto"/>
        <w:rPr>
          <w:rFonts w:ascii="宋体" w:hAnsi="宋体" w:cs="宋体"/>
          <w:sz w:val="24"/>
          <w:szCs w:val="24"/>
        </w:rPr>
      </w:pPr>
      <w:r>
        <w:rPr>
          <w:rFonts w:hint="eastAsia"/>
          <w:sz w:val="24"/>
          <w:szCs w:val="24"/>
        </w:rPr>
        <w:t>二、货物数量：</w:t>
      </w:r>
      <w:r>
        <w:rPr>
          <w:rFonts w:hint="eastAsia" w:ascii="宋体" w:hAnsi="宋体" w:cs="宋体"/>
          <w:sz w:val="24"/>
          <w:szCs w:val="24"/>
        </w:rPr>
        <w:t>（详见表1）</w:t>
      </w:r>
    </w:p>
    <w:p w14:paraId="07A41CB9">
      <w:pPr>
        <w:spacing w:line="360" w:lineRule="auto"/>
        <w:rPr>
          <w:rFonts w:ascii="宋体" w:hAnsi="宋体" w:cs="宋体"/>
          <w:sz w:val="24"/>
          <w:szCs w:val="24"/>
        </w:rPr>
      </w:pPr>
      <w:r>
        <w:rPr>
          <w:rFonts w:hint="eastAsia"/>
          <w:sz w:val="24"/>
          <w:szCs w:val="24"/>
        </w:rPr>
        <w:t>三、分投分中：</w:t>
      </w:r>
      <w:r>
        <w:rPr>
          <w:rFonts w:hint="eastAsia" w:ascii="宋体" w:hAnsi="宋体" w:cs="宋体"/>
          <w:sz w:val="24"/>
          <w:szCs w:val="24"/>
        </w:rPr>
        <w:t>不允许。</w:t>
      </w:r>
    </w:p>
    <w:p w14:paraId="322EF8E0">
      <w:pPr>
        <w:pStyle w:val="17"/>
        <w:spacing w:line="360" w:lineRule="auto"/>
        <w:rPr>
          <w:sz w:val="24"/>
          <w:szCs w:val="24"/>
        </w:rPr>
      </w:pPr>
      <w:r>
        <w:rPr>
          <w:rFonts w:hint="eastAsia"/>
          <w:sz w:val="24"/>
          <w:szCs w:val="24"/>
        </w:rPr>
        <w:t>四、采购货物主要构成一览表</w:t>
      </w:r>
    </w:p>
    <w:p w14:paraId="704497AB">
      <w:pPr>
        <w:spacing w:line="360" w:lineRule="auto"/>
        <w:jc w:val="center"/>
        <w:rPr>
          <w:rFonts w:ascii="宋体"/>
          <w:sz w:val="24"/>
        </w:rPr>
      </w:pPr>
      <w:r>
        <w:rPr>
          <w:rFonts w:ascii="宋体"/>
          <w:sz w:val="24"/>
        </w:rPr>
        <w:t>表</w:t>
      </w:r>
      <w:r>
        <w:rPr>
          <w:rFonts w:hint="eastAsia" w:ascii="宋体"/>
          <w:sz w:val="24"/>
        </w:rPr>
        <w:t>1</w:t>
      </w:r>
      <w:r>
        <w:rPr>
          <w:rFonts w:ascii="宋体"/>
          <w:sz w:val="24"/>
        </w:rPr>
        <w:t xml:space="preserve">  采购货</w:t>
      </w:r>
      <w:r>
        <w:rPr>
          <w:rFonts w:hint="eastAsia" w:ascii="宋体"/>
          <w:sz w:val="24"/>
        </w:rPr>
        <w:t>物主要构成一</w:t>
      </w:r>
      <w:r>
        <w:rPr>
          <w:rFonts w:ascii="宋体"/>
          <w:sz w:val="24"/>
        </w:rPr>
        <w:t>览表</w:t>
      </w:r>
    </w:p>
    <w:tbl>
      <w:tblPr>
        <w:tblStyle w:val="36"/>
        <w:tblW w:w="7434" w:type="dxa"/>
        <w:jc w:val="center"/>
        <w:tblLayout w:type="autofit"/>
        <w:tblCellMar>
          <w:top w:w="0" w:type="dxa"/>
          <w:left w:w="108" w:type="dxa"/>
          <w:bottom w:w="0" w:type="dxa"/>
          <w:right w:w="108" w:type="dxa"/>
        </w:tblCellMar>
      </w:tblPr>
      <w:tblGrid>
        <w:gridCol w:w="760"/>
        <w:gridCol w:w="3666"/>
        <w:gridCol w:w="1418"/>
        <w:gridCol w:w="1590"/>
      </w:tblGrid>
      <w:tr w14:paraId="3A013252">
        <w:tblPrEx>
          <w:tblCellMar>
            <w:top w:w="0" w:type="dxa"/>
            <w:left w:w="108" w:type="dxa"/>
            <w:bottom w:w="0" w:type="dxa"/>
            <w:right w:w="108" w:type="dxa"/>
          </w:tblCellMar>
        </w:tblPrEx>
        <w:trPr>
          <w:trHeight w:val="512" w:hRule="atLeast"/>
          <w:jc w:val="center"/>
        </w:trPr>
        <w:tc>
          <w:tcPr>
            <w:tcW w:w="760" w:type="dxa"/>
            <w:tcBorders>
              <w:top w:val="single" w:color="auto" w:sz="4" w:space="0"/>
              <w:left w:val="single" w:color="auto" w:sz="4" w:space="0"/>
              <w:bottom w:val="nil"/>
              <w:right w:val="single" w:color="auto" w:sz="4" w:space="0"/>
            </w:tcBorders>
            <w:shd w:val="clear" w:color="auto" w:fill="auto"/>
            <w:vAlign w:val="center"/>
          </w:tcPr>
          <w:p w14:paraId="64482120">
            <w:pPr>
              <w:widowControl/>
              <w:jc w:val="center"/>
              <w:rPr>
                <w:rFonts w:ascii="宋体" w:hAnsi="宋体" w:cs="宋体"/>
                <w:color w:val="000000"/>
                <w:kern w:val="0"/>
                <w:sz w:val="22"/>
              </w:rPr>
            </w:pPr>
            <w:r>
              <w:rPr>
                <w:rFonts w:hint="eastAsia" w:ascii="宋体" w:hAnsi="宋体" w:cs="宋体"/>
                <w:color w:val="000000"/>
                <w:kern w:val="0"/>
                <w:sz w:val="22"/>
              </w:rPr>
              <w:t>序号</w:t>
            </w:r>
          </w:p>
        </w:tc>
        <w:tc>
          <w:tcPr>
            <w:tcW w:w="3666" w:type="dxa"/>
            <w:tcBorders>
              <w:top w:val="single" w:color="auto" w:sz="4" w:space="0"/>
              <w:left w:val="single" w:color="auto" w:sz="4" w:space="0"/>
              <w:bottom w:val="nil"/>
              <w:right w:val="single" w:color="auto" w:sz="4" w:space="0"/>
            </w:tcBorders>
            <w:shd w:val="clear" w:color="auto" w:fill="auto"/>
            <w:vAlign w:val="center"/>
          </w:tcPr>
          <w:p w14:paraId="6CBCAE90">
            <w:pPr>
              <w:widowControl/>
              <w:jc w:val="center"/>
              <w:rPr>
                <w:rFonts w:ascii="宋体" w:hAnsi="宋体" w:cs="宋体"/>
                <w:color w:val="000000"/>
                <w:kern w:val="0"/>
                <w:sz w:val="22"/>
              </w:rPr>
            </w:pPr>
            <w:r>
              <w:rPr>
                <w:rFonts w:hint="eastAsia" w:ascii="宋体" w:hAnsi="宋体" w:cs="宋体"/>
                <w:color w:val="000000"/>
                <w:kern w:val="0"/>
                <w:sz w:val="22"/>
              </w:rPr>
              <w:t>名称</w:t>
            </w:r>
          </w:p>
        </w:tc>
        <w:tc>
          <w:tcPr>
            <w:tcW w:w="1418" w:type="dxa"/>
            <w:tcBorders>
              <w:top w:val="single" w:color="auto" w:sz="4" w:space="0"/>
              <w:left w:val="single" w:color="auto" w:sz="4" w:space="0"/>
              <w:bottom w:val="nil"/>
              <w:right w:val="single" w:color="auto" w:sz="4" w:space="0"/>
            </w:tcBorders>
            <w:shd w:val="clear" w:color="auto" w:fill="auto"/>
            <w:vAlign w:val="center"/>
          </w:tcPr>
          <w:p w14:paraId="35556F9B">
            <w:pPr>
              <w:widowControl/>
              <w:jc w:val="center"/>
              <w:rPr>
                <w:rFonts w:ascii="宋体" w:hAnsi="宋体" w:cs="宋体"/>
                <w:color w:val="000000"/>
                <w:kern w:val="0"/>
                <w:sz w:val="22"/>
              </w:rPr>
            </w:pPr>
            <w:r>
              <w:rPr>
                <w:rFonts w:hint="eastAsia" w:ascii="宋体" w:hAnsi="宋体" w:cs="宋体"/>
                <w:color w:val="000000"/>
                <w:kern w:val="0"/>
                <w:sz w:val="22"/>
              </w:rPr>
              <w:t>数量</w:t>
            </w:r>
          </w:p>
        </w:tc>
        <w:tc>
          <w:tcPr>
            <w:tcW w:w="1590" w:type="dxa"/>
            <w:tcBorders>
              <w:top w:val="single" w:color="auto" w:sz="4" w:space="0"/>
              <w:left w:val="single" w:color="auto" w:sz="4" w:space="0"/>
              <w:bottom w:val="nil"/>
              <w:right w:val="single" w:color="auto" w:sz="4" w:space="0"/>
            </w:tcBorders>
            <w:shd w:val="clear" w:color="auto" w:fill="auto"/>
            <w:vAlign w:val="center"/>
          </w:tcPr>
          <w:p w14:paraId="6B596439">
            <w:pPr>
              <w:widowControl/>
              <w:jc w:val="center"/>
              <w:rPr>
                <w:rFonts w:ascii="宋体" w:hAnsi="宋体" w:cs="宋体"/>
                <w:color w:val="000000"/>
                <w:kern w:val="0"/>
                <w:sz w:val="22"/>
              </w:rPr>
            </w:pPr>
            <w:r>
              <w:rPr>
                <w:rFonts w:hint="eastAsia" w:ascii="宋体" w:hAnsi="宋体" w:cs="宋体"/>
                <w:color w:val="000000"/>
                <w:kern w:val="0"/>
                <w:sz w:val="22"/>
              </w:rPr>
              <w:t>备注</w:t>
            </w:r>
          </w:p>
        </w:tc>
      </w:tr>
      <w:tr w14:paraId="032E1A47">
        <w:tblPrEx>
          <w:tblCellMar>
            <w:top w:w="0" w:type="dxa"/>
            <w:left w:w="108" w:type="dxa"/>
            <w:bottom w:w="0" w:type="dxa"/>
            <w:right w:w="108" w:type="dxa"/>
          </w:tblCellMar>
        </w:tblPrEx>
        <w:trPr>
          <w:trHeight w:val="479" w:hRule="atLeast"/>
          <w:jc w:val="center"/>
        </w:trPr>
        <w:tc>
          <w:tcPr>
            <w:tcW w:w="760" w:type="dxa"/>
            <w:tcBorders>
              <w:top w:val="single" w:color="auto" w:sz="4" w:space="0"/>
              <w:left w:val="single" w:color="auto" w:sz="4" w:space="0"/>
              <w:bottom w:val="single" w:color="000000" w:sz="4" w:space="0"/>
              <w:right w:val="single" w:color="auto" w:sz="4" w:space="0"/>
            </w:tcBorders>
            <w:shd w:val="clear" w:color="auto" w:fill="auto"/>
            <w:noWrap/>
            <w:vAlign w:val="center"/>
          </w:tcPr>
          <w:p w14:paraId="46EF9677">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3666" w:type="dxa"/>
            <w:tcBorders>
              <w:top w:val="single" w:color="auto" w:sz="4" w:space="0"/>
              <w:left w:val="single" w:color="auto" w:sz="4" w:space="0"/>
              <w:bottom w:val="single" w:color="000000" w:sz="4" w:space="0"/>
              <w:right w:val="single" w:color="auto" w:sz="4" w:space="0"/>
            </w:tcBorders>
            <w:shd w:val="clear" w:color="auto" w:fill="auto"/>
            <w:vAlign w:val="center"/>
          </w:tcPr>
          <w:p w14:paraId="08797427">
            <w:pPr>
              <w:widowControl/>
              <w:jc w:val="center"/>
              <w:rPr>
                <w:sz w:val="22"/>
              </w:rPr>
            </w:pPr>
            <w:r>
              <w:rPr>
                <w:sz w:val="22"/>
              </w:rPr>
              <w:t>交</w:t>
            </w:r>
            <w:r>
              <w:rPr>
                <w:rFonts w:hint="eastAsia"/>
                <w:sz w:val="22"/>
              </w:rPr>
              <w:t>流电力测功</w:t>
            </w:r>
            <w:r>
              <w:rPr>
                <w:sz w:val="22"/>
              </w:rPr>
              <w:t>系统</w:t>
            </w:r>
          </w:p>
        </w:tc>
        <w:tc>
          <w:tcPr>
            <w:tcW w:w="1418" w:type="dxa"/>
            <w:tcBorders>
              <w:top w:val="single" w:color="auto" w:sz="4" w:space="0"/>
              <w:left w:val="nil"/>
              <w:bottom w:val="single" w:color="auto" w:sz="4" w:space="0"/>
              <w:right w:val="single" w:color="auto" w:sz="4" w:space="0"/>
            </w:tcBorders>
            <w:shd w:val="clear" w:color="auto" w:fill="auto"/>
            <w:vAlign w:val="center"/>
          </w:tcPr>
          <w:p w14:paraId="0032C968">
            <w:pPr>
              <w:widowControl/>
              <w:jc w:val="center"/>
              <w:rPr>
                <w:rFonts w:ascii="宋体" w:hAnsi="宋体" w:cs="宋体"/>
                <w:color w:val="000000"/>
                <w:kern w:val="0"/>
                <w:sz w:val="22"/>
              </w:rPr>
            </w:pPr>
            <w:r>
              <w:rPr>
                <w:rFonts w:ascii="宋体" w:hAnsi="宋体" w:cs="宋体"/>
                <w:color w:val="000000"/>
                <w:kern w:val="0"/>
                <w:sz w:val="22"/>
              </w:rPr>
              <w:t>8</w:t>
            </w:r>
          </w:p>
        </w:tc>
        <w:tc>
          <w:tcPr>
            <w:tcW w:w="1590" w:type="dxa"/>
            <w:tcBorders>
              <w:top w:val="single" w:color="auto" w:sz="4" w:space="0"/>
              <w:left w:val="single" w:color="auto" w:sz="4" w:space="0"/>
              <w:bottom w:val="single" w:color="000000" w:sz="4" w:space="0"/>
              <w:right w:val="single" w:color="auto" w:sz="4" w:space="0"/>
            </w:tcBorders>
            <w:shd w:val="clear" w:color="auto" w:fill="auto"/>
            <w:vAlign w:val="center"/>
          </w:tcPr>
          <w:p w14:paraId="2EB3045F">
            <w:pPr>
              <w:widowControl/>
              <w:jc w:val="center"/>
              <w:rPr>
                <w:rFonts w:ascii="宋体" w:hAnsi="宋体" w:cs="宋体"/>
                <w:color w:val="000000"/>
                <w:kern w:val="0"/>
                <w:sz w:val="22"/>
              </w:rPr>
            </w:pPr>
            <w:r>
              <w:rPr>
                <w:rFonts w:ascii="宋体" w:hAnsi="宋体" w:cs="宋体"/>
                <w:color w:val="000000"/>
                <w:kern w:val="0"/>
                <w:sz w:val="22"/>
              </w:rPr>
              <w:t>445kW</w:t>
            </w:r>
          </w:p>
        </w:tc>
      </w:tr>
      <w:tr w14:paraId="219BB49B">
        <w:tblPrEx>
          <w:tblCellMar>
            <w:top w:w="0" w:type="dxa"/>
            <w:left w:w="108" w:type="dxa"/>
            <w:bottom w:w="0" w:type="dxa"/>
            <w:right w:w="108" w:type="dxa"/>
          </w:tblCellMar>
        </w:tblPrEx>
        <w:trPr>
          <w:trHeight w:val="479" w:hRule="atLeast"/>
          <w:jc w:val="center"/>
        </w:trPr>
        <w:tc>
          <w:tcPr>
            <w:tcW w:w="760" w:type="dxa"/>
            <w:tcBorders>
              <w:top w:val="single" w:color="auto" w:sz="4" w:space="0"/>
              <w:left w:val="single" w:color="auto" w:sz="4" w:space="0"/>
              <w:bottom w:val="single" w:color="000000" w:sz="4" w:space="0"/>
              <w:right w:val="single" w:color="auto" w:sz="4" w:space="0"/>
            </w:tcBorders>
            <w:shd w:val="clear" w:color="auto" w:fill="auto"/>
            <w:noWrap/>
            <w:vAlign w:val="center"/>
          </w:tcPr>
          <w:p w14:paraId="7CD2C75F">
            <w:pPr>
              <w:widowControl/>
              <w:jc w:val="center"/>
              <w:rPr>
                <w:rFonts w:ascii="宋体" w:hAnsi="宋体" w:cs="宋体"/>
                <w:color w:val="000000"/>
                <w:kern w:val="0"/>
                <w:sz w:val="22"/>
              </w:rPr>
            </w:pPr>
            <w:r>
              <w:rPr>
                <w:rFonts w:hint="eastAsia" w:ascii="宋体" w:hAnsi="宋体" w:cs="宋体"/>
                <w:color w:val="000000"/>
                <w:kern w:val="0"/>
                <w:sz w:val="22"/>
              </w:rPr>
              <w:t>2</w:t>
            </w:r>
          </w:p>
        </w:tc>
        <w:tc>
          <w:tcPr>
            <w:tcW w:w="3666" w:type="dxa"/>
            <w:tcBorders>
              <w:top w:val="single" w:color="auto" w:sz="4" w:space="0"/>
              <w:left w:val="single" w:color="auto" w:sz="4" w:space="0"/>
              <w:bottom w:val="single" w:color="000000" w:sz="4" w:space="0"/>
              <w:right w:val="single" w:color="auto" w:sz="4" w:space="0"/>
            </w:tcBorders>
            <w:shd w:val="clear" w:color="auto" w:fill="auto"/>
            <w:vAlign w:val="center"/>
          </w:tcPr>
          <w:p w14:paraId="37052916">
            <w:pPr>
              <w:jc w:val="center"/>
              <w:rPr>
                <w:sz w:val="22"/>
              </w:rPr>
            </w:pPr>
            <w:r>
              <w:rPr>
                <w:sz w:val="22"/>
              </w:rPr>
              <w:t>测</w:t>
            </w:r>
            <w:r>
              <w:rPr>
                <w:rFonts w:hint="eastAsia"/>
                <w:sz w:val="22"/>
              </w:rPr>
              <w:t>功电机防</w:t>
            </w:r>
            <w:r>
              <w:rPr>
                <w:sz w:val="22"/>
              </w:rPr>
              <w:t>爆改造</w:t>
            </w:r>
          </w:p>
        </w:tc>
        <w:tc>
          <w:tcPr>
            <w:tcW w:w="1418" w:type="dxa"/>
            <w:tcBorders>
              <w:top w:val="single" w:color="auto" w:sz="4" w:space="0"/>
              <w:left w:val="nil"/>
              <w:bottom w:val="single" w:color="auto" w:sz="4" w:space="0"/>
              <w:right w:val="single" w:color="auto" w:sz="4" w:space="0"/>
            </w:tcBorders>
            <w:shd w:val="clear" w:color="auto" w:fill="auto"/>
            <w:vAlign w:val="center"/>
          </w:tcPr>
          <w:p w14:paraId="5EE54F18">
            <w:pPr>
              <w:widowControl/>
              <w:jc w:val="center"/>
              <w:rPr>
                <w:rFonts w:ascii="宋体" w:hAnsi="宋体" w:cs="宋体"/>
                <w:color w:val="000000"/>
                <w:kern w:val="0"/>
                <w:sz w:val="22"/>
              </w:rPr>
            </w:pPr>
            <w:r>
              <w:rPr>
                <w:rFonts w:hint="eastAsia" w:ascii="宋体" w:hAnsi="宋体" w:cs="宋体"/>
                <w:color w:val="000000"/>
                <w:kern w:val="0"/>
                <w:sz w:val="22"/>
              </w:rPr>
              <w:t>2</w:t>
            </w:r>
          </w:p>
        </w:tc>
        <w:tc>
          <w:tcPr>
            <w:tcW w:w="1590" w:type="dxa"/>
            <w:tcBorders>
              <w:top w:val="single" w:color="auto" w:sz="4" w:space="0"/>
              <w:left w:val="single" w:color="auto" w:sz="4" w:space="0"/>
              <w:bottom w:val="single" w:color="000000" w:sz="4" w:space="0"/>
              <w:right w:val="single" w:color="auto" w:sz="4" w:space="0"/>
            </w:tcBorders>
            <w:shd w:val="clear" w:color="auto" w:fill="auto"/>
            <w:vAlign w:val="center"/>
          </w:tcPr>
          <w:p w14:paraId="31F84B17">
            <w:pPr>
              <w:widowControl/>
              <w:rPr>
                <w:rFonts w:ascii="宋体" w:hAnsi="宋体" w:cs="宋体"/>
                <w:color w:val="000000"/>
                <w:kern w:val="0"/>
                <w:sz w:val="22"/>
              </w:rPr>
            </w:pPr>
          </w:p>
        </w:tc>
      </w:tr>
      <w:tr w14:paraId="6B21162A">
        <w:tblPrEx>
          <w:tblCellMar>
            <w:top w:w="0" w:type="dxa"/>
            <w:left w:w="108" w:type="dxa"/>
            <w:bottom w:w="0" w:type="dxa"/>
            <w:right w:w="108" w:type="dxa"/>
          </w:tblCellMar>
        </w:tblPrEx>
        <w:trPr>
          <w:trHeight w:val="479" w:hRule="atLeast"/>
          <w:jc w:val="center"/>
        </w:trPr>
        <w:tc>
          <w:tcPr>
            <w:tcW w:w="760" w:type="dxa"/>
            <w:tcBorders>
              <w:top w:val="single" w:color="auto" w:sz="4" w:space="0"/>
              <w:left w:val="single" w:color="auto" w:sz="4" w:space="0"/>
              <w:bottom w:val="single" w:color="000000" w:sz="4" w:space="0"/>
              <w:right w:val="single" w:color="auto" w:sz="4" w:space="0"/>
            </w:tcBorders>
            <w:shd w:val="clear" w:color="auto" w:fill="auto"/>
            <w:noWrap/>
            <w:vAlign w:val="center"/>
          </w:tcPr>
          <w:p w14:paraId="60CF9522">
            <w:pPr>
              <w:widowControl/>
              <w:jc w:val="center"/>
              <w:rPr>
                <w:rFonts w:ascii="宋体" w:hAnsi="宋体" w:cs="宋体"/>
                <w:color w:val="000000"/>
                <w:kern w:val="0"/>
                <w:sz w:val="22"/>
              </w:rPr>
            </w:pPr>
            <w:r>
              <w:rPr>
                <w:rFonts w:ascii="宋体" w:hAnsi="宋体" w:cs="宋体"/>
                <w:color w:val="000000"/>
                <w:kern w:val="0"/>
                <w:sz w:val="22"/>
              </w:rPr>
              <w:t>3</w:t>
            </w:r>
          </w:p>
        </w:tc>
        <w:tc>
          <w:tcPr>
            <w:tcW w:w="3666" w:type="dxa"/>
            <w:tcBorders>
              <w:top w:val="single" w:color="auto" w:sz="4" w:space="0"/>
              <w:left w:val="single" w:color="auto" w:sz="4" w:space="0"/>
              <w:bottom w:val="single" w:color="000000" w:sz="4" w:space="0"/>
              <w:right w:val="single" w:color="auto" w:sz="4" w:space="0"/>
            </w:tcBorders>
            <w:shd w:val="clear" w:color="auto" w:fill="auto"/>
            <w:vAlign w:val="center"/>
          </w:tcPr>
          <w:p w14:paraId="380278BD">
            <w:pPr>
              <w:jc w:val="center"/>
              <w:rPr>
                <w:sz w:val="22"/>
              </w:rPr>
            </w:pPr>
            <w:r>
              <w:rPr>
                <w:rFonts w:hint="eastAsia"/>
                <w:sz w:val="22"/>
              </w:rPr>
              <w:t>增程器台架</w:t>
            </w:r>
          </w:p>
        </w:tc>
        <w:tc>
          <w:tcPr>
            <w:tcW w:w="1418" w:type="dxa"/>
            <w:tcBorders>
              <w:top w:val="single" w:color="auto" w:sz="4" w:space="0"/>
              <w:left w:val="nil"/>
              <w:bottom w:val="single" w:color="auto" w:sz="4" w:space="0"/>
              <w:right w:val="single" w:color="auto" w:sz="4" w:space="0"/>
            </w:tcBorders>
            <w:shd w:val="clear" w:color="auto" w:fill="auto"/>
            <w:vAlign w:val="center"/>
          </w:tcPr>
          <w:p w14:paraId="69ACCA5B">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1590" w:type="dxa"/>
            <w:tcBorders>
              <w:top w:val="single" w:color="auto" w:sz="4" w:space="0"/>
              <w:left w:val="single" w:color="auto" w:sz="4" w:space="0"/>
              <w:bottom w:val="single" w:color="000000" w:sz="4" w:space="0"/>
              <w:right w:val="single" w:color="auto" w:sz="4" w:space="0"/>
            </w:tcBorders>
            <w:shd w:val="clear" w:color="auto" w:fill="auto"/>
            <w:vAlign w:val="center"/>
          </w:tcPr>
          <w:p w14:paraId="6653081C">
            <w:pPr>
              <w:widowControl/>
              <w:rPr>
                <w:rFonts w:ascii="宋体" w:hAnsi="宋体" w:cs="宋体"/>
                <w:color w:val="000000"/>
                <w:kern w:val="0"/>
                <w:sz w:val="22"/>
              </w:rPr>
            </w:pPr>
          </w:p>
        </w:tc>
      </w:tr>
      <w:tr w14:paraId="4408715A">
        <w:tblPrEx>
          <w:tblCellMar>
            <w:top w:w="0" w:type="dxa"/>
            <w:left w:w="108" w:type="dxa"/>
            <w:bottom w:w="0" w:type="dxa"/>
            <w:right w:w="108" w:type="dxa"/>
          </w:tblCellMar>
        </w:tblPrEx>
        <w:trPr>
          <w:trHeight w:val="479" w:hRule="atLeast"/>
          <w:jc w:val="center"/>
        </w:trPr>
        <w:tc>
          <w:tcPr>
            <w:tcW w:w="760" w:type="dxa"/>
            <w:tcBorders>
              <w:top w:val="single" w:color="auto" w:sz="4" w:space="0"/>
              <w:left w:val="single" w:color="auto" w:sz="4" w:space="0"/>
              <w:bottom w:val="single" w:color="000000" w:sz="4" w:space="0"/>
              <w:right w:val="single" w:color="auto" w:sz="4" w:space="0"/>
            </w:tcBorders>
            <w:shd w:val="clear" w:color="auto" w:fill="auto"/>
            <w:noWrap/>
            <w:vAlign w:val="center"/>
          </w:tcPr>
          <w:p w14:paraId="25FC868B">
            <w:pPr>
              <w:widowControl/>
              <w:jc w:val="center"/>
              <w:rPr>
                <w:rFonts w:ascii="宋体" w:hAnsi="宋体" w:cs="宋体"/>
                <w:color w:val="000000"/>
                <w:kern w:val="0"/>
                <w:sz w:val="22"/>
              </w:rPr>
            </w:pPr>
            <w:r>
              <w:rPr>
                <w:rFonts w:hint="eastAsia" w:ascii="宋体" w:hAnsi="宋体" w:cs="宋体"/>
                <w:color w:val="000000"/>
                <w:kern w:val="0"/>
                <w:sz w:val="22"/>
              </w:rPr>
              <w:t>4</w:t>
            </w:r>
          </w:p>
        </w:tc>
        <w:tc>
          <w:tcPr>
            <w:tcW w:w="3666" w:type="dxa"/>
            <w:tcBorders>
              <w:top w:val="single" w:color="auto" w:sz="4" w:space="0"/>
              <w:left w:val="single" w:color="auto" w:sz="4" w:space="0"/>
              <w:bottom w:val="single" w:color="000000" w:sz="4" w:space="0"/>
              <w:right w:val="single" w:color="auto" w:sz="4" w:space="0"/>
            </w:tcBorders>
            <w:shd w:val="clear" w:color="auto" w:fill="auto"/>
            <w:vAlign w:val="center"/>
          </w:tcPr>
          <w:p w14:paraId="565ABAEE">
            <w:pPr>
              <w:jc w:val="center"/>
              <w:rPr>
                <w:sz w:val="22"/>
              </w:rPr>
            </w:pPr>
            <w:r>
              <w:rPr>
                <w:rFonts w:hint="eastAsia"/>
                <w:sz w:val="22"/>
              </w:rPr>
              <w:t>台架输送对接系统</w:t>
            </w:r>
          </w:p>
        </w:tc>
        <w:tc>
          <w:tcPr>
            <w:tcW w:w="1418" w:type="dxa"/>
            <w:tcBorders>
              <w:top w:val="single" w:color="auto" w:sz="4" w:space="0"/>
              <w:left w:val="nil"/>
              <w:bottom w:val="single" w:color="auto" w:sz="4" w:space="0"/>
              <w:right w:val="single" w:color="auto" w:sz="4" w:space="0"/>
            </w:tcBorders>
            <w:shd w:val="clear" w:color="auto" w:fill="auto"/>
            <w:vAlign w:val="center"/>
          </w:tcPr>
          <w:p w14:paraId="094CC682">
            <w:pPr>
              <w:widowControl/>
              <w:jc w:val="center"/>
              <w:rPr>
                <w:rFonts w:ascii="宋体" w:hAnsi="宋体" w:cs="宋体"/>
                <w:color w:val="000000"/>
                <w:kern w:val="0"/>
                <w:sz w:val="22"/>
              </w:rPr>
            </w:pPr>
            <w:r>
              <w:rPr>
                <w:rFonts w:ascii="宋体" w:hAnsi="宋体" w:cs="宋体"/>
                <w:color w:val="000000"/>
                <w:kern w:val="0"/>
                <w:sz w:val="22"/>
              </w:rPr>
              <w:t>9</w:t>
            </w:r>
          </w:p>
        </w:tc>
        <w:tc>
          <w:tcPr>
            <w:tcW w:w="1590" w:type="dxa"/>
            <w:tcBorders>
              <w:top w:val="single" w:color="auto" w:sz="4" w:space="0"/>
              <w:left w:val="single" w:color="auto" w:sz="4" w:space="0"/>
              <w:bottom w:val="single" w:color="000000" w:sz="4" w:space="0"/>
              <w:right w:val="single" w:color="auto" w:sz="4" w:space="0"/>
            </w:tcBorders>
            <w:shd w:val="clear" w:color="auto" w:fill="auto"/>
            <w:vAlign w:val="center"/>
          </w:tcPr>
          <w:p w14:paraId="11D6C963">
            <w:pPr>
              <w:widowControl/>
              <w:rPr>
                <w:rFonts w:ascii="宋体" w:hAnsi="宋体" w:cs="宋体"/>
                <w:color w:val="000000"/>
                <w:kern w:val="0"/>
                <w:sz w:val="22"/>
              </w:rPr>
            </w:pPr>
          </w:p>
        </w:tc>
      </w:tr>
      <w:tr w14:paraId="7EB6D47E">
        <w:tblPrEx>
          <w:tblCellMar>
            <w:top w:w="0" w:type="dxa"/>
            <w:left w:w="108" w:type="dxa"/>
            <w:bottom w:w="0" w:type="dxa"/>
            <w:right w:w="108" w:type="dxa"/>
          </w:tblCellMar>
        </w:tblPrEx>
        <w:trPr>
          <w:trHeight w:val="479" w:hRule="atLeast"/>
          <w:jc w:val="center"/>
        </w:trPr>
        <w:tc>
          <w:tcPr>
            <w:tcW w:w="760" w:type="dxa"/>
            <w:tcBorders>
              <w:top w:val="single" w:color="auto" w:sz="4" w:space="0"/>
              <w:left w:val="single" w:color="auto" w:sz="4" w:space="0"/>
              <w:bottom w:val="single" w:color="000000" w:sz="4" w:space="0"/>
              <w:right w:val="single" w:color="auto" w:sz="4" w:space="0"/>
            </w:tcBorders>
            <w:shd w:val="clear" w:color="auto" w:fill="auto"/>
            <w:noWrap/>
            <w:vAlign w:val="center"/>
          </w:tcPr>
          <w:p w14:paraId="1C88B409">
            <w:pPr>
              <w:widowControl/>
              <w:jc w:val="center"/>
              <w:rPr>
                <w:rFonts w:ascii="宋体" w:hAnsi="宋体" w:cs="宋体"/>
                <w:color w:val="000000"/>
                <w:kern w:val="0"/>
                <w:sz w:val="22"/>
              </w:rPr>
            </w:pPr>
            <w:r>
              <w:rPr>
                <w:rFonts w:ascii="宋体" w:hAnsi="宋体" w:cs="宋体"/>
                <w:color w:val="000000"/>
                <w:kern w:val="0"/>
                <w:sz w:val="22"/>
              </w:rPr>
              <w:t>5</w:t>
            </w:r>
          </w:p>
        </w:tc>
        <w:tc>
          <w:tcPr>
            <w:tcW w:w="3666" w:type="dxa"/>
            <w:tcBorders>
              <w:top w:val="single" w:color="auto" w:sz="4" w:space="0"/>
              <w:left w:val="single" w:color="auto" w:sz="4" w:space="0"/>
              <w:bottom w:val="single" w:color="000000" w:sz="4" w:space="0"/>
              <w:right w:val="single" w:color="auto" w:sz="4" w:space="0"/>
            </w:tcBorders>
            <w:shd w:val="clear" w:color="auto" w:fill="auto"/>
            <w:vAlign w:val="center"/>
          </w:tcPr>
          <w:p w14:paraId="51D23C61">
            <w:pPr>
              <w:jc w:val="center"/>
              <w:rPr>
                <w:sz w:val="22"/>
              </w:rPr>
            </w:pPr>
            <w:r>
              <w:rPr>
                <w:rFonts w:hint="eastAsia"/>
                <w:sz w:val="22"/>
              </w:rPr>
              <w:t>台架测控系统</w:t>
            </w:r>
          </w:p>
        </w:tc>
        <w:tc>
          <w:tcPr>
            <w:tcW w:w="1418" w:type="dxa"/>
            <w:tcBorders>
              <w:top w:val="single" w:color="auto" w:sz="4" w:space="0"/>
              <w:left w:val="nil"/>
              <w:bottom w:val="single" w:color="auto" w:sz="4" w:space="0"/>
              <w:right w:val="single" w:color="auto" w:sz="4" w:space="0"/>
            </w:tcBorders>
            <w:shd w:val="clear" w:color="auto" w:fill="auto"/>
            <w:vAlign w:val="center"/>
          </w:tcPr>
          <w:p w14:paraId="2487E12D">
            <w:pPr>
              <w:widowControl/>
              <w:jc w:val="center"/>
              <w:rPr>
                <w:rFonts w:ascii="宋体" w:hAnsi="宋体" w:cs="宋体"/>
                <w:color w:val="000000"/>
                <w:kern w:val="0"/>
                <w:sz w:val="22"/>
              </w:rPr>
            </w:pPr>
            <w:r>
              <w:rPr>
                <w:rFonts w:ascii="宋体" w:hAnsi="宋体" w:cs="宋体"/>
                <w:color w:val="000000"/>
                <w:kern w:val="0"/>
                <w:sz w:val="22"/>
              </w:rPr>
              <w:t>9</w:t>
            </w:r>
          </w:p>
        </w:tc>
        <w:tc>
          <w:tcPr>
            <w:tcW w:w="1590" w:type="dxa"/>
            <w:tcBorders>
              <w:top w:val="single" w:color="auto" w:sz="4" w:space="0"/>
              <w:left w:val="single" w:color="auto" w:sz="4" w:space="0"/>
              <w:bottom w:val="single" w:color="000000" w:sz="4" w:space="0"/>
              <w:right w:val="single" w:color="auto" w:sz="4" w:space="0"/>
            </w:tcBorders>
            <w:shd w:val="clear" w:color="auto" w:fill="auto"/>
            <w:vAlign w:val="center"/>
          </w:tcPr>
          <w:p w14:paraId="21BFAADE">
            <w:pPr>
              <w:widowControl/>
              <w:rPr>
                <w:rFonts w:ascii="宋体" w:hAnsi="宋体" w:cs="宋体"/>
                <w:color w:val="000000"/>
                <w:kern w:val="0"/>
                <w:sz w:val="22"/>
              </w:rPr>
            </w:pPr>
          </w:p>
        </w:tc>
      </w:tr>
      <w:tr w14:paraId="2A3624AA">
        <w:tblPrEx>
          <w:tblCellMar>
            <w:top w:w="0" w:type="dxa"/>
            <w:left w:w="108" w:type="dxa"/>
            <w:bottom w:w="0" w:type="dxa"/>
            <w:right w:w="108" w:type="dxa"/>
          </w:tblCellMar>
        </w:tblPrEx>
        <w:trPr>
          <w:trHeight w:val="479" w:hRule="atLeast"/>
          <w:jc w:val="center"/>
        </w:trPr>
        <w:tc>
          <w:tcPr>
            <w:tcW w:w="760" w:type="dxa"/>
            <w:tcBorders>
              <w:top w:val="single" w:color="auto" w:sz="4" w:space="0"/>
              <w:left w:val="single" w:color="auto" w:sz="4" w:space="0"/>
              <w:bottom w:val="single" w:color="000000" w:sz="4" w:space="0"/>
              <w:right w:val="single" w:color="auto" w:sz="4" w:space="0"/>
            </w:tcBorders>
            <w:shd w:val="clear" w:color="auto" w:fill="auto"/>
            <w:noWrap/>
            <w:vAlign w:val="center"/>
          </w:tcPr>
          <w:p w14:paraId="134F2351">
            <w:pPr>
              <w:widowControl/>
              <w:jc w:val="center"/>
              <w:rPr>
                <w:rFonts w:ascii="宋体" w:hAnsi="宋体" w:cs="宋体"/>
                <w:color w:val="000000"/>
                <w:kern w:val="0"/>
                <w:sz w:val="22"/>
              </w:rPr>
            </w:pPr>
            <w:r>
              <w:rPr>
                <w:rFonts w:hint="eastAsia" w:ascii="宋体" w:hAnsi="宋体" w:cs="宋体"/>
                <w:color w:val="000000"/>
                <w:kern w:val="0"/>
                <w:sz w:val="22"/>
              </w:rPr>
              <w:t>6</w:t>
            </w:r>
          </w:p>
        </w:tc>
        <w:tc>
          <w:tcPr>
            <w:tcW w:w="3666" w:type="dxa"/>
            <w:tcBorders>
              <w:top w:val="single" w:color="auto" w:sz="4" w:space="0"/>
              <w:left w:val="single" w:color="auto" w:sz="4" w:space="0"/>
              <w:bottom w:val="single" w:color="000000" w:sz="4" w:space="0"/>
              <w:right w:val="single" w:color="auto" w:sz="4" w:space="0"/>
            </w:tcBorders>
            <w:shd w:val="clear" w:color="auto" w:fill="auto"/>
            <w:vAlign w:val="center"/>
          </w:tcPr>
          <w:p w14:paraId="3581D6B4">
            <w:pPr>
              <w:jc w:val="center"/>
              <w:rPr>
                <w:sz w:val="22"/>
              </w:rPr>
            </w:pPr>
            <w:r>
              <w:rPr>
                <w:rFonts w:hint="eastAsia"/>
                <w:sz w:val="22"/>
              </w:rPr>
              <w:t>数据采集系统</w:t>
            </w:r>
          </w:p>
        </w:tc>
        <w:tc>
          <w:tcPr>
            <w:tcW w:w="1418" w:type="dxa"/>
            <w:tcBorders>
              <w:top w:val="single" w:color="auto" w:sz="4" w:space="0"/>
              <w:left w:val="nil"/>
              <w:bottom w:val="single" w:color="auto" w:sz="4" w:space="0"/>
              <w:right w:val="single" w:color="auto" w:sz="4" w:space="0"/>
            </w:tcBorders>
            <w:shd w:val="clear" w:color="auto" w:fill="auto"/>
            <w:vAlign w:val="center"/>
          </w:tcPr>
          <w:p w14:paraId="0AA0CDDD">
            <w:pPr>
              <w:widowControl/>
              <w:jc w:val="center"/>
              <w:rPr>
                <w:rFonts w:ascii="宋体" w:hAnsi="宋体" w:cs="宋体"/>
                <w:color w:val="000000"/>
                <w:kern w:val="0"/>
                <w:sz w:val="22"/>
              </w:rPr>
            </w:pPr>
            <w:r>
              <w:rPr>
                <w:rFonts w:ascii="宋体" w:hAnsi="宋体" w:cs="宋体"/>
                <w:color w:val="000000"/>
                <w:kern w:val="0"/>
                <w:sz w:val="22"/>
              </w:rPr>
              <w:t>9</w:t>
            </w:r>
          </w:p>
        </w:tc>
        <w:tc>
          <w:tcPr>
            <w:tcW w:w="1590" w:type="dxa"/>
            <w:tcBorders>
              <w:top w:val="single" w:color="auto" w:sz="4" w:space="0"/>
              <w:left w:val="single" w:color="auto" w:sz="4" w:space="0"/>
              <w:bottom w:val="single" w:color="000000" w:sz="4" w:space="0"/>
              <w:right w:val="single" w:color="auto" w:sz="4" w:space="0"/>
            </w:tcBorders>
            <w:shd w:val="clear" w:color="auto" w:fill="auto"/>
            <w:vAlign w:val="center"/>
          </w:tcPr>
          <w:p w14:paraId="017EDE0D">
            <w:pPr>
              <w:widowControl/>
              <w:rPr>
                <w:rFonts w:ascii="宋体" w:hAnsi="宋体" w:cs="宋体"/>
                <w:color w:val="000000"/>
                <w:kern w:val="0"/>
                <w:sz w:val="22"/>
              </w:rPr>
            </w:pPr>
          </w:p>
        </w:tc>
      </w:tr>
      <w:tr w14:paraId="7BD6BDB9">
        <w:tblPrEx>
          <w:tblCellMar>
            <w:top w:w="0" w:type="dxa"/>
            <w:left w:w="108" w:type="dxa"/>
            <w:bottom w:w="0" w:type="dxa"/>
            <w:right w:w="108" w:type="dxa"/>
          </w:tblCellMar>
        </w:tblPrEx>
        <w:trPr>
          <w:trHeight w:val="479" w:hRule="atLeast"/>
          <w:jc w:val="center"/>
        </w:trPr>
        <w:tc>
          <w:tcPr>
            <w:tcW w:w="760" w:type="dxa"/>
            <w:tcBorders>
              <w:top w:val="single" w:color="auto" w:sz="4" w:space="0"/>
              <w:left w:val="single" w:color="auto" w:sz="4" w:space="0"/>
              <w:bottom w:val="single" w:color="000000" w:sz="4" w:space="0"/>
              <w:right w:val="single" w:color="auto" w:sz="4" w:space="0"/>
            </w:tcBorders>
            <w:shd w:val="clear" w:color="auto" w:fill="auto"/>
            <w:noWrap/>
            <w:vAlign w:val="center"/>
          </w:tcPr>
          <w:p w14:paraId="61EB3CB5">
            <w:pPr>
              <w:widowControl/>
              <w:jc w:val="center"/>
              <w:rPr>
                <w:rFonts w:ascii="宋体" w:hAnsi="宋体" w:cs="宋体"/>
                <w:color w:val="000000"/>
                <w:kern w:val="0"/>
                <w:sz w:val="22"/>
              </w:rPr>
            </w:pPr>
            <w:r>
              <w:rPr>
                <w:rFonts w:ascii="宋体" w:hAnsi="宋体" w:cs="宋体"/>
                <w:color w:val="000000"/>
                <w:kern w:val="0"/>
                <w:sz w:val="22"/>
              </w:rPr>
              <w:t>7</w:t>
            </w:r>
          </w:p>
        </w:tc>
        <w:tc>
          <w:tcPr>
            <w:tcW w:w="3666" w:type="dxa"/>
            <w:tcBorders>
              <w:top w:val="single" w:color="auto" w:sz="4" w:space="0"/>
              <w:left w:val="single" w:color="auto" w:sz="4" w:space="0"/>
              <w:bottom w:val="single" w:color="000000" w:sz="4" w:space="0"/>
              <w:right w:val="single" w:color="auto" w:sz="4" w:space="0"/>
            </w:tcBorders>
            <w:shd w:val="clear" w:color="auto" w:fill="auto"/>
            <w:vAlign w:val="center"/>
          </w:tcPr>
          <w:p w14:paraId="38481FA8">
            <w:pPr>
              <w:jc w:val="center"/>
              <w:rPr>
                <w:sz w:val="22"/>
              </w:rPr>
            </w:pPr>
            <w:r>
              <w:rPr>
                <w:rFonts w:hint="eastAsia"/>
                <w:sz w:val="22"/>
              </w:rPr>
              <w:t>测试条件保证系统</w:t>
            </w:r>
          </w:p>
        </w:tc>
        <w:tc>
          <w:tcPr>
            <w:tcW w:w="1418" w:type="dxa"/>
            <w:tcBorders>
              <w:top w:val="single" w:color="auto" w:sz="4" w:space="0"/>
              <w:left w:val="nil"/>
              <w:bottom w:val="single" w:color="auto" w:sz="4" w:space="0"/>
              <w:right w:val="single" w:color="auto" w:sz="4" w:space="0"/>
            </w:tcBorders>
            <w:shd w:val="clear" w:color="auto" w:fill="auto"/>
            <w:vAlign w:val="center"/>
          </w:tcPr>
          <w:p w14:paraId="4BB74DB3">
            <w:pPr>
              <w:widowControl/>
              <w:jc w:val="center"/>
              <w:rPr>
                <w:rFonts w:ascii="宋体" w:hAnsi="宋体" w:cs="宋体"/>
                <w:color w:val="000000"/>
                <w:kern w:val="0"/>
                <w:sz w:val="22"/>
              </w:rPr>
            </w:pPr>
            <w:r>
              <w:rPr>
                <w:rFonts w:ascii="宋体" w:hAnsi="宋体" w:cs="宋体"/>
                <w:color w:val="000000"/>
                <w:kern w:val="0"/>
                <w:sz w:val="22"/>
              </w:rPr>
              <w:t>9</w:t>
            </w:r>
          </w:p>
        </w:tc>
        <w:tc>
          <w:tcPr>
            <w:tcW w:w="1590" w:type="dxa"/>
            <w:tcBorders>
              <w:top w:val="single" w:color="auto" w:sz="4" w:space="0"/>
              <w:left w:val="single" w:color="auto" w:sz="4" w:space="0"/>
              <w:bottom w:val="single" w:color="000000" w:sz="4" w:space="0"/>
              <w:right w:val="single" w:color="auto" w:sz="4" w:space="0"/>
            </w:tcBorders>
            <w:shd w:val="clear" w:color="auto" w:fill="auto"/>
            <w:vAlign w:val="center"/>
          </w:tcPr>
          <w:p w14:paraId="2C65C5F5">
            <w:pPr>
              <w:widowControl/>
              <w:rPr>
                <w:rFonts w:ascii="宋体" w:hAnsi="宋体" w:cs="宋体"/>
                <w:color w:val="000000"/>
                <w:kern w:val="0"/>
                <w:sz w:val="22"/>
              </w:rPr>
            </w:pPr>
          </w:p>
        </w:tc>
      </w:tr>
      <w:tr w14:paraId="0839731C">
        <w:tblPrEx>
          <w:tblCellMar>
            <w:top w:w="0" w:type="dxa"/>
            <w:left w:w="108" w:type="dxa"/>
            <w:bottom w:w="0" w:type="dxa"/>
            <w:right w:w="108" w:type="dxa"/>
          </w:tblCellMar>
        </w:tblPrEx>
        <w:trPr>
          <w:trHeight w:val="479" w:hRule="atLeast"/>
          <w:jc w:val="center"/>
        </w:trPr>
        <w:tc>
          <w:tcPr>
            <w:tcW w:w="760" w:type="dxa"/>
            <w:tcBorders>
              <w:top w:val="single" w:color="auto" w:sz="4" w:space="0"/>
              <w:left w:val="single" w:color="auto" w:sz="4" w:space="0"/>
              <w:bottom w:val="single" w:color="000000" w:sz="4" w:space="0"/>
              <w:right w:val="single" w:color="auto" w:sz="4" w:space="0"/>
            </w:tcBorders>
            <w:shd w:val="clear" w:color="auto" w:fill="auto"/>
            <w:noWrap/>
            <w:vAlign w:val="center"/>
          </w:tcPr>
          <w:p w14:paraId="150D3845">
            <w:pPr>
              <w:widowControl/>
              <w:jc w:val="center"/>
              <w:rPr>
                <w:rFonts w:ascii="宋体" w:hAnsi="宋体" w:cs="宋体"/>
                <w:color w:val="000000"/>
                <w:kern w:val="0"/>
                <w:sz w:val="22"/>
              </w:rPr>
            </w:pPr>
            <w:r>
              <w:rPr>
                <w:rFonts w:ascii="宋体" w:hAnsi="宋体" w:cs="宋体"/>
                <w:color w:val="000000"/>
                <w:kern w:val="0"/>
                <w:sz w:val="22"/>
              </w:rPr>
              <w:t>8</w:t>
            </w:r>
          </w:p>
        </w:tc>
        <w:tc>
          <w:tcPr>
            <w:tcW w:w="3666" w:type="dxa"/>
            <w:tcBorders>
              <w:top w:val="single" w:color="auto" w:sz="4" w:space="0"/>
              <w:left w:val="single" w:color="auto" w:sz="4" w:space="0"/>
              <w:bottom w:val="single" w:color="000000" w:sz="4" w:space="0"/>
              <w:right w:val="single" w:color="auto" w:sz="4" w:space="0"/>
            </w:tcBorders>
            <w:shd w:val="clear" w:color="auto" w:fill="auto"/>
            <w:vAlign w:val="center"/>
          </w:tcPr>
          <w:p w14:paraId="09196FF4">
            <w:pPr>
              <w:jc w:val="center"/>
              <w:rPr>
                <w:sz w:val="22"/>
              </w:rPr>
            </w:pPr>
            <w:r>
              <w:rPr>
                <w:rFonts w:hint="eastAsia"/>
                <w:sz w:val="22"/>
              </w:rPr>
              <w:t>进排气管路</w:t>
            </w:r>
          </w:p>
        </w:tc>
        <w:tc>
          <w:tcPr>
            <w:tcW w:w="1418" w:type="dxa"/>
            <w:tcBorders>
              <w:top w:val="single" w:color="auto" w:sz="4" w:space="0"/>
              <w:left w:val="nil"/>
              <w:bottom w:val="single" w:color="auto" w:sz="4" w:space="0"/>
              <w:right w:val="single" w:color="auto" w:sz="4" w:space="0"/>
            </w:tcBorders>
            <w:shd w:val="clear" w:color="auto" w:fill="auto"/>
            <w:vAlign w:val="center"/>
          </w:tcPr>
          <w:p w14:paraId="6393968B">
            <w:pPr>
              <w:widowControl/>
              <w:jc w:val="center"/>
              <w:rPr>
                <w:rFonts w:ascii="宋体" w:hAnsi="宋体" w:cs="宋体"/>
                <w:color w:val="000000"/>
                <w:kern w:val="0"/>
                <w:sz w:val="22"/>
              </w:rPr>
            </w:pPr>
            <w:r>
              <w:rPr>
                <w:rFonts w:ascii="宋体" w:hAnsi="宋体" w:cs="宋体"/>
                <w:color w:val="000000"/>
                <w:kern w:val="0"/>
                <w:sz w:val="22"/>
              </w:rPr>
              <w:t>9</w:t>
            </w:r>
          </w:p>
        </w:tc>
        <w:tc>
          <w:tcPr>
            <w:tcW w:w="1590" w:type="dxa"/>
            <w:tcBorders>
              <w:top w:val="single" w:color="auto" w:sz="4" w:space="0"/>
              <w:left w:val="single" w:color="auto" w:sz="4" w:space="0"/>
              <w:bottom w:val="single" w:color="000000" w:sz="4" w:space="0"/>
              <w:right w:val="single" w:color="auto" w:sz="4" w:space="0"/>
            </w:tcBorders>
            <w:shd w:val="clear" w:color="auto" w:fill="auto"/>
            <w:vAlign w:val="center"/>
          </w:tcPr>
          <w:p w14:paraId="61B6F470">
            <w:pPr>
              <w:widowControl/>
              <w:rPr>
                <w:rFonts w:ascii="宋体" w:hAnsi="宋体" w:cs="宋体"/>
                <w:color w:val="000000"/>
                <w:kern w:val="0"/>
                <w:sz w:val="22"/>
              </w:rPr>
            </w:pPr>
          </w:p>
        </w:tc>
      </w:tr>
      <w:tr w14:paraId="7BAC360B">
        <w:tblPrEx>
          <w:tblCellMar>
            <w:top w:w="0" w:type="dxa"/>
            <w:left w:w="108" w:type="dxa"/>
            <w:bottom w:w="0" w:type="dxa"/>
            <w:right w:w="108" w:type="dxa"/>
          </w:tblCellMar>
        </w:tblPrEx>
        <w:trPr>
          <w:trHeight w:val="479" w:hRule="atLeast"/>
          <w:jc w:val="center"/>
        </w:trPr>
        <w:tc>
          <w:tcPr>
            <w:tcW w:w="760" w:type="dxa"/>
            <w:tcBorders>
              <w:top w:val="single" w:color="auto" w:sz="4" w:space="0"/>
              <w:left w:val="single" w:color="auto" w:sz="4" w:space="0"/>
              <w:bottom w:val="single" w:color="000000" w:sz="4" w:space="0"/>
              <w:right w:val="single" w:color="auto" w:sz="4" w:space="0"/>
            </w:tcBorders>
            <w:shd w:val="clear" w:color="auto" w:fill="auto"/>
            <w:noWrap/>
            <w:vAlign w:val="center"/>
          </w:tcPr>
          <w:p w14:paraId="1FA86581">
            <w:pPr>
              <w:widowControl/>
              <w:jc w:val="center"/>
              <w:rPr>
                <w:rFonts w:ascii="宋体" w:hAnsi="宋体" w:cs="宋体"/>
                <w:color w:val="000000"/>
                <w:kern w:val="0"/>
                <w:sz w:val="22"/>
              </w:rPr>
            </w:pPr>
            <w:r>
              <w:rPr>
                <w:rFonts w:hint="eastAsia" w:ascii="宋体" w:hAnsi="宋体" w:cs="宋体"/>
                <w:color w:val="000000"/>
                <w:kern w:val="0"/>
                <w:sz w:val="22"/>
              </w:rPr>
              <w:t>9</w:t>
            </w:r>
          </w:p>
        </w:tc>
        <w:tc>
          <w:tcPr>
            <w:tcW w:w="3666" w:type="dxa"/>
            <w:tcBorders>
              <w:top w:val="single" w:color="auto" w:sz="4" w:space="0"/>
              <w:left w:val="single" w:color="auto" w:sz="4" w:space="0"/>
              <w:bottom w:val="single" w:color="000000" w:sz="4" w:space="0"/>
              <w:right w:val="single" w:color="auto" w:sz="4" w:space="0"/>
            </w:tcBorders>
            <w:shd w:val="clear" w:color="auto" w:fill="auto"/>
            <w:vAlign w:val="center"/>
          </w:tcPr>
          <w:p w14:paraId="529B12BF">
            <w:pPr>
              <w:widowControl/>
              <w:jc w:val="center"/>
              <w:rPr>
                <w:sz w:val="22"/>
              </w:rPr>
            </w:pPr>
            <w:r>
              <w:rPr>
                <w:rFonts w:hint="eastAsia"/>
                <w:sz w:val="22"/>
              </w:rPr>
              <w:t>台架辅助系统</w:t>
            </w:r>
          </w:p>
        </w:tc>
        <w:tc>
          <w:tcPr>
            <w:tcW w:w="1418" w:type="dxa"/>
            <w:tcBorders>
              <w:top w:val="single" w:color="auto" w:sz="4" w:space="0"/>
              <w:left w:val="nil"/>
              <w:bottom w:val="single" w:color="auto" w:sz="4" w:space="0"/>
              <w:right w:val="single" w:color="auto" w:sz="4" w:space="0"/>
            </w:tcBorders>
            <w:shd w:val="clear" w:color="auto" w:fill="auto"/>
            <w:vAlign w:val="center"/>
          </w:tcPr>
          <w:p w14:paraId="61C1624A">
            <w:pPr>
              <w:widowControl/>
              <w:jc w:val="center"/>
              <w:rPr>
                <w:rFonts w:ascii="宋体" w:hAnsi="宋体" w:cs="宋体"/>
                <w:color w:val="000000"/>
                <w:kern w:val="0"/>
                <w:sz w:val="22"/>
              </w:rPr>
            </w:pPr>
            <w:r>
              <w:rPr>
                <w:rFonts w:ascii="宋体" w:hAnsi="宋体" w:cs="宋体"/>
                <w:color w:val="000000"/>
                <w:kern w:val="0"/>
                <w:sz w:val="22"/>
              </w:rPr>
              <w:t>9</w:t>
            </w:r>
          </w:p>
        </w:tc>
        <w:tc>
          <w:tcPr>
            <w:tcW w:w="1590" w:type="dxa"/>
            <w:tcBorders>
              <w:top w:val="single" w:color="auto" w:sz="4" w:space="0"/>
              <w:left w:val="single" w:color="auto" w:sz="4" w:space="0"/>
              <w:bottom w:val="single" w:color="000000" w:sz="4" w:space="0"/>
              <w:right w:val="single" w:color="auto" w:sz="4" w:space="0"/>
            </w:tcBorders>
            <w:shd w:val="clear" w:color="auto" w:fill="auto"/>
            <w:vAlign w:val="center"/>
          </w:tcPr>
          <w:p w14:paraId="092FA79D">
            <w:pPr>
              <w:widowControl/>
              <w:rPr>
                <w:rFonts w:ascii="宋体" w:hAnsi="宋体" w:cs="宋体"/>
                <w:color w:val="000000"/>
                <w:kern w:val="0"/>
                <w:sz w:val="22"/>
              </w:rPr>
            </w:pPr>
          </w:p>
        </w:tc>
      </w:tr>
      <w:tr w14:paraId="6B47C516">
        <w:tblPrEx>
          <w:tblCellMar>
            <w:top w:w="0" w:type="dxa"/>
            <w:left w:w="108" w:type="dxa"/>
            <w:bottom w:w="0" w:type="dxa"/>
            <w:right w:w="108" w:type="dxa"/>
          </w:tblCellMar>
        </w:tblPrEx>
        <w:trPr>
          <w:trHeight w:val="479" w:hRule="atLeast"/>
          <w:jc w:val="center"/>
        </w:trPr>
        <w:tc>
          <w:tcPr>
            <w:tcW w:w="760" w:type="dxa"/>
            <w:tcBorders>
              <w:top w:val="single" w:color="auto" w:sz="4" w:space="0"/>
              <w:left w:val="single" w:color="auto" w:sz="4" w:space="0"/>
              <w:bottom w:val="single" w:color="000000" w:sz="4" w:space="0"/>
              <w:right w:val="single" w:color="auto" w:sz="4" w:space="0"/>
            </w:tcBorders>
            <w:shd w:val="clear" w:color="auto" w:fill="auto"/>
            <w:noWrap/>
            <w:vAlign w:val="center"/>
          </w:tcPr>
          <w:p w14:paraId="3E066B11">
            <w:pPr>
              <w:widowControl/>
              <w:jc w:val="center"/>
              <w:rPr>
                <w:rFonts w:ascii="宋体" w:hAnsi="宋体" w:cs="宋体"/>
                <w:color w:val="000000"/>
                <w:kern w:val="0"/>
                <w:sz w:val="22"/>
              </w:rPr>
            </w:pPr>
            <w:r>
              <w:rPr>
                <w:rFonts w:hint="eastAsia" w:ascii="宋体" w:hAnsi="宋体" w:cs="宋体"/>
                <w:color w:val="000000"/>
                <w:kern w:val="0"/>
                <w:sz w:val="22"/>
              </w:rPr>
              <w:t>1</w:t>
            </w:r>
            <w:r>
              <w:rPr>
                <w:rFonts w:ascii="宋体" w:hAnsi="宋体" w:cs="宋体"/>
                <w:color w:val="000000"/>
                <w:kern w:val="0"/>
                <w:sz w:val="22"/>
              </w:rPr>
              <w:t>0</w:t>
            </w:r>
          </w:p>
        </w:tc>
        <w:tc>
          <w:tcPr>
            <w:tcW w:w="3666" w:type="dxa"/>
            <w:tcBorders>
              <w:top w:val="single" w:color="auto" w:sz="4" w:space="0"/>
              <w:left w:val="single" w:color="auto" w:sz="4" w:space="0"/>
              <w:bottom w:val="single" w:color="000000" w:sz="4" w:space="0"/>
              <w:right w:val="single" w:color="auto" w:sz="4" w:space="0"/>
            </w:tcBorders>
            <w:shd w:val="clear" w:color="auto" w:fill="auto"/>
            <w:vAlign w:val="center"/>
          </w:tcPr>
          <w:p w14:paraId="584D3AC5">
            <w:pPr>
              <w:widowControl/>
              <w:jc w:val="center"/>
              <w:rPr>
                <w:sz w:val="22"/>
              </w:rPr>
            </w:pPr>
            <w:r>
              <w:rPr>
                <w:rFonts w:hint="eastAsia"/>
                <w:sz w:val="22"/>
              </w:rPr>
              <w:t>数据管理网络系统</w:t>
            </w:r>
          </w:p>
        </w:tc>
        <w:tc>
          <w:tcPr>
            <w:tcW w:w="1418" w:type="dxa"/>
            <w:tcBorders>
              <w:top w:val="single" w:color="auto" w:sz="4" w:space="0"/>
              <w:left w:val="nil"/>
              <w:bottom w:val="single" w:color="auto" w:sz="4" w:space="0"/>
              <w:right w:val="single" w:color="auto" w:sz="4" w:space="0"/>
            </w:tcBorders>
            <w:shd w:val="clear" w:color="auto" w:fill="auto"/>
            <w:vAlign w:val="center"/>
          </w:tcPr>
          <w:p w14:paraId="3CD4E753">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1590" w:type="dxa"/>
            <w:tcBorders>
              <w:top w:val="single" w:color="auto" w:sz="4" w:space="0"/>
              <w:left w:val="single" w:color="auto" w:sz="4" w:space="0"/>
              <w:bottom w:val="single" w:color="000000" w:sz="4" w:space="0"/>
              <w:right w:val="single" w:color="auto" w:sz="4" w:space="0"/>
            </w:tcBorders>
            <w:shd w:val="clear" w:color="auto" w:fill="auto"/>
            <w:vAlign w:val="center"/>
          </w:tcPr>
          <w:p w14:paraId="1F4970F4">
            <w:pPr>
              <w:widowControl/>
              <w:rPr>
                <w:rFonts w:ascii="宋体" w:hAnsi="宋体" w:cs="宋体"/>
                <w:color w:val="000000"/>
                <w:kern w:val="0"/>
                <w:sz w:val="22"/>
              </w:rPr>
            </w:pPr>
          </w:p>
        </w:tc>
      </w:tr>
      <w:tr w14:paraId="751F54AE">
        <w:tblPrEx>
          <w:tblCellMar>
            <w:top w:w="0" w:type="dxa"/>
            <w:left w:w="108" w:type="dxa"/>
            <w:bottom w:w="0" w:type="dxa"/>
            <w:right w:w="108" w:type="dxa"/>
          </w:tblCellMar>
        </w:tblPrEx>
        <w:trPr>
          <w:trHeight w:val="479" w:hRule="atLeast"/>
          <w:jc w:val="center"/>
        </w:trPr>
        <w:tc>
          <w:tcPr>
            <w:tcW w:w="760" w:type="dxa"/>
            <w:tcBorders>
              <w:top w:val="single" w:color="auto" w:sz="4" w:space="0"/>
              <w:left w:val="single" w:color="auto" w:sz="4" w:space="0"/>
              <w:bottom w:val="single" w:color="000000" w:sz="4" w:space="0"/>
              <w:right w:val="single" w:color="auto" w:sz="4" w:space="0"/>
            </w:tcBorders>
            <w:shd w:val="clear" w:color="auto" w:fill="auto"/>
            <w:noWrap/>
            <w:vAlign w:val="center"/>
          </w:tcPr>
          <w:p w14:paraId="0E451797">
            <w:pPr>
              <w:widowControl/>
              <w:jc w:val="center"/>
              <w:rPr>
                <w:rFonts w:ascii="宋体" w:hAnsi="宋体" w:cs="宋体"/>
                <w:color w:val="000000"/>
                <w:kern w:val="0"/>
                <w:sz w:val="22"/>
              </w:rPr>
            </w:pPr>
            <w:r>
              <w:rPr>
                <w:rFonts w:hint="eastAsia" w:ascii="宋体" w:hAnsi="宋体" w:cs="宋体"/>
                <w:color w:val="000000"/>
                <w:kern w:val="0"/>
                <w:sz w:val="22"/>
              </w:rPr>
              <w:t>1</w:t>
            </w:r>
            <w:r>
              <w:rPr>
                <w:rFonts w:ascii="宋体" w:hAnsi="宋体" w:cs="宋体"/>
                <w:color w:val="000000"/>
                <w:kern w:val="0"/>
                <w:sz w:val="22"/>
              </w:rPr>
              <w:t>1</w:t>
            </w:r>
          </w:p>
        </w:tc>
        <w:tc>
          <w:tcPr>
            <w:tcW w:w="3666" w:type="dxa"/>
            <w:tcBorders>
              <w:top w:val="single" w:color="auto" w:sz="4" w:space="0"/>
              <w:left w:val="single" w:color="auto" w:sz="4" w:space="0"/>
              <w:bottom w:val="single" w:color="000000" w:sz="4" w:space="0"/>
              <w:right w:val="single" w:color="auto" w:sz="4" w:space="0"/>
            </w:tcBorders>
            <w:shd w:val="clear" w:color="auto" w:fill="auto"/>
            <w:vAlign w:val="center"/>
          </w:tcPr>
          <w:p w14:paraId="278943C9">
            <w:pPr>
              <w:jc w:val="center"/>
              <w:rPr>
                <w:sz w:val="22"/>
              </w:rPr>
            </w:pPr>
            <w:r>
              <w:rPr>
                <w:sz w:val="22"/>
              </w:rPr>
              <w:t>动</w:t>
            </w:r>
            <w:r>
              <w:rPr>
                <w:rFonts w:hint="eastAsia"/>
                <w:sz w:val="22"/>
              </w:rPr>
              <w:t>力配电系统</w:t>
            </w:r>
          </w:p>
        </w:tc>
        <w:tc>
          <w:tcPr>
            <w:tcW w:w="1418" w:type="dxa"/>
            <w:tcBorders>
              <w:top w:val="single" w:color="auto" w:sz="4" w:space="0"/>
              <w:left w:val="nil"/>
              <w:bottom w:val="single" w:color="auto" w:sz="4" w:space="0"/>
              <w:right w:val="single" w:color="auto" w:sz="4" w:space="0"/>
            </w:tcBorders>
            <w:shd w:val="clear" w:color="auto" w:fill="auto"/>
            <w:vAlign w:val="center"/>
          </w:tcPr>
          <w:p w14:paraId="503A5A0B">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1590" w:type="dxa"/>
            <w:tcBorders>
              <w:top w:val="single" w:color="auto" w:sz="4" w:space="0"/>
              <w:left w:val="single" w:color="auto" w:sz="4" w:space="0"/>
              <w:bottom w:val="single" w:color="000000" w:sz="4" w:space="0"/>
              <w:right w:val="single" w:color="auto" w:sz="4" w:space="0"/>
            </w:tcBorders>
            <w:shd w:val="clear" w:color="auto" w:fill="auto"/>
            <w:vAlign w:val="center"/>
          </w:tcPr>
          <w:p w14:paraId="76CFADE4">
            <w:pPr>
              <w:widowControl/>
              <w:rPr>
                <w:rFonts w:ascii="宋体" w:hAnsi="宋体" w:cs="宋体"/>
                <w:color w:val="000000"/>
                <w:kern w:val="0"/>
                <w:sz w:val="22"/>
              </w:rPr>
            </w:pPr>
          </w:p>
        </w:tc>
      </w:tr>
      <w:tr w14:paraId="12660452">
        <w:tblPrEx>
          <w:tblCellMar>
            <w:top w:w="0" w:type="dxa"/>
            <w:left w:w="108" w:type="dxa"/>
            <w:bottom w:w="0" w:type="dxa"/>
            <w:right w:w="108" w:type="dxa"/>
          </w:tblCellMar>
        </w:tblPrEx>
        <w:trPr>
          <w:trHeight w:val="479" w:hRule="atLeast"/>
          <w:jc w:val="center"/>
        </w:trPr>
        <w:tc>
          <w:tcPr>
            <w:tcW w:w="760" w:type="dxa"/>
            <w:tcBorders>
              <w:top w:val="single" w:color="auto" w:sz="4" w:space="0"/>
              <w:left w:val="single" w:color="auto" w:sz="4" w:space="0"/>
              <w:bottom w:val="single" w:color="000000" w:sz="4" w:space="0"/>
              <w:right w:val="single" w:color="auto" w:sz="4" w:space="0"/>
            </w:tcBorders>
            <w:shd w:val="clear" w:color="auto" w:fill="auto"/>
            <w:noWrap/>
            <w:vAlign w:val="center"/>
          </w:tcPr>
          <w:p w14:paraId="6914668A">
            <w:pPr>
              <w:widowControl/>
              <w:jc w:val="center"/>
              <w:rPr>
                <w:rFonts w:ascii="宋体" w:hAnsi="宋体" w:cs="宋体"/>
                <w:color w:val="000000"/>
                <w:kern w:val="0"/>
                <w:sz w:val="22"/>
              </w:rPr>
            </w:pPr>
            <w:r>
              <w:rPr>
                <w:rFonts w:hint="eastAsia" w:ascii="宋体" w:hAnsi="宋体" w:cs="宋体"/>
                <w:color w:val="000000"/>
                <w:kern w:val="0"/>
                <w:sz w:val="22"/>
              </w:rPr>
              <w:t>1</w:t>
            </w:r>
            <w:r>
              <w:rPr>
                <w:rFonts w:ascii="宋体" w:hAnsi="宋体" w:cs="宋体"/>
                <w:color w:val="000000"/>
                <w:kern w:val="0"/>
                <w:sz w:val="22"/>
              </w:rPr>
              <w:t>2</w:t>
            </w:r>
          </w:p>
        </w:tc>
        <w:tc>
          <w:tcPr>
            <w:tcW w:w="3666" w:type="dxa"/>
            <w:tcBorders>
              <w:top w:val="single" w:color="auto" w:sz="4" w:space="0"/>
              <w:left w:val="single" w:color="auto" w:sz="4" w:space="0"/>
              <w:bottom w:val="single" w:color="000000" w:sz="4" w:space="0"/>
              <w:right w:val="single" w:color="auto" w:sz="4" w:space="0"/>
            </w:tcBorders>
            <w:shd w:val="clear" w:color="auto" w:fill="auto"/>
            <w:vAlign w:val="center"/>
          </w:tcPr>
          <w:p w14:paraId="2B4066D4">
            <w:pPr>
              <w:jc w:val="center"/>
              <w:rPr>
                <w:sz w:val="22"/>
              </w:rPr>
            </w:pPr>
            <w:r>
              <w:rPr>
                <w:rFonts w:hint="eastAsia"/>
                <w:sz w:val="22"/>
              </w:rPr>
              <w:t>台架外围设施对接</w:t>
            </w:r>
          </w:p>
        </w:tc>
        <w:tc>
          <w:tcPr>
            <w:tcW w:w="1418" w:type="dxa"/>
            <w:tcBorders>
              <w:top w:val="single" w:color="auto" w:sz="4" w:space="0"/>
              <w:left w:val="nil"/>
              <w:bottom w:val="single" w:color="auto" w:sz="4" w:space="0"/>
              <w:right w:val="single" w:color="auto" w:sz="4" w:space="0"/>
            </w:tcBorders>
            <w:shd w:val="clear" w:color="auto" w:fill="auto"/>
            <w:vAlign w:val="center"/>
          </w:tcPr>
          <w:p w14:paraId="3A6E8B68">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1590" w:type="dxa"/>
            <w:tcBorders>
              <w:top w:val="single" w:color="auto" w:sz="4" w:space="0"/>
              <w:left w:val="single" w:color="auto" w:sz="4" w:space="0"/>
              <w:bottom w:val="single" w:color="000000" w:sz="4" w:space="0"/>
              <w:right w:val="single" w:color="auto" w:sz="4" w:space="0"/>
            </w:tcBorders>
            <w:shd w:val="clear" w:color="auto" w:fill="auto"/>
            <w:vAlign w:val="center"/>
          </w:tcPr>
          <w:p w14:paraId="70DC31B4">
            <w:pPr>
              <w:widowControl/>
              <w:rPr>
                <w:rFonts w:ascii="宋体" w:hAnsi="宋体" w:cs="宋体"/>
                <w:color w:val="000000"/>
                <w:kern w:val="0"/>
                <w:sz w:val="22"/>
              </w:rPr>
            </w:pPr>
          </w:p>
        </w:tc>
      </w:tr>
      <w:tr w14:paraId="7A7BFD46">
        <w:tblPrEx>
          <w:tblCellMar>
            <w:top w:w="0" w:type="dxa"/>
            <w:left w:w="108" w:type="dxa"/>
            <w:bottom w:w="0" w:type="dxa"/>
            <w:right w:w="108" w:type="dxa"/>
          </w:tblCellMar>
        </w:tblPrEx>
        <w:trPr>
          <w:trHeight w:val="479" w:hRule="atLeast"/>
          <w:jc w:val="center"/>
        </w:trPr>
        <w:tc>
          <w:tcPr>
            <w:tcW w:w="760" w:type="dxa"/>
            <w:tcBorders>
              <w:top w:val="single" w:color="auto" w:sz="4" w:space="0"/>
              <w:left w:val="single" w:color="auto" w:sz="4" w:space="0"/>
              <w:bottom w:val="single" w:color="000000" w:sz="4" w:space="0"/>
              <w:right w:val="single" w:color="auto" w:sz="4" w:space="0"/>
            </w:tcBorders>
            <w:shd w:val="clear" w:color="auto" w:fill="auto"/>
            <w:noWrap/>
            <w:vAlign w:val="center"/>
          </w:tcPr>
          <w:p w14:paraId="39FAFC93">
            <w:pPr>
              <w:widowControl/>
              <w:jc w:val="center"/>
              <w:rPr>
                <w:rFonts w:ascii="宋体" w:hAnsi="宋体" w:cs="宋体"/>
                <w:color w:val="000000"/>
                <w:kern w:val="0"/>
                <w:sz w:val="22"/>
              </w:rPr>
            </w:pPr>
            <w:r>
              <w:rPr>
                <w:rFonts w:hint="eastAsia" w:ascii="宋体" w:hAnsi="宋体" w:cs="宋体"/>
                <w:color w:val="000000"/>
                <w:kern w:val="0"/>
                <w:sz w:val="22"/>
              </w:rPr>
              <w:t>1</w:t>
            </w:r>
            <w:r>
              <w:rPr>
                <w:rFonts w:ascii="宋体" w:hAnsi="宋体" w:cs="宋体"/>
                <w:color w:val="000000"/>
                <w:kern w:val="0"/>
                <w:sz w:val="22"/>
              </w:rPr>
              <w:t>3</w:t>
            </w:r>
          </w:p>
        </w:tc>
        <w:tc>
          <w:tcPr>
            <w:tcW w:w="3666" w:type="dxa"/>
            <w:tcBorders>
              <w:top w:val="single" w:color="auto" w:sz="4" w:space="0"/>
              <w:left w:val="single" w:color="auto" w:sz="4" w:space="0"/>
              <w:bottom w:val="single" w:color="000000" w:sz="4" w:space="0"/>
              <w:right w:val="single" w:color="auto" w:sz="4" w:space="0"/>
            </w:tcBorders>
            <w:shd w:val="clear" w:color="auto" w:fill="auto"/>
            <w:vAlign w:val="center"/>
          </w:tcPr>
          <w:p w14:paraId="06AE8FF2">
            <w:pPr>
              <w:jc w:val="center"/>
              <w:rPr>
                <w:sz w:val="22"/>
              </w:rPr>
            </w:pPr>
            <w:r>
              <w:rPr>
                <w:sz w:val="22"/>
              </w:rPr>
              <w:t>原</w:t>
            </w:r>
            <w:r>
              <w:rPr>
                <w:rFonts w:hint="eastAsia"/>
                <w:sz w:val="22"/>
              </w:rPr>
              <w:t>有设施拆除</w:t>
            </w:r>
          </w:p>
        </w:tc>
        <w:tc>
          <w:tcPr>
            <w:tcW w:w="1418" w:type="dxa"/>
            <w:tcBorders>
              <w:top w:val="single" w:color="auto" w:sz="4" w:space="0"/>
              <w:left w:val="nil"/>
              <w:bottom w:val="single" w:color="auto" w:sz="4" w:space="0"/>
              <w:right w:val="single" w:color="auto" w:sz="4" w:space="0"/>
            </w:tcBorders>
            <w:shd w:val="clear" w:color="auto" w:fill="auto"/>
            <w:vAlign w:val="center"/>
          </w:tcPr>
          <w:p w14:paraId="4F231755">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1590" w:type="dxa"/>
            <w:tcBorders>
              <w:top w:val="single" w:color="auto" w:sz="4" w:space="0"/>
              <w:left w:val="single" w:color="auto" w:sz="4" w:space="0"/>
              <w:bottom w:val="single" w:color="000000" w:sz="4" w:space="0"/>
              <w:right w:val="single" w:color="auto" w:sz="4" w:space="0"/>
            </w:tcBorders>
            <w:shd w:val="clear" w:color="auto" w:fill="auto"/>
            <w:vAlign w:val="center"/>
          </w:tcPr>
          <w:p w14:paraId="476D40B8">
            <w:pPr>
              <w:widowControl/>
              <w:rPr>
                <w:rFonts w:ascii="宋体" w:hAnsi="宋体" w:cs="宋体"/>
                <w:color w:val="000000"/>
                <w:kern w:val="0"/>
                <w:sz w:val="22"/>
              </w:rPr>
            </w:pPr>
          </w:p>
        </w:tc>
      </w:tr>
      <w:tr w14:paraId="519726B6">
        <w:tblPrEx>
          <w:tblCellMar>
            <w:top w:w="0" w:type="dxa"/>
            <w:left w:w="108" w:type="dxa"/>
            <w:bottom w:w="0" w:type="dxa"/>
            <w:right w:w="108" w:type="dxa"/>
          </w:tblCellMar>
        </w:tblPrEx>
        <w:trPr>
          <w:trHeight w:val="479" w:hRule="atLeast"/>
          <w:jc w:val="center"/>
        </w:trPr>
        <w:tc>
          <w:tcPr>
            <w:tcW w:w="760" w:type="dxa"/>
            <w:tcBorders>
              <w:top w:val="single" w:color="auto" w:sz="4" w:space="0"/>
              <w:left w:val="single" w:color="auto" w:sz="4" w:space="0"/>
              <w:bottom w:val="single" w:color="000000" w:sz="4" w:space="0"/>
              <w:right w:val="single" w:color="auto" w:sz="4" w:space="0"/>
            </w:tcBorders>
            <w:shd w:val="clear" w:color="auto" w:fill="auto"/>
            <w:noWrap/>
            <w:vAlign w:val="center"/>
          </w:tcPr>
          <w:p w14:paraId="3A1FADF2">
            <w:pPr>
              <w:widowControl/>
              <w:jc w:val="center"/>
              <w:rPr>
                <w:rFonts w:ascii="宋体" w:hAnsi="宋体" w:cs="宋体"/>
                <w:color w:val="000000"/>
                <w:kern w:val="0"/>
                <w:sz w:val="22"/>
              </w:rPr>
            </w:pPr>
            <w:r>
              <w:rPr>
                <w:rFonts w:hint="eastAsia" w:ascii="宋体" w:hAnsi="宋体" w:cs="宋体"/>
                <w:color w:val="000000"/>
                <w:kern w:val="0"/>
                <w:sz w:val="22"/>
              </w:rPr>
              <w:t>1</w:t>
            </w:r>
            <w:r>
              <w:rPr>
                <w:rFonts w:ascii="宋体" w:hAnsi="宋体" w:cs="宋体"/>
                <w:color w:val="000000"/>
                <w:kern w:val="0"/>
                <w:sz w:val="22"/>
              </w:rPr>
              <w:t>4</w:t>
            </w:r>
          </w:p>
        </w:tc>
        <w:tc>
          <w:tcPr>
            <w:tcW w:w="3666" w:type="dxa"/>
            <w:tcBorders>
              <w:top w:val="single" w:color="auto" w:sz="4" w:space="0"/>
              <w:left w:val="single" w:color="auto" w:sz="4" w:space="0"/>
              <w:bottom w:val="single" w:color="000000" w:sz="4" w:space="0"/>
              <w:right w:val="single" w:color="auto" w:sz="4" w:space="0"/>
            </w:tcBorders>
            <w:shd w:val="clear" w:color="auto" w:fill="auto"/>
            <w:vAlign w:val="center"/>
          </w:tcPr>
          <w:p w14:paraId="2B741384">
            <w:pPr>
              <w:jc w:val="center"/>
              <w:rPr>
                <w:sz w:val="22"/>
              </w:rPr>
            </w:pPr>
            <w:r>
              <w:rPr>
                <w:sz w:val="22"/>
              </w:rPr>
              <w:t>投标方认为必须提供的其他货物</w:t>
            </w:r>
          </w:p>
        </w:tc>
        <w:tc>
          <w:tcPr>
            <w:tcW w:w="1418" w:type="dxa"/>
            <w:tcBorders>
              <w:top w:val="single" w:color="auto" w:sz="4" w:space="0"/>
              <w:left w:val="nil"/>
              <w:bottom w:val="single" w:color="auto" w:sz="4" w:space="0"/>
              <w:right w:val="single" w:color="auto" w:sz="4" w:space="0"/>
            </w:tcBorders>
            <w:shd w:val="clear" w:color="auto" w:fill="auto"/>
            <w:vAlign w:val="center"/>
          </w:tcPr>
          <w:p w14:paraId="46F0B621">
            <w:pPr>
              <w:widowControl/>
              <w:jc w:val="center"/>
              <w:rPr>
                <w:rFonts w:ascii="宋体" w:hAnsi="宋体" w:cs="宋体"/>
                <w:color w:val="000000"/>
                <w:kern w:val="0"/>
                <w:sz w:val="22"/>
              </w:rPr>
            </w:pPr>
            <w:r>
              <w:rPr>
                <w:rFonts w:ascii="宋体" w:hAnsi="宋体" w:cs="宋体"/>
                <w:color w:val="000000"/>
                <w:kern w:val="0"/>
                <w:sz w:val="22"/>
              </w:rPr>
              <w:t>1</w:t>
            </w:r>
          </w:p>
        </w:tc>
        <w:tc>
          <w:tcPr>
            <w:tcW w:w="1590" w:type="dxa"/>
            <w:tcBorders>
              <w:top w:val="single" w:color="auto" w:sz="4" w:space="0"/>
              <w:left w:val="single" w:color="auto" w:sz="4" w:space="0"/>
              <w:bottom w:val="single" w:color="000000" w:sz="4" w:space="0"/>
              <w:right w:val="single" w:color="auto" w:sz="4" w:space="0"/>
            </w:tcBorders>
            <w:shd w:val="clear" w:color="auto" w:fill="auto"/>
            <w:vAlign w:val="center"/>
          </w:tcPr>
          <w:p w14:paraId="497981EB">
            <w:pPr>
              <w:widowControl/>
              <w:rPr>
                <w:rFonts w:ascii="宋体" w:hAnsi="宋体" w:cs="宋体"/>
                <w:color w:val="000000"/>
                <w:kern w:val="0"/>
                <w:sz w:val="22"/>
              </w:rPr>
            </w:pPr>
          </w:p>
        </w:tc>
      </w:tr>
      <w:tr w14:paraId="3B5906A7">
        <w:tblPrEx>
          <w:tblCellMar>
            <w:top w:w="0" w:type="dxa"/>
            <w:left w:w="108" w:type="dxa"/>
            <w:bottom w:w="0" w:type="dxa"/>
            <w:right w:w="108" w:type="dxa"/>
          </w:tblCellMar>
        </w:tblPrEx>
        <w:trPr>
          <w:trHeight w:val="479" w:hRule="atLeast"/>
          <w:jc w:val="center"/>
        </w:trPr>
        <w:tc>
          <w:tcPr>
            <w:tcW w:w="760" w:type="dxa"/>
            <w:tcBorders>
              <w:top w:val="single" w:color="auto" w:sz="4" w:space="0"/>
              <w:left w:val="single" w:color="auto" w:sz="4" w:space="0"/>
              <w:bottom w:val="single" w:color="000000" w:sz="4" w:space="0"/>
              <w:right w:val="single" w:color="auto" w:sz="4" w:space="0"/>
            </w:tcBorders>
            <w:shd w:val="clear" w:color="auto" w:fill="auto"/>
            <w:noWrap/>
            <w:vAlign w:val="center"/>
          </w:tcPr>
          <w:p w14:paraId="5361F364">
            <w:pPr>
              <w:widowControl/>
              <w:jc w:val="center"/>
              <w:rPr>
                <w:rFonts w:ascii="宋体" w:hAnsi="宋体" w:cs="宋体"/>
                <w:color w:val="000000"/>
                <w:kern w:val="0"/>
                <w:sz w:val="22"/>
              </w:rPr>
            </w:pPr>
            <w:r>
              <w:rPr>
                <w:rFonts w:hint="eastAsia" w:ascii="宋体" w:hAnsi="宋体" w:cs="宋体"/>
                <w:color w:val="000000"/>
                <w:kern w:val="0"/>
                <w:sz w:val="22"/>
              </w:rPr>
              <w:t>1</w:t>
            </w:r>
            <w:r>
              <w:rPr>
                <w:rFonts w:ascii="宋体" w:hAnsi="宋体" w:cs="宋体"/>
                <w:color w:val="000000"/>
                <w:kern w:val="0"/>
                <w:sz w:val="22"/>
              </w:rPr>
              <w:t>5</w:t>
            </w:r>
          </w:p>
        </w:tc>
        <w:tc>
          <w:tcPr>
            <w:tcW w:w="3666" w:type="dxa"/>
            <w:tcBorders>
              <w:top w:val="single" w:color="auto" w:sz="4" w:space="0"/>
              <w:left w:val="single" w:color="auto" w:sz="4" w:space="0"/>
              <w:bottom w:val="single" w:color="000000" w:sz="4" w:space="0"/>
              <w:right w:val="single" w:color="auto" w:sz="4" w:space="0"/>
            </w:tcBorders>
            <w:shd w:val="clear" w:color="auto" w:fill="auto"/>
            <w:vAlign w:val="center"/>
          </w:tcPr>
          <w:p w14:paraId="2278A370">
            <w:pPr>
              <w:jc w:val="center"/>
              <w:rPr>
                <w:sz w:val="22"/>
              </w:rPr>
            </w:pPr>
            <w:r>
              <w:rPr>
                <w:sz w:val="22"/>
              </w:rPr>
              <w:t>运</w:t>
            </w:r>
            <w:r>
              <w:rPr>
                <w:rFonts w:hint="eastAsia"/>
                <w:sz w:val="22"/>
              </w:rPr>
              <w:t>输</w:t>
            </w:r>
            <w:r>
              <w:rPr>
                <w:sz w:val="22"/>
              </w:rPr>
              <w:t>、安</w:t>
            </w:r>
            <w:r>
              <w:rPr>
                <w:rFonts w:hint="eastAsia"/>
                <w:sz w:val="22"/>
              </w:rPr>
              <w:t>装</w:t>
            </w:r>
            <w:r>
              <w:rPr>
                <w:sz w:val="22"/>
              </w:rPr>
              <w:t>、调</w:t>
            </w:r>
            <w:r>
              <w:rPr>
                <w:rFonts w:hint="eastAsia"/>
                <w:sz w:val="22"/>
              </w:rPr>
              <w:t>试</w:t>
            </w:r>
          </w:p>
        </w:tc>
        <w:tc>
          <w:tcPr>
            <w:tcW w:w="1418" w:type="dxa"/>
            <w:tcBorders>
              <w:top w:val="single" w:color="auto" w:sz="4" w:space="0"/>
              <w:left w:val="nil"/>
              <w:bottom w:val="single" w:color="auto" w:sz="4" w:space="0"/>
              <w:right w:val="single" w:color="auto" w:sz="4" w:space="0"/>
            </w:tcBorders>
            <w:shd w:val="clear" w:color="auto" w:fill="auto"/>
            <w:vAlign w:val="center"/>
          </w:tcPr>
          <w:p w14:paraId="2C60294C">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1590" w:type="dxa"/>
            <w:tcBorders>
              <w:top w:val="single" w:color="auto" w:sz="4" w:space="0"/>
              <w:left w:val="single" w:color="auto" w:sz="4" w:space="0"/>
              <w:bottom w:val="single" w:color="000000" w:sz="4" w:space="0"/>
              <w:right w:val="single" w:color="auto" w:sz="4" w:space="0"/>
            </w:tcBorders>
            <w:shd w:val="clear" w:color="auto" w:fill="auto"/>
            <w:vAlign w:val="center"/>
          </w:tcPr>
          <w:p w14:paraId="4AC07E68">
            <w:pPr>
              <w:widowControl/>
              <w:rPr>
                <w:rFonts w:ascii="宋体" w:hAnsi="宋体" w:cs="宋体"/>
                <w:color w:val="000000"/>
                <w:kern w:val="0"/>
                <w:sz w:val="22"/>
              </w:rPr>
            </w:pPr>
          </w:p>
        </w:tc>
      </w:tr>
      <w:tr w14:paraId="165E13F3">
        <w:tblPrEx>
          <w:tblCellMar>
            <w:top w:w="0" w:type="dxa"/>
            <w:left w:w="108" w:type="dxa"/>
            <w:bottom w:w="0" w:type="dxa"/>
            <w:right w:w="108" w:type="dxa"/>
          </w:tblCellMar>
        </w:tblPrEx>
        <w:trPr>
          <w:trHeight w:val="479" w:hRule="atLeast"/>
          <w:jc w:val="center"/>
        </w:trPr>
        <w:tc>
          <w:tcPr>
            <w:tcW w:w="760" w:type="dxa"/>
            <w:tcBorders>
              <w:top w:val="single" w:color="auto" w:sz="4" w:space="0"/>
              <w:left w:val="single" w:color="auto" w:sz="4" w:space="0"/>
              <w:bottom w:val="single" w:color="000000" w:sz="4" w:space="0"/>
              <w:right w:val="single" w:color="auto" w:sz="4" w:space="0"/>
            </w:tcBorders>
            <w:shd w:val="clear" w:color="auto" w:fill="auto"/>
            <w:noWrap/>
            <w:vAlign w:val="center"/>
          </w:tcPr>
          <w:p w14:paraId="4B303F5D">
            <w:pPr>
              <w:widowControl/>
              <w:jc w:val="center"/>
              <w:rPr>
                <w:rFonts w:ascii="宋体" w:hAnsi="宋体" w:cs="宋体"/>
                <w:color w:val="000000"/>
                <w:kern w:val="0"/>
                <w:sz w:val="22"/>
              </w:rPr>
            </w:pPr>
            <w:r>
              <w:rPr>
                <w:rFonts w:hint="eastAsia" w:ascii="宋体" w:hAnsi="宋体" w:cs="宋体"/>
                <w:color w:val="000000"/>
                <w:kern w:val="0"/>
                <w:sz w:val="22"/>
              </w:rPr>
              <w:t>1</w:t>
            </w:r>
            <w:r>
              <w:rPr>
                <w:rFonts w:ascii="宋体" w:hAnsi="宋体" w:cs="宋体"/>
                <w:color w:val="000000"/>
                <w:kern w:val="0"/>
                <w:sz w:val="22"/>
              </w:rPr>
              <w:t>6</w:t>
            </w:r>
          </w:p>
        </w:tc>
        <w:tc>
          <w:tcPr>
            <w:tcW w:w="3666" w:type="dxa"/>
            <w:tcBorders>
              <w:top w:val="single" w:color="auto" w:sz="4" w:space="0"/>
              <w:left w:val="single" w:color="auto" w:sz="4" w:space="0"/>
              <w:bottom w:val="single" w:color="000000" w:sz="4" w:space="0"/>
              <w:right w:val="single" w:color="auto" w:sz="4" w:space="0"/>
            </w:tcBorders>
            <w:shd w:val="clear" w:color="auto" w:fill="auto"/>
            <w:vAlign w:val="center"/>
          </w:tcPr>
          <w:p w14:paraId="5C00571A">
            <w:pPr>
              <w:jc w:val="center"/>
              <w:rPr>
                <w:sz w:val="22"/>
              </w:rPr>
            </w:pPr>
            <w:r>
              <w:rPr>
                <w:sz w:val="22"/>
              </w:rPr>
              <w:t>培训</w:t>
            </w:r>
          </w:p>
        </w:tc>
        <w:tc>
          <w:tcPr>
            <w:tcW w:w="1418" w:type="dxa"/>
            <w:tcBorders>
              <w:top w:val="single" w:color="auto" w:sz="4" w:space="0"/>
              <w:left w:val="nil"/>
              <w:bottom w:val="single" w:color="auto" w:sz="4" w:space="0"/>
              <w:right w:val="single" w:color="auto" w:sz="4" w:space="0"/>
            </w:tcBorders>
            <w:shd w:val="clear" w:color="auto" w:fill="auto"/>
            <w:vAlign w:val="center"/>
          </w:tcPr>
          <w:p w14:paraId="2C65B749">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1590" w:type="dxa"/>
            <w:tcBorders>
              <w:top w:val="single" w:color="auto" w:sz="4" w:space="0"/>
              <w:left w:val="single" w:color="auto" w:sz="4" w:space="0"/>
              <w:bottom w:val="single" w:color="000000" w:sz="4" w:space="0"/>
              <w:right w:val="single" w:color="auto" w:sz="4" w:space="0"/>
            </w:tcBorders>
            <w:shd w:val="clear" w:color="auto" w:fill="auto"/>
            <w:vAlign w:val="center"/>
          </w:tcPr>
          <w:p w14:paraId="7257B6A3">
            <w:pPr>
              <w:widowControl/>
              <w:rPr>
                <w:rFonts w:ascii="宋体" w:hAnsi="宋体" w:cs="宋体"/>
                <w:color w:val="000000"/>
                <w:kern w:val="0"/>
                <w:sz w:val="22"/>
              </w:rPr>
            </w:pPr>
          </w:p>
        </w:tc>
      </w:tr>
      <w:tr w14:paraId="48B5DDAA">
        <w:tblPrEx>
          <w:tblCellMar>
            <w:top w:w="0" w:type="dxa"/>
            <w:left w:w="108" w:type="dxa"/>
            <w:bottom w:w="0" w:type="dxa"/>
            <w:right w:w="108" w:type="dxa"/>
          </w:tblCellMar>
        </w:tblPrEx>
        <w:trPr>
          <w:trHeight w:val="479" w:hRule="atLeast"/>
          <w:jc w:val="center"/>
        </w:trPr>
        <w:tc>
          <w:tcPr>
            <w:tcW w:w="760" w:type="dxa"/>
            <w:tcBorders>
              <w:top w:val="single" w:color="auto" w:sz="4" w:space="0"/>
              <w:left w:val="single" w:color="auto" w:sz="4" w:space="0"/>
              <w:bottom w:val="single" w:color="000000" w:sz="4" w:space="0"/>
              <w:right w:val="single" w:color="auto" w:sz="4" w:space="0"/>
            </w:tcBorders>
            <w:shd w:val="clear" w:color="auto" w:fill="auto"/>
            <w:noWrap/>
            <w:vAlign w:val="center"/>
          </w:tcPr>
          <w:p w14:paraId="6460EC93">
            <w:pPr>
              <w:widowControl/>
              <w:jc w:val="center"/>
              <w:rPr>
                <w:rFonts w:ascii="宋体" w:hAnsi="宋体" w:cs="宋体"/>
                <w:color w:val="000000"/>
                <w:kern w:val="0"/>
                <w:sz w:val="22"/>
              </w:rPr>
            </w:pPr>
            <w:r>
              <w:rPr>
                <w:rFonts w:hint="eastAsia" w:ascii="宋体" w:hAnsi="宋体" w:cs="宋体"/>
                <w:color w:val="000000"/>
                <w:kern w:val="0"/>
                <w:sz w:val="22"/>
              </w:rPr>
              <w:t>1</w:t>
            </w:r>
            <w:r>
              <w:rPr>
                <w:rFonts w:ascii="宋体" w:hAnsi="宋体" w:cs="宋体"/>
                <w:color w:val="000000"/>
                <w:kern w:val="0"/>
                <w:sz w:val="22"/>
              </w:rPr>
              <w:t>7</w:t>
            </w:r>
          </w:p>
        </w:tc>
        <w:tc>
          <w:tcPr>
            <w:tcW w:w="3666" w:type="dxa"/>
            <w:tcBorders>
              <w:top w:val="single" w:color="auto" w:sz="4" w:space="0"/>
              <w:left w:val="single" w:color="auto" w:sz="4" w:space="0"/>
              <w:bottom w:val="single" w:color="000000" w:sz="4" w:space="0"/>
              <w:right w:val="single" w:color="auto" w:sz="4" w:space="0"/>
            </w:tcBorders>
            <w:shd w:val="clear" w:color="auto" w:fill="auto"/>
            <w:vAlign w:val="center"/>
          </w:tcPr>
          <w:p w14:paraId="4C3CA4EF">
            <w:pPr>
              <w:jc w:val="center"/>
              <w:rPr>
                <w:sz w:val="22"/>
              </w:rPr>
            </w:pPr>
            <w:r>
              <w:rPr>
                <w:sz w:val="22"/>
              </w:rPr>
              <w:t>备</w:t>
            </w:r>
            <w:r>
              <w:rPr>
                <w:rFonts w:hint="eastAsia"/>
                <w:sz w:val="22"/>
              </w:rPr>
              <w:t>品</w:t>
            </w:r>
            <w:r>
              <w:rPr>
                <w:sz w:val="22"/>
              </w:rPr>
              <w:t>备件及易损件</w:t>
            </w:r>
          </w:p>
        </w:tc>
        <w:tc>
          <w:tcPr>
            <w:tcW w:w="1418" w:type="dxa"/>
            <w:tcBorders>
              <w:top w:val="single" w:color="auto" w:sz="4" w:space="0"/>
              <w:left w:val="nil"/>
              <w:bottom w:val="single" w:color="auto" w:sz="4" w:space="0"/>
              <w:right w:val="single" w:color="auto" w:sz="4" w:space="0"/>
            </w:tcBorders>
            <w:shd w:val="clear" w:color="auto" w:fill="auto"/>
            <w:vAlign w:val="center"/>
          </w:tcPr>
          <w:p w14:paraId="6AB2A7FF">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1590" w:type="dxa"/>
            <w:tcBorders>
              <w:top w:val="single" w:color="auto" w:sz="4" w:space="0"/>
              <w:left w:val="single" w:color="auto" w:sz="4" w:space="0"/>
              <w:bottom w:val="single" w:color="000000" w:sz="4" w:space="0"/>
              <w:right w:val="single" w:color="auto" w:sz="4" w:space="0"/>
            </w:tcBorders>
            <w:shd w:val="clear" w:color="auto" w:fill="auto"/>
            <w:vAlign w:val="center"/>
          </w:tcPr>
          <w:p w14:paraId="62354A7E">
            <w:pPr>
              <w:widowControl/>
              <w:rPr>
                <w:rFonts w:ascii="宋体" w:hAnsi="宋体" w:cs="宋体"/>
                <w:color w:val="000000"/>
                <w:kern w:val="0"/>
                <w:sz w:val="22"/>
              </w:rPr>
            </w:pPr>
          </w:p>
        </w:tc>
      </w:tr>
    </w:tbl>
    <w:p w14:paraId="18DDDFB2">
      <w:pPr>
        <w:pStyle w:val="17"/>
        <w:spacing w:line="360" w:lineRule="auto"/>
        <w:rPr>
          <w:sz w:val="24"/>
          <w:szCs w:val="24"/>
        </w:rPr>
      </w:pPr>
    </w:p>
    <w:p w14:paraId="4B5150B4">
      <w:pPr>
        <w:pStyle w:val="17"/>
        <w:spacing w:line="360" w:lineRule="auto"/>
        <w:rPr>
          <w:sz w:val="24"/>
          <w:szCs w:val="24"/>
        </w:rPr>
      </w:pPr>
    </w:p>
    <w:p w14:paraId="5E0753EC">
      <w:pPr>
        <w:spacing w:line="360" w:lineRule="auto"/>
        <w:rPr>
          <w:sz w:val="24"/>
          <w:szCs w:val="24"/>
        </w:rPr>
      </w:pPr>
    </w:p>
    <w:p w14:paraId="4479CF66">
      <w:pPr>
        <w:spacing w:line="360" w:lineRule="auto"/>
        <w:rPr>
          <w:sz w:val="24"/>
          <w:szCs w:val="24"/>
        </w:rPr>
      </w:pPr>
      <w:r>
        <w:rPr>
          <w:rFonts w:hint="eastAsia"/>
          <w:sz w:val="24"/>
          <w:szCs w:val="24"/>
        </w:rPr>
        <w:t>备注：</w:t>
      </w:r>
    </w:p>
    <w:p w14:paraId="3AA4D4E0">
      <w:pPr>
        <w:spacing w:line="360" w:lineRule="auto"/>
        <w:rPr>
          <w:sz w:val="24"/>
          <w:szCs w:val="24"/>
        </w:rPr>
      </w:pPr>
      <w:r>
        <w:rPr>
          <w:rFonts w:hint="eastAsia"/>
          <w:sz w:val="24"/>
          <w:szCs w:val="24"/>
        </w:rPr>
        <w:t>1、本表所列采购货物仅为货物的主要构成部分，应配套供货以及招标人所列其他货物（或设备）和服务，请投标人认真阅读“供货范围”。若有异议，不管是多么微小，都应在投标档“商务偏离”章节中予以详细说明。</w:t>
      </w:r>
    </w:p>
    <w:p w14:paraId="45241DEA">
      <w:pPr>
        <w:spacing w:line="360" w:lineRule="auto"/>
        <w:rPr>
          <w:sz w:val="24"/>
          <w:szCs w:val="24"/>
        </w:rPr>
      </w:pPr>
      <w:r>
        <w:rPr>
          <w:rFonts w:hint="eastAsia"/>
          <w:sz w:val="24"/>
          <w:szCs w:val="24"/>
        </w:rPr>
        <w:t>2、本表“供货方式”指：交钥匙方式——包括制造、运输、定点卸货、安装、调试和协助验收以及约定培训等。</w:t>
      </w:r>
    </w:p>
    <w:p w14:paraId="04EF99B1">
      <w:pPr>
        <w:spacing w:line="360" w:lineRule="auto"/>
        <w:rPr>
          <w:sz w:val="24"/>
          <w:szCs w:val="24"/>
        </w:rPr>
      </w:pPr>
      <w:r>
        <w:rPr>
          <w:rFonts w:hint="eastAsia"/>
          <w:sz w:val="24"/>
          <w:szCs w:val="24"/>
        </w:rPr>
        <w:t>3、以上内容仅对设备的基本功能进行了描述和建议，表中所列内容仅供参考，投标方投标前需对生产现场工艺环境进行充分调研与了解，确保投标方案满足工艺、产品、节拍、功能等要求，投标方对投标方案负责。</w:t>
      </w:r>
    </w:p>
    <w:p w14:paraId="1AFA4AF6">
      <w:pPr>
        <w:spacing w:line="360" w:lineRule="auto"/>
        <w:rPr>
          <w:sz w:val="24"/>
          <w:szCs w:val="24"/>
        </w:rPr>
      </w:pPr>
      <w:r>
        <w:rPr>
          <w:rFonts w:hint="eastAsia"/>
          <w:sz w:val="24"/>
          <w:szCs w:val="24"/>
        </w:rPr>
        <w:t>4、采购货物特别说明</w:t>
      </w:r>
    </w:p>
    <w:p w14:paraId="6F9D72B8">
      <w:pPr>
        <w:spacing w:line="360" w:lineRule="auto"/>
        <w:rPr>
          <w:rFonts w:cs="Times New Roman"/>
          <w:sz w:val="24"/>
          <w:szCs w:val="24"/>
        </w:rPr>
      </w:pPr>
      <w:r>
        <w:rPr>
          <w:rFonts w:hint="eastAsia"/>
          <w:sz w:val="24"/>
          <w:szCs w:val="24"/>
        </w:rPr>
        <w:t>招标人所列货物的名称和规格型号，如为某一供应商所特有，则该名称和规格型号可作参考，但要求投标人所提供的货物必须满足本技术标书实质性要求</w:t>
      </w:r>
      <w:r>
        <w:rPr>
          <w:rFonts w:hint="eastAsia" w:cs="Times New Roman"/>
          <w:sz w:val="24"/>
          <w:szCs w:val="24"/>
        </w:rPr>
        <w:t>。</w:t>
      </w:r>
    </w:p>
    <w:p w14:paraId="13241ECE">
      <w:pPr>
        <w:spacing w:line="360" w:lineRule="auto"/>
        <w:rPr>
          <w:sz w:val="24"/>
          <w:szCs w:val="24"/>
        </w:rPr>
      </w:pPr>
    </w:p>
    <w:p w14:paraId="4B0C2267">
      <w:pPr>
        <w:spacing w:line="360" w:lineRule="auto"/>
        <w:jc w:val="center"/>
        <w:rPr>
          <w:rFonts w:hAnsi="Calibri"/>
          <w:b/>
          <w:sz w:val="28"/>
          <w:szCs w:val="24"/>
        </w:rPr>
      </w:pPr>
      <w:r>
        <w:rPr>
          <w:rFonts w:hint="eastAsia"/>
          <w:b/>
          <w:sz w:val="28"/>
          <w:szCs w:val="24"/>
        </w:rPr>
        <w:t>第二章</w:t>
      </w:r>
      <w:r>
        <w:rPr>
          <w:b/>
          <w:sz w:val="28"/>
          <w:szCs w:val="24"/>
        </w:rPr>
        <w:t xml:space="preserve">  </w:t>
      </w:r>
      <w:r>
        <w:rPr>
          <w:rFonts w:hint="eastAsia"/>
          <w:b/>
          <w:sz w:val="28"/>
          <w:szCs w:val="24"/>
        </w:rPr>
        <w:t>技术要求</w:t>
      </w:r>
    </w:p>
    <w:p w14:paraId="09E3347D">
      <w:pPr>
        <w:spacing w:line="360" w:lineRule="auto"/>
        <w:rPr>
          <w:b/>
          <w:sz w:val="24"/>
          <w:szCs w:val="24"/>
        </w:rPr>
      </w:pPr>
      <w:r>
        <w:rPr>
          <w:rFonts w:hint="eastAsia"/>
          <w:b/>
          <w:sz w:val="24"/>
          <w:szCs w:val="24"/>
        </w:rPr>
        <w:t>一、基本要求</w:t>
      </w:r>
    </w:p>
    <w:p w14:paraId="171CD478">
      <w:pPr>
        <w:spacing w:line="360" w:lineRule="auto"/>
        <w:rPr>
          <w:sz w:val="24"/>
          <w:szCs w:val="24"/>
        </w:rPr>
      </w:pPr>
      <w:r>
        <w:rPr>
          <w:rFonts w:hint="eastAsia"/>
          <w:sz w:val="24"/>
          <w:szCs w:val="24"/>
        </w:rPr>
        <w:t>1、本章技术要求，仅对功能、设计、结构、性能、安装和试验检验等方面，提出了最低和一般性的技术要求，并未对一切技术细节作出规定。</w:t>
      </w:r>
    </w:p>
    <w:p w14:paraId="4E615066">
      <w:pPr>
        <w:spacing w:line="360" w:lineRule="auto"/>
        <w:rPr>
          <w:sz w:val="24"/>
          <w:szCs w:val="24"/>
        </w:rPr>
      </w:pPr>
      <w:r>
        <w:rPr>
          <w:rFonts w:hint="eastAsia"/>
          <w:sz w:val="24"/>
          <w:szCs w:val="24"/>
        </w:rPr>
        <w:t>2、本技术要求所使用的标准、规范等，如与投标人所执行的标准、规范不一致时，应按高于本技术要求所列的标准、规范执行。</w:t>
      </w:r>
    </w:p>
    <w:p w14:paraId="63540618">
      <w:pPr>
        <w:spacing w:line="360" w:lineRule="auto"/>
        <w:rPr>
          <w:sz w:val="24"/>
          <w:szCs w:val="24"/>
        </w:rPr>
      </w:pPr>
      <w:r>
        <w:rPr>
          <w:rFonts w:hint="eastAsia"/>
          <w:sz w:val="24"/>
          <w:szCs w:val="24"/>
        </w:rPr>
        <w:t>3、投标人认为所供货物必需由招标人配备、解决或提供的其他要求，如设备基础隔振和减振设施、软化水、洁净气源等，均应在投标档“技术偏离”中予以充分说明。</w:t>
      </w:r>
    </w:p>
    <w:p w14:paraId="23601F11">
      <w:pPr>
        <w:spacing w:line="360" w:lineRule="auto"/>
        <w:rPr>
          <w:sz w:val="24"/>
          <w:szCs w:val="24"/>
        </w:rPr>
      </w:pPr>
      <w:r>
        <w:rPr>
          <w:rFonts w:hint="eastAsia"/>
          <w:sz w:val="24"/>
          <w:szCs w:val="24"/>
        </w:rPr>
        <w:t>4、投标人应根据招投标货物具体要求，提出对厂房、设备基础（或安装平台）、公用设施、消防、环保等超出招标档、投标档、答疑档、技术交流档、技术协议书和合同等规定的、有特殊需要的解释、说明和要求。</w:t>
      </w:r>
    </w:p>
    <w:p w14:paraId="26B31D7E">
      <w:pPr>
        <w:spacing w:line="360" w:lineRule="auto"/>
        <w:rPr>
          <w:sz w:val="24"/>
          <w:szCs w:val="24"/>
        </w:rPr>
      </w:pPr>
      <w:r>
        <w:rPr>
          <w:rFonts w:hint="eastAsia"/>
          <w:sz w:val="24"/>
          <w:szCs w:val="24"/>
        </w:rPr>
        <w:t>5、无论是否有技术偏离，投标人均应在投标档“技术偏离”中明确作出有无说明。若有异议，不管是多么微小，投标人必须予以明确和详细的说明或澄清。</w:t>
      </w:r>
    </w:p>
    <w:p w14:paraId="087680BB">
      <w:pPr>
        <w:spacing w:line="360" w:lineRule="auto"/>
        <w:rPr>
          <w:sz w:val="24"/>
          <w:szCs w:val="24"/>
        </w:rPr>
      </w:pPr>
      <w:r>
        <w:rPr>
          <w:rFonts w:hint="eastAsia"/>
          <w:sz w:val="24"/>
          <w:szCs w:val="24"/>
        </w:rPr>
        <w:t>6、为避免投标人优势在招标评审时漏项，质保期超出本技术标书要求的，应当在投标档“技术偏离”中特别注明。</w:t>
      </w:r>
    </w:p>
    <w:p w14:paraId="2470CA12">
      <w:pPr>
        <w:spacing w:line="360" w:lineRule="auto"/>
        <w:rPr>
          <w:rFonts w:ascii="宋体"/>
          <w:sz w:val="24"/>
        </w:rPr>
      </w:pPr>
      <w:r>
        <w:rPr>
          <w:rFonts w:hint="eastAsia"/>
          <w:sz w:val="24"/>
          <w:szCs w:val="24"/>
        </w:rPr>
        <w:t>7、投标档中，针对“特别提示”条款所做的回应，将作为投标人能否中标的重要依据之一。</w:t>
      </w:r>
      <w:r>
        <w:rPr>
          <w:rFonts w:hint="eastAsia" w:ascii="宋体"/>
          <w:sz w:val="24"/>
        </w:rPr>
        <w:t>请投标人注意： 本招标书中所有条款均为招标方对投标方的要求内容。不应因表述顺序而被投标方忽视。对每一项要求均应在投标书中对应明确是否满足。</w:t>
      </w:r>
    </w:p>
    <w:p w14:paraId="6D6304C2">
      <w:pPr>
        <w:spacing w:line="360" w:lineRule="auto"/>
        <w:rPr>
          <w:rFonts w:ascii="宋体"/>
          <w:sz w:val="24"/>
        </w:rPr>
      </w:pPr>
      <w:r>
        <w:rPr>
          <w:rFonts w:ascii="宋体"/>
          <w:sz w:val="24"/>
        </w:rPr>
        <w:t>8、本</w:t>
      </w:r>
      <w:r>
        <w:rPr>
          <w:rFonts w:hint="eastAsia" w:ascii="宋体"/>
          <w:sz w:val="24"/>
        </w:rPr>
        <w:t>招标</w:t>
      </w:r>
      <w:r>
        <w:rPr>
          <w:rFonts w:ascii="宋体"/>
          <w:sz w:val="24"/>
        </w:rPr>
        <w:t>文件</w:t>
      </w:r>
      <w:r>
        <w:rPr>
          <w:rFonts w:hint="eastAsia" w:ascii="宋体"/>
          <w:sz w:val="24"/>
        </w:rPr>
        <w:t>中所有</w:t>
      </w:r>
      <w:r>
        <w:rPr>
          <w:rFonts w:ascii="宋体"/>
          <w:sz w:val="24"/>
        </w:rPr>
        <w:t>加注</w:t>
      </w:r>
      <w:r>
        <w:rPr>
          <w:rFonts w:ascii="宋体" w:hAnsi="宋体" w:eastAsia="宋体"/>
          <w:sz w:val="24"/>
        </w:rPr>
        <w:t>“</w:t>
      </w:r>
      <w:r>
        <w:rPr>
          <w:rFonts w:ascii="宋体"/>
          <w:sz w:val="24"/>
        </w:rPr>
        <w:t>*</w:t>
      </w:r>
      <w:r>
        <w:rPr>
          <w:rFonts w:ascii="宋体" w:hAnsi="宋体" w:eastAsia="宋体"/>
          <w:sz w:val="24"/>
        </w:rPr>
        <w:t>”</w:t>
      </w:r>
      <w:r>
        <w:rPr>
          <w:rFonts w:ascii="宋体"/>
          <w:sz w:val="24"/>
        </w:rPr>
        <w:t>的条款为</w:t>
      </w:r>
      <w:r>
        <w:rPr>
          <w:rFonts w:hint="eastAsia" w:ascii="宋体"/>
          <w:sz w:val="24"/>
        </w:rPr>
        <w:t>否次项</w:t>
      </w:r>
      <w:r>
        <w:rPr>
          <w:rFonts w:ascii="宋体"/>
          <w:sz w:val="24"/>
        </w:rPr>
        <w:t>，不允许出现</w:t>
      </w:r>
      <w:r>
        <w:rPr>
          <w:rFonts w:hint="eastAsia" w:ascii="宋体"/>
          <w:sz w:val="24"/>
        </w:rPr>
        <w:t>偏离</w:t>
      </w:r>
      <w:r>
        <w:rPr>
          <w:rFonts w:ascii="宋体"/>
          <w:sz w:val="24"/>
        </w:rPr>
        <w:t>。</w:t>
      </w:r>
    </w:p>
    <w:p w14:paraId="22925A9D">
      <w:pPr>
        <w:spacing w:line="360" w:lineRule="auto"/>
        <w:rPr>
          <w:rFonts w:ascii="宋体"/>
          <w:sz w:val="24"/>
        </w:rPr>
      </w:pPr>
      <w:r>
        <w:rPr>
          <w:rFonts w:hint="eastAsia" w:ascii="宋体"/>
          <w:sz w:val="24"/>
        </w:rPr>
        <w:t>9、投标文件应有实施本项目的计划方案，包括作业内容、投入人员等。</w:t>
      </w:r>
    </w:p>
    <w:p w14:paraId="3F643473">
      <w:pPr>
        <w:spacing w:line="360" w:lineRule="auto"/>
        <w:rPr>
          <w:sz w:val="24"/>
          <w:szCs w:val="24"/>
        </w:rPr>
      </w:pPr>
    </w:p>
    <w:p w14:paraId="6193487B">
      <w:pPr>
        <w:spacing w:line="360" w:lineRule="auto"/>
        <w:rPr>
          <w:b/>
          <w:sz w:val="24"/>
          <w:szCs w:val="24"/>
        </w:rPr>
      </w:pPr>
      <w:r>
        <w:rPr>
          <w:rFonts w:hint="eastAsia"/>
          <w:b/>
          <w:sz w:val="24"/>
          <w:szCs w:val="24"/>
        </w:rPr>
        <w:t>二、执行标准</w:t>
      </w:r>
    </w:p>
    <w:p w14:paraId="0EB3963A">
      <w:pPr>
        <w:spacing w:line="360" w:lineRule="auto"/>
        <w:rPr>
          <w:sz w:val="24"/>
          <w:szCs w:val="24"/>
        </w:rPr>
      </w:pPr>
      <w:r>
        <w:rPr>
          <w:rFonts w:hint="eastAsia"/>
          <w:sz w:val="24"/>
          <w:szCs w:val="24"/>
        </w:rPr>
        <w:t>1、投标人所供的货物，必须符合中国最新版的法律、法规和相关标准、规范的要求，符合项目所在地政府有关特殊要求。</w:t>
      </w:r>
    </w:p>
    <w:p w14:paraId="1EB598D9">
      <w:pPr>
        <w:spacing w:line="360" w:lineRule="auto"/>
        <w:rPr>
          <w:sz w:val="24"/>
          <w:szCs w:val="24"/>
        </w:rPr>
      </w:pPr>
      <w:r>
        <w:rPr>
          <w:rFonts w:hint="eastAsia"/>
          <w:sz w:val="24"/>
          <w:szCs w:val="24"/>
        </w:rPr>
        <w:t>2、投标人所供货物涉及的专利权技术以及知识产权保护的其他技术等，应保证招标人不因此受到任何侵权指控以及实际损失。</w:t>
      </w:r>
    </w:p>
    <w:p w14:paraId="4BFD9E61">
      <w:pPr>
        <w:spacing w:line="360" w:lineRule="auto"/>
        <w:rPr>
          <w:sz w:val="24"/>
          <w:szCs w:val="24"/>
        </w:rPr>
      </w:pPr>
      <w:r>
        <w:rPr>
          <w:rFonts w:hint="eastAsia"/>
          <w:sz w:val="24"/>
          <w:szCs w:val="24"/>
        </w:rPr>
        <w:t>3、投标人应保证所供货物的先进性、可靠性、经济性和实用性，并为全新货物（或设备）。</w:t>
      </w:r>
    </w:p>
    <w:p w14:paraId="4F1DA8AC">
      <w:pPr>
        <w:spacing w:line="360" w:lineRule="auto"/>
        <w:rPr>
          <w:sz w:val="24"/>
          <w:szCs w:val="24"/>
        </w:rPr>
      </w:pPr>
      <w:r>
        <w:rPr>
          <w:rFonts w:hint="eastAsia"/>
          <w:sz w:val="24"/>
          <w:szCs w:val="24"/>
        </w:rPr>
        <w:t>4、投标人应满足招标人提出的各项技术要求，必要时应当免费提供技术承诺或担保。</w:t>
      </w:r>
    </w:p>
    <w:p w14:paraId="35F01E4D">
      <w:pPr>
        <w:spacing w:line="360" w:lineRule="auto"/>
        <w:rPr>
          <w:sz w:val="24"/>
          <w:szCs w:val="24"/>
        </w:rPr>
      </w:pPr>
      <w:r>
        <w:rPr>
          <w:rFonts w:hint="eastAsia"/>
          <w:sz w:val="24"/>
          <w:szCs w:val="24"/>
        </w:rPr>
        <w:t>5、投标人应保证所供货物（或设备）为中国政府指定或规定的主管部门公布的非淘汰货物（或设备）。</w:t>
      </w:r>
    </w:p>
    <w:p w14:paraId="30D23130">
      <w:pPr>
        <w:spacing w:line="360" w:lineRule="auto"/>
        <w:rPr>
          <w:sz w:val="24"/>
          <w:szCs w:val="24"/>
        </w:rPr>
      </w:pPr>
      <w:r>
        <w:rPr>
          <w:rFonts w:hint="eastAsia"/>
          <w:sz w:val="24"/>
          <w:szCs w:val="24"/>
        </w:rPr>
        <w:t>6、投标人应保证所供货物的完整性和成套性，能保证货物的正常运行、使用。所提供的计量器具应附有第三方的计量检定证书或出厂检定合格证书。</w:t>
      </w:r>
    </w:p>
    <w:p w14:paraId="660758FC">
      <w:pPr>
        <w:spacing w:line="360" w:lineRule="auto"/>
        <w:rPr>
          <w:sz w:val="24"/>
          <w:szCs w:val="24"/>
        </w:rPr>
      </w:pPr>
      <w:r>
        <w:rPr>
          <w:rFonts w:hint="eastAsia"/>
          <w:sz w:val="24"/>
          <w:szCs w:val="24"/>
        </w:rPr>
        <w:t>7、投标人应对招标人采购的货物所涉及的技术、产能等信息负有保密义务，招标人拥有追究投标人泄密责任的权利；招标人如有需要，投标人应无条件签署保密协议。</w:t>
      </w:r>
    </w:p>
    <w:p w14:paraId="5BEC6CAC">
      <w:pPr>
        <w:spacing w:line="360" w:lineRule="auto"/>
        <w:rPr>
          <w:rFonts w:ascii="宋体"/>
          <w:sz w:val="24"/>
        </w:rPr>
      </w:pPr>
      <w:r>
        <w:rPr>
          <w:rFonts w:ascii="宋体"/>
          <w:sz w:val="24"/>
        </w:rPr>
        <w:t>8</w:t>
      </w:r>
      <w:r>
        <w:rPr>
          <w:rFonts w:hint="eastAsia" w:ascii="宋体"/>
          <w:sz w:val="24"/>
        </w:rPr>
        <w:t>、涉及的主要标准（表2）：</w:t>
      </w:r>
    </w:p>
    <w:p w14:paraId="192A397A">
      <w:pPr>
        <w:spacing w:line="360" w:lineRule="auto"/>
        <w:jc w:val="center"/>
        <w:rPr>
          <w:rFonts w:ascii="宋体"/>
          <w:sz w:val="24"/>
        </w:rPr>
      </w:pPr>
      <w:r>
        <w:rPr>
          <w:rFonts w:ascii="宋体"/>
          <w:sz w:val="24"/>
        </w:rPr>
        <w:t>表</w:t>
      </w:r>
      <w:r>
        <w:rPr>
          <w:rFonts w:hint="eastAsia" w:ascii="宋体"/>
          <w:sz w:val="24"/>
        </w:rPr>
        <w:t>2</w:t>
      </w:r>
      <w:r>
        <w:rPr>
          <w:rFonts w:ascii="宋体"/>
          <w:sz w:val="24"/>
        </w:rPr>
        <w:t xml:space="preserve">  项</w:t>
      </w:r>
      <w:r>
        <w:rPr>
          <w:rFonts w:hint="eastAsia" w:ascii="宋体"/>
          <w:sz w:val="24"/>
        </w:rPr>
        <w:t>目涉及的</w:t>
      </w:r>
      <w:r>
        <w:rPr>
          <w:rFonts w:ascii="宋体"/>
          <w:sz w:val="24"/>
        </w:rPr>
        <w:t>主</w:t>
      </w:r>
      <w:r>
        <w:rPr>
          <w:rFonts w:hint="eastAsia" w:ascii="宋体"/>
          <w:sz w:val="24"/>
        </w:rPr>
        <w:t>要标</w:t>
      </w:r>
      <w:r>
        <w:rPr>
          <w:rFonts w:ascii="宋体"/>
          <w:sz w:val="24"/>
        </w:rPr>
        <w:t>准</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2"/>
        <w:gridCol w:w="5311"/>
        <w:gridCol w:w="2203"/>
      </w:tblGrid>
      <w:tr w14:paraId="4FC36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jc w:val="center"/>
        </w:trPr>
        <w:tc>
          <w:tcPr>
            <w:tcW w:w="772" w:type="dxa"/>
          </w:tcPr>
          <w:p w14:paraId="136F1AB7">
            <w:pPr>
              <w:spacing w:before="100" w:beforeAutospacing="1" w:after="100" w:afterAutospacing="1" w:line="360" w:lineRule="auto"/>
              <w:ind w:right="-105" w:rightChars="-50"/>
              <w:jc w:val="center"/>
              <w:rPr>
                <w:rFonts w:ascii="宋体"/>
              </w:rPr>
            </w:pPr>
            <w:r>
              <w:rPr>
                <w:rFonts w:hint="eastAsia" w:ascii="宋体"/>
              </w:rPr>
              <w:t>序号</w:t>
            </w:r>
          </w:p>
        </w:tc>
        <w:tc>
          <w:tcPr>
            <w:tcW w:w="5311" w:type="dxa"/>
          </w:tcPr>
          <w:p w14:paraId="23BD0B63">
            <w:pPr>
              <w:spacing w:before="100" w:beforeAutospacing="1" w:after="100" w:afterAutospacing="1" w:line="360" w:lineRule="auto"/>
              <w:ind w:right="-105" w:rightChars="-50"/>
              <w:jc w:val="center"/>
              <w:rPr>
                <w:rFonts w:ascii="宋体"/>
              </w:rPr>
            </w:pPr>
            <w:r>
              <w:rPr>
                <w:rFonts w:hint="eastAsia" w:ascii="宋体"/>
              </w:rPr>
              <w:t>标准名称</w:t>
            </w:r>
          </w:p>
        </w:tc>
        <w:tc>
          <w:tcPr>
            <w:tcW w:w="2203" w:type="dxa"/>
          </w:tcPr>
          <w:p w14:paraId="79E8BB81">
            <w:pPr>
              <w:spacing w:before="100" w:beforeAutospacing="1" w:after="100" w:afterAutospacing="1" w:line="360" w:lineRule="auto"/>
              <w:ind w:right="-105" w:rightChars="-50"/>
              <w:jc w:val="center"/>
              <w:rPr>
                <w:rFonts w:ascii="宋体"/>
              </w:rPr>
            </w:pPr>
            <w:r>
              <w:rPr>
                <w:rFonts w:hint="eastAsia" w:ascii="宋体"/>
              </w:rPr>
              <w:t>标准编号</w:t>
            </w:r>
          </w:p>
        </w:tc>
      </w:tr>
      <w:tr w14:paraId="31BDE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8286" w:type="dxa"/>
            <w:gridSpan w:val="3"/>
          </w:tcPr>
          <w:p w14:paraId="2EC7DDBC">
            <w:pPr>
              <w:spacing w:before="100" w:beforeAutospacing="1" w:after="100" w:afterAutospacing="1" w:line="360" w:lineRule="auto"/>
              <w:ind w:right="-105" w:rightChars="-50"/>
              <w:jc w:val="center"/>
              <w:rPr>
                <w:rFonts w:ascii="宋体"/>
              </w:rPr>
            </w:pPr>
            <w:r>
              <w:rPr>
                <w:rFonts w:hint="eastAsia" w:ascii="宋体"/>
                <w:b/>
                <w:bCs/>
              </w:rPr>
              <w:t>设备应符合的安全、环保标准</w:t>
            </w:r>
          </w:p>
        </w:tc>
      </w:tr>
      <w:tr w14:paraId="72256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772" w:type="dxa"/>
            <w:vAlign w:val="center"/>
          </w:tcPr>
          <w:p w14:paraId="4E81F555">
            <w:pPr>
              <w:spacing w:before="100" w:beforeAutospacing="1" w:after="100" w:afterAutospacing="1" w:line="360" w:lineRule="auto"/>
              <w:ind w:right="-105" w:rightChars="-50"/>
              <w:jc w:val="center"/>
              <w:rPr>
                <w:rFonts w:ascii="宋体"/>
              </w:rPr>
            </w:pPr>
            <w:r>
              <w:rPr>
                <w:rFonts w:hint="eastAsia" w:ascii="宋体"/>
              </w:rPr>
              <w:t>1</w:t>
            </w:r>
          </w:p>
        </w:tc>
        <w:tc>
          <w:tcPr>
            <w:tcW w:w="5311" w:type="dxa"/>
            <w:vAlign w:val="center"/>
          </w:tcPr>
          <w:p w14:paraId="0A617F39">
            <w:pPr>
              <w:spacing w:before="100" w:beforeAutospacing="1" w:after="100" w:afterAutospacing="1" w:line="360" w:lineRule="auto"/>
              <w:ind w:right="-105" w:rightChars="-50"/>
              <w:jc w:val="center"/>
              <w:rPr>
                <w:rFonts w:ascii="宋体"/>
              </w:rPr>
            </w:pPr>
            <w:r>
              <w:rPr>
                <w:rFonts w:hint="eastAsia" w:ascii="宋体"/>
              </w:rPr>
              <w:t>通风机安全标准</w:t>
            </w:r>
          </w:p>
        </w:tc>
        <w:tc>
          <w:tcPr>
            <w:tcW w:w="2203" w:type="dxa"/>
            <w:vAlign w:val="center"/>
          </w:tcPr>
          <w:p w14:paraId="332B2E97">
            <w:pPr>
              <w:spacing w:before="100" w:beforeAutospacing="1" w:after="100" w:afterAutospacing="1" w:line="360" w:lineRule="auto"/>
              <w:ind w:right="-105" w:rightChars="-50"/>
              <w:jc w:val="center"/>
              <w:rPr>
                <w:rFonts w:ascii="宋体"/>
              </w:rPr>
            </w:pPr>
            <w:r>
              <w:rPr>
                <w:rFonts w:hint="eastAsia" w:ascii="宋体"/>
              </w:rPr>
              <w:t>GB10080</w:t>
            </w:r>
          </w:p>
        </w:tc>
      </w:tr>
      <w:tr w14:paraId="327B7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772" w:type="dxa"/>
            <w:vAlign w:val="center"/>
          </w:tcPr>
          <w:p w14:paraId="0125350E">
            <w:pPr>
              <w:spacing w:before="100" w:beforeAutospacing="1" w:after="100" w:afterAutospacing="1" w:line="360" w:lineRule="auto"/>
              <w:ind w:right="-105" w:rightChars="-50"/>
              <w:jc w:val="center"/>
              <w:rPr>
                <w:rFonts w:ascii="宋体"/>
              </w:rPr>
            </w:pPr>
            <w:r>
              <w:rPr>
                <w:rFonts w:hint="eastAsia" w:ascii="宋体"/>
              </w:rPr>
              <w:t>2</w:t>
            </w:r>
          </w:p>
        </w:tc>
        <w:tc>
          <w:tcPr>
            <w:tcW w:w="5311" w:type="dxa"/>
            <w:vAlign w:val="center"/>
          </w:tcPr>
          <w:p w14:paraId="7675B446">
            <w:pPr>
              <w:spacing w:before="100" w:beforeAutospacing="1" w:after="100" w:afterAutospacing="1" w:line="360" w:lineRule="auto"/>
              <w:ind w:right="-105" w:rightChars="-50"/>
              <w:jc w:val="center"/>
              <w:rPr>
                <w:rFonts w:ascii="宋体"/>
              </w:rPr>
            </w:pPr>
            <w:r>
              <w:rPr>
                <w:rFonts w:hint="eastAsia" w:ascii="宋体"/>
              </w:rPr>
              <w:t>建筑设计与防火规范</w:t>
            </w:r>
          </w:p>
        </w:tc>
        <w:tc>
          <w:tcPr>
            <w:tcW w:w="2203" w:type="dxa"/>
            <w:vAlign w:val="center"/>
          </w:tcPr>
          <w:p w14:paraId="6B493F60">
            <w:pPr>
              <w:spacing w:before="100" w:beforeAutospacing="1" w:after="100" w:afterAutospacing="1" w:line="360" w:lineRule="auto"/>
              <w:ind w:right="-105" w:rightChars="-50"/>
              <w:jc w:val="center"/>
              <w:rPr>
                <w:rFonts w:ascii="宋体"/>
              </w:rPr>
            </w:pPr>
            <w:r>
              <w:rPr>
                <w:rFonts w:ascii="宋体"/>
              </w:rPr>
              <w:t>GB50016</w:t>
            </w:r>
          </w:p>
        </w:tc>
      </w:tr>
      <w:tr w14:paraId="08023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772" w:type="dxa"/>
            <w:vAlign w:val="center"/>
          </w:tcPr>
          <w:p w14:paraId="0566720D">
            <w:pPr>
              <w:spacing w:before="100" w:beforeAutospacing="1" w:after="100" w:afterAutospacing="1" w:line="360" w:lineRule="auto"/>
              <w:ind w:right="-105" w:rightChars="-50"/>
              <w:jc w:val="center"/>
              <w:rPr>
                <w:rFonts w:ascii="宋体"/>
              </w:rPr>
            </w:pPr>
            <w:r>
              <w:rPr>
                <w:rFonts w:hint="eastAsia" w:ascii="宋体"/>
              </w:rPr>
              <w:t>3</w:t>
            </w:r>
          </w:p>
        </w:tc>
        <w:tc>
          <w:tcPr>
            <w:tcW w:w="5311" w:type="dxa"/>
          </w:tcPr>
          <w:p w14:paraId="1DC91B9E">
            <w:pPr>
              <w:spacing w:before="100" w:beforeAutospacing="1" w:after="100" w:afterAutospacing="1" w:line="360" w:lineRule="auto"/>
              <w:ind w:right="-105" w:rightChars="-50"/>
              <w:jc w:val="center"/>
              <w:rPr>
                <w:rFonts w:ascii="宋体"/>
              </w:rPr>
            </w:pPr>
            <w:r>
              <w:rPr>
                <w:rFonts w:hint="eastAsia" w:ascii="宋体"/>
              </w:rPr>
              <w:t>机械制造系统设计和制造</w:t>
            </w:r>
          </w:p>
        </w:tc>
        <w:tc>
          <w:tcPr>
            <w:tcW w:w="2203" w:type="dxa"/>
            <w:vAlign w:val="center"/>
          </w:tcPr>
          <w:p w14:paraId="2EC94C46">
            <w:pPr>
              <w:spacing w:before="100" w:beforeAutospacing="1" w:after="100" w:afterAutospacing="1" w:line="360" w:lineRule="auto"/>
              <w:ind w:right="-105" w:rightChars="-50"/>
              <w:jc w:val="center"/>
              <w:rPr>
                <w:rFonts w:ascii="宋体"/>
              </w:rPr>
            </w:pPr>
            <w:r>
              <w:rPr>
                <w:rFonts w:hint="eastAsia" w:ascii="宋体"/>
              </w:rPr>
              <w:t>遵循GB9061</w:t>
            </w:r>
          </w:p>
        </w:tc>
      </w:tr>
      <w:tr w14:paraId="5C21C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772" w:type="dxa"/>
            <w:vAlign w:val="center"/>
          </w:tcPr>
          <w:p w14:paraId="6DEFE2D5">
            <w:pPr>
              <w:spacing w:before="100" w:beforeAutospacing="1" w:after="100" w:afterAutospacing="1" w:line="360" w:lineRule="auto"/>
              <w:ind w:right="-105" w:rightChars="-50"/>
              <w:jc w:val="center"/>
              <w:rPr>
                <w:rFonts w:ascii="宋体"/>
              </w:rPr>
            </w:pPr>
            <w:r>
              <w:rPr>
                <w:rFonts w:hint="eastAsia" w:ascii="宋体"/>
              </w:rPr>
              <w:t>4</w:t>
            </w:r>
          </w:p>
        </w:tc>
        <w:tc>
          <w:tcPr>
            <w:tcW w:w="5311" w:type="dxa"/>
          </w:tcPr>
          <w:p w14:paraId="4E92EF01">
            <w:pPr>
              <w:spacing w:before="100" w:beforeAutospacing="1" w:after="100" w:afterAutospacing="1" w:line="360" w:lineRule="auto"/>
              <w:ind w:right="-105" w:rightChars="-50"/>
              <w:jc w:val="center"/>
              <w:rPr>
                <w:rFonts w:ascii="宋体"/>
              </w:rPr>
            </w:pPr>
            <w:r>
              <w:rPr>
                <w:rFonts w:hint="eastAsia" w:ascii="宋体"/>
              </w:rPr>
              <w:t>气动系统按设计和制造</w:t>
            </w:r>
          </w:p>
        </w:tc>
        <w:tc>
          <w:tcPr>
            <w:tcW w:w="2203" w:type="dxa"/>
            <w:vAlign w:val="center"/>
          </w:tcPr>
          <w:p w14:paraId="1D8FB083">
            <w:pPr>
              <w:spacing w:before="100" w:beforeAutospacing="1" w:after="100" w:afterAutospacing="1" w:line="360" w:lineRule="auto"/>
              <w:ind w:right="-105" w:rightChars="-50"/>
              <w:jc w:val="center"/>
              <w:rPr>
                <w:rFonts w:ascii="宋体"/>
              </w:rPr>
            </w:pPr>
            <w:r>
              <w:rPr>
                <w:rFonts w:hint="eastAsia" w:ascii="宋体"/>
              </w:rPr>
              <w:t>遵循GB7932</w:t>
            </w:r>
          </w:p>
        </w:tc>
      </w:tr>
      <w:tr w14:paraId="650BD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772" w:type="dxa"/>
            <w:vAlign w:val="center"/>
          </w:tcPr>
          <w:p w14:paraId="6632FAD5">
            <w:pPr>
              <w:spacing w:before="100" w:beforeAutospacing="1" w:after="100" w:afterAutospacing="1" w:line="360" w:lineRule="auto"/>
              <w:ind w:right="-105" w:rightChars="-50"/>
              <w:jc w:val="center"/>
              <w:rPr>
                <w:rFonts w:ascii="宋体"/>
              </w:rPr>
            </w:pPr>
            <w:r>
              <w:rPr>
                <w:rFonts w:hint="eastAsia" w:ascii="宋体"/>
              </w:rPr>
              <w:t>5</w:t>
            </w:r>
          </w:p>
        </w:tc>
        <w:tc>
          <w:tcPr>
            <w:tcW w:w="5311" w:type="dxa"/>
          </w:tcPr>
          <w:p w14:paraId="0FBE0F92">
            <w:pPr>
              <w:spacing w:before="100" w:beforeAutospacing="1" w:after="100" w:afterAutospacing="1" w:line="360" w:lineRule="auto"/>
              <w:ind w:right="-105" w:rightChars="-50"/>
              <w:jc w:val="center"/>
              <w:rPr>
                <w:rFonts w:ascii="宋体"/>
              </w:rPr>
            </w:pPr>
            <w:r>
              <w:rPr>
                <w:rFonts w:hint="eastAsia" w:ascii="宋体"/>
              </w:rPr>
              <w:t>液压系统按设计和制造</w:t>
            </w:r>
          </w:p>
        </w:tc>
        <w:tc>
          <w:tcPr>
            <w:tcW w:w="2203" w:type="dxa"/>
            <w:vAlign w:val="center"/>
          </w:tcPr>
          <w:p w14:paraId="63729B5F">
            <w:pPr>
              <w:spacing w:before="100" w:beforeAutospacing="1" w:after="100" w:afterAutospacing="1" w:line="360" w:lineRule="auto"/>
              <w:ind w:right="-105" w:rightChars="-50"/>
              <w:jc w:val="center"/>
              <w:rPr>
                <w:rFonts w:ascii="宋体"/>
              </w:rPr>
            </w:pPr>
            <w:r>
              <w:rPr>
                <w:rFonts w:hint="eastAsia" w:ascii="宋体"/>
              </w:rPr>
              <w:t>遵循GB3766</w:t>
            </w:r>
          </w:p>
        </w:tc>
      </w:tr>
      <w:tr w14:paraId="62DDB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772" w:type="dxa"/>
            <w:vAlign w:val="center"/>
          </w:tcPr>
          <w:p w14:paraId="036C1D3A">
            <w:pPr>
              <w:spacing w:before="100" w:beforeAutospacing="1" w:after="100" w:afterAutospacing="1" w:line="360" w:lineRule="auto"/>
              <w:ind w:right="-105" w:rightChars="-50"/>
              <w:jc w:val="center"/>
              <w:rPr>
                <w:rFonts w:ascii="宋体"/>
              </w:rPr>
            </w:pPr>
            <w:r>
              <w:rPr>
                <w:rFonts w:hint="eastAsia" w:ascii="宋体"/>
              </w:rPr>
              <w:t>6</w:t>
            </w:r>
          </w:p>
        </w:tc>
        <w:tc>
          <w:tcPr>
            <w:tcW w:w="5311" w:type="dxa"/>
          </w:tcPr>
          <w:p w14:paraId="1FA81E97">
            <w:pPr>
              <w:spacing w:before="100" w:beforeAutospacing="1" w:after="100" w:afterAutospacing="1" w:line="360" w:lineRule="auto"/>
              <w:ind w:right="-105" w:rightChars="-50"/>
              <w:jc w:val="center"/>
              <w:rPr>
                <w:rFonts w:ascii="宋体"/>
              </w:rPr>
            </w:pPr>
            <w:r>
              <w:rPr>
                <w:rFonts w:hint="eastAsia" w:ascii="宋体"/>
              </w:rPr>
              <w:t>电气系统按设计和制造</w:t>
            </w:r>
          </w:p>
        </w:tc>
        <w:tc>
          <w:tcPr>
            <w:tcW w:w="2203" w:type="dxa"/>
            <w:vAlign w:val="center"/>
          </w:tcPr>
          <w:p w14:paraId="7CEE4A67">
            <w:pPr>
              <w:spacing w:before="100" w:beforeAutospacing="1" w:after="100" w:afterAutospacing="1" w:line="360" w:lineRule="auto"/>
              <w:ind w:right="-105" w:rightChars="-50"/>
              <w:jc w:val="center"/>
              <w:rPr>
                <w:rFonts w:ascii="宋体"/>
              </w:rPr>
            </w:pPr>
            <w:r>
              <w:rPr>
                <w:rFonts w:hint="eastAsia" w:ascii="宋体"/>
              </w:rPr>
              <w:t>遵循GB5226</w:t>
            </w:r>
          </w:p>
        </w:tc>
      </w:tr>
      <w:tr w14:paraId="43BFB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772" w:type="dxa"/>
            <w:vAlign w:val="center"/>
          </w:tcPr>
          <w:p w14:paraId="47DBFE86">
            <w:pPr>
              <w:spacing w:before="100" w:beforeAutospacing="1" w:after="100" w:afterAutospacing="1" w:line="360" w:lineRule="auto"/>
              <w:ind w:right="-105" w:rightChars="-50"/>
              <w:jc w:val="center"/>
              <w:rPr>
                <w:rFonts w:ascii="宋体"/>
              </w:rPr>
            </w:pPr>
            <w:r>
              <w:rPr>
                <w:rFonts w:hint="eastAsia" w:ascii="宋体"/>
              </w:rPr>
              <w:t>7</w:t>
            </w:r>
          </w:p>
        </w:tc>
        <w:tc>
          <w:tcPr>
            <w:tcW w:w="5311" w:type="dxa"/>
          </w:tcPr>
          <w:p w14:paraId="126DF6A1">
            <w:pPr>
              <w:spacing w:before="100" w:beforeAutospacing="1" w:after="100" w:afterAutospacing="1" w:line="360" w:lineRule="auto"/>
              <w:ind w:right="-105" w:rightChars="-50"/>
              <w:jc w:val="center"/>
              <w:rPr>
                <w:rFonts w:ascii="宋体"/>
              </w:rPr>
            </w:pPr>
            <w:r>
              <w:rPr>
                <w:rFonts w:hint="eastAsia" w:ascii="宋体"/>
              </w:rPr>
              <w:t>低压配电设计规范</w:t>
            </w:r>
          </w:p>
        </w:tc>
        <w:tc>
          <w:tcPr>
            <w:tcW w:w="2203" w:type="dxa"/>
            <w:vAlign w:val="center"/>
          </w:tcPr>
          <w:p w14:paraId="279D538C">
            <w:pPr>
              <w:spacing w:before="100" w:beforeAutospacing="1" w:after="100" w:afterAutospacing="1" w:line="360" w:lineRule="auto"/>
              <w:ind w:right="-105" w:rightChars="-50"/>
              <w:jc w:val="center"/>
              <w:rPr>
                <w:rFonts w:ascii="宋体"/>
              </w:rPr>
            </w:pPr>
            <w:r>
              <w:rPr>
                <w:rFonts w:hint="eastAsia" w:ascii="宋体"/>
              </w:rPr>
              <w:t>G</w:t>
            </w:r>
            <w:r>
              <w:rPr>
                <w:rFonts w:ascii="宋体"/>
              </w:rPr>
              <w:t>B50054</w:t>
            </w:r>
          </w:p>
        </w:tc>
      </w:tr>
      <w:tr w14:paraId="5DCBD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8286" w:type="dxa"/>
            <w:gridSpan w:val="3"/>
            <w:vAlign w:val="center"/>
          </w:tcPr>
          <w:p w14:paraId="19543284">
            <w:pPr>
              <w:spacing w:before="100" w:beforeAutospacing="1" w:after="100" w:afterAutospacing="1" w:line="360" w:lineRule="auto"/>
              <w:ind w:right="-105" w:rightChars="-50"/>
              <w:jc w:val="center"/>
              <w:rPr>
                <w:rFonts w:ascii="宋体"/>
              </w:rPr>
            </w:pPr>
            <w:r>
              <w:rPr>
                <w:rFonts w:hint="eastAsia" w:ascii="宋体"/>
                <w:b/>
                <w:bCs/>
              </w:rPr>
              <w:t>设备使用时应符合的环境噪声标准</w:t>
            </w:r>
          </w:p>
        </w:tc>
      </w:tr>
      <w:tr w14:paraId="38BA2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772" w:type="dxa"/>
            <w:vAlign w:val="center"/>
          </w:tcPr>
          <w:p w14:paraId="44AFD31C">
            <w:pPr>
              <w:spacing w:before="100" w:beforeAutospacing="1" w:after="100" w:afterAutospacing="1" w:line="360" w:lineRule="auto"/>
              <w:ind w:right="-105" w:rightChars="-50"/>
              <w:jc w:val="center"/>
              <w:rPr>
                <w:rFonts w:ascii="宋体"/>
                <w:bCs/>
              </w:rPr>
            </w:pPr>
            <w:r>
              <w:rPr>
                <w:rFonts w:hint="eastAsia" w:ascii="宋体"/>
                <w:bCs/>
              </w:rPr>
              <w:t>1</w:t>
            </w:r>
          </w:p>
        </w:tc>
        <w:tc>
          <w:tcPr>
            <w:tcW w:w="5311" w:type="dxa"/>
            <w:vAlign w:val="center"/>
          </w:tcPr>
          <w:p w14:paraId="6E442F0B">
            <w:pPr>
              <w:spacing w:before="100" w:beforeAutospacing="1" w:after="100" w:afterAutospacing="1" w:line="360" w:lineRule="auto"/>
              <w:ind w:right="-105" w:rightChars="-50"/>
              <w:jc w:val="center"/>
              <w:rPr>
                <w:rFonts w:ascii="宋体"/>
                <w:bCs/>
              </w:rPr>
            </w:pPr>
            <w:r>
              <w:rPr>
                <w:rFonts w:hint="eastAsia" w:ascii="宋体"/>
                <w:bCs/>
              </w:rPr>
              <w:t>声环境质量标准</w:t>
            </w:r>
          </w:p>
        </w:tc>
        <w:tc>
          <w:tcPr>
            <w:tcW w:w="2203" w:type="dxa"/>
            <w:vAlign w:val="center"/>
          </w:tcPr>
          <w:p w14:paraId="10A2585E">
            <w:pPr>
              <w:spacing w:before="100" w:beforeAutospacing="1" w:after="100" w:afterAutospacing="1" w:line="360" w:lineRule="auto"/>
              <w:ind w:right="-105" w:rightChars="-50"/>
              <w:jc w:val="center"/>
              <w:rPr>
                <w:rFonts w:ascii="宋体"/>
                <w:bCs/>
              </w:rPr>
            </w:pPr>
            <w:r>
              <w:rPr>
                <w:rFonts w:hint="eastAsia" w:ascii="宋体"/>
                <w:bCs/>
              </w:rPr>
              <w:t>GB3096</w:t>
            </w:r>
          </w:p>
        </w:tc>
      </w:tr>
      <w:tr w14:paraId="08A20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772" w:type="dxa"/>
            <w:vAlign w:val="center"/>
          </w:tcPr>
          <w:p w14:paraId="0AB8BB06">
            <w:pPr>
              <w:spacing w:before="100" w:beforeAutospacing="1" w:after="100" w:afterAutospacing="1" w:line="360" w:lineRule="auto"/>
              <w:ind w:right="-105" w:rightChars="-50"/>
              <w:jc w:val="center"/>
              <w:rPr>
                <w:rFonts w:ascii="宋体"/>
                <w:bCs/>
              </w:rPr>
            </w:pPr>
            <w:r>
              <w:rPr>
                <w:rFonts w:hint="eastAsia" w:ascii="宋体"/>
                <w:bCs/>
              </w:rPr>
              <w:t>2</w:t>
            </w:r>
          </w:p>
        </w:tc>
        <w:tc>
          <w:tcPr>
            <w:tcW w:w="5311" w:type="dxa"/>
            <w:vAlign w:val="center"/>
          </w:tcPr>
          <w:p w14:paraId="14ABFC66">
            <w:pPr>
              <w:spacing w:before="100" w:beforeAutospacing="1" w:after="100" w:afterAutospacing="1" w:line="360" w:lineRule="auto"/>
              <w:ind w:right="-105" w:rightChars="-50"/>
              <w:jc w:val="center"/>
              <w:rPr>
                <w:rFonts w:ascii="宋体"/>
                <w:bCs/>
              </w:rPr>
            </w:pPr>
            <w:r>
              <w:rPr>
                <w:rFonts w:hint="eastAsia" w:ascii="宋体"/>
                <w:bCs/>
              </w:rPr>
              <w:t>工业企业厂界环境噪声排放标准</w:t>
            </w:r>
          </w:p>
        </w:tc>
        <w:tc>
          <w:tcPr>
            <w:tcW w:w="2203" w:type="dxa"/>
            <w:vAlign w:val="center"/>
          </w:tcPr>
          <w:p w14:paraId="07746A26">
            <w:pPr>
              <w:spacing w:before="100" w:beforeAutospacing="1" w:after="100" w:afterAutospacing="1" w:line="360" w:lineRule="auto"/>
              <w:ind w:right="-105" w:rightChars="-50"/>
              <w:jc w:val="center"/>
              <w:rPr>
                <w:rFonts w:ascii="宋体"/>
                <w:bCs/>
              </w:rPr>
            </w:pPr>
            <w:r>
              <w:rPr>
                <w:rFonts w:hint="eastAsia" w:ascii="宋体"/>
                <w:bCs/>
              </w:rPr>
              <w:t>GB12348</w:t>
            </w:r>
          </w:p>
        </w:tc>
      </w:tr>
      <w:tr w14:paraId="2D265A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8286" w:type="dxa"/>
            <w:gridSpan w:val="3"/>
            <w:vAlign w:val="center"/>
          </w:tcPr>
          <w:p w14:paraId="0011FD4D">
            <w:pPr>
              <w:spacing w:before="100" w:beforeAutospacing="1" w:after="100" w:afterAutospacing="1" w:line="360" w:lineRule="auto"/>
              <w:ind w:right="-105" w:rightChars="-50"/>
              <w:jc w:val="center"/>
              <w:rPr>
                <w:rFonts w:ascii="宋体"/>
              </w:rPr>
            </w:pPr>
            <w:r>
              <w:rPr>
                <w:rFonts w:hint="eastAsia" w:ascii="宋体"/>
                <w:b/>
                <w:bCs/>
              </w:rPr>
              <w:t>台架测试相关标准</w:t>
            </w:r>
          </w:p>
        </w:tc>
      </w:tr>
      <w:tr w14:paraId="404F7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772" w:type="dxa"/>
            <w:vAlign w:val="center"/>
          </w:tcPr>
          <w:p w14:paraId="0C4B887E">
            <w:pPr>
              <w:spacing w:before="100" w:beforeAutospacing="1" w:after="100" w:afterAutospacing="1" w:line="360" w:lineRule="auto"/>
              <w:ind w:right="-105" w:rightChars="-50"/>
              <w:jc w:val="center"/>
              <w:rPr>
                <w:rFonts w:ascii="宋体"/>
              </w:rPr>
            </w:pPr>
            <w:r>
              <w:rPr>
                <w:rFonts w:hint="eastAsia" w:ascii="宋体"/>
              </w:rPr>
              <w:t>1</w:t>
            </w:r>
          </w:p>
        </w:tc>
        <w:tc>
          <w:tcPr>
            <w:tcW w:w="5311" w:type="dxa"/>
            <w:vAlign w:val="center"/>
          </w:tcPr>
          <w:p w14:paraId="35BB526C">
            <w:pPr>
              <w:spacing w:before="100" w:beforeAutospacing="1" w:after="100" w:afterAutospacing="1" w:line="360" w:lineRule="auto"/>
              <w:ind w:right="-105" w:rightChars="-50"/>
              <w:jc w:val="center"/>
              <w:rPr>
                <w:rFonts w:ascii="宋体"/>
              </w:rPr>
            </w:pPr>
            <w:r>
              <w:rPr>
                <w:rFonts w:hint="eastAsia" w:ascii="宋体"/>
              </w:rPr>
              <w:t>汽车发动机性能、功率试验方法和用户自定义试验循环</w:t>
            </w:r>
          </w:p>
        </w:tc>
        <w:tc>
          <w:tcPr>
            <w:tcW w:w="2203" w:type="dxa"/>
            <w:vAlign w:val="center"/>
          </w:tcPr>
          <w:p w14:paraId="16F3D12F">
            <w:pPr>
              <w:jc w:val="center"/>
              <w:rPr>
                <w:rFonts w:ascii="宋体"/>
              </w:rPr>
            </w:pPr>
            <w:r>
              <w:rPr>
                <w:rFonts w:hint="eastAsia" w:ascii="宋体"/>
              </w:rPr>
              <w:t>GB/T 18297</w:t>
            </w:r>
          </w:p>
        </w:tc>
      </w:tr>
      <w:tr w14:paraId="7D693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9" w:hRule="atLeast"/>
          <w:jc w:val="center"/>
        </w:trPr>
        <w:tc>
          <w:tcPr>
            <w:tcW w:w="772" w:type="dxa"/>
            <w:vAlign w:val="center"/>
          </w:tcPr>
          <w:p w14:paraId="7256366D">
            <w:pPr>
              <w:spacing w:before="100" w:beforeAutospacing="1" w:after="100" w:afterAutospacing="1" w:line="360" w:lineRule="auto"/>
              <w:ind w:right="-105" w:rightChars="-50"/>
              <w:jc w:val="center"/>
              <w:rPr>
                <w:rFonts w:ascii="宋体"/>
              </w:rPr>
            </w:pPr>
            <w:r>
              <w:rPr>
                <w:rFonts w:hint="eastAsia" w:ascii="宋体"/>
              </w:rPr>
              <w:t>2</w:t>
            </w:r>
          </w:p>
        </w:tc>
        <w:tc>
          <w:tcPr>
            <w:tcW w:w="5311" w:type="dxa"/>
            <w:vAlign w:val="center"/>
          </w:tcPr>
          <w:p w14:paraId="3A98FFE1">
            <w:pPr>
              <w:spacing w:before="100" w:beforeAutospacing="1" w:after="100" w:afterAutospacing="1" w:line="360" w:lineRule="auto"/>
              <w:ind w:right="-105" w:rightChars="-50"/>
              <w:jc w:val="center"/>
              <w:rPr>
                <w:rFonts w:ascii="宋体"/>
              </w:rPr>
            </w:pPr>
            <w:r>
              <w:rPr>
                <w:rFonts w:hint="eastAsia" w:ascii="宋体"/>
              </w:rPr>
              <w:t>往复式内燃机 性能 第1部分：功率、燃料消耗和机油消耗的标定及试验方法 通用发动机的附加要求</w:t>
            </w:r>
          </w:p>
        </w:tc>
        <w:tc>
          <w:tcPr>
            <w:tcW w:w="2203" w:type="dxa"/>
            <w:vAlign w:val="center"/>
          </w:tcPr>
          <w:p w14:paraId="513688AF">
            <w:pPr>
              <w:spacing w:before="100" w:beforeAutospacing="1" w:after="100" w:afterAutospacing="1" w:line="360" w:lineRule="auto"/>
              <w:ind w:right="-105" w:rightChars="-50"/>
              <w:jc w:val="center"/>
              <w:rPr>
                <w:rFonts w:ascii="宋体"/>
              </w:rPr>
            </w:pPr>
            <w:r>
              <w:rPr>
                <w:rFonts w:hint="eastAsia" w:ascii="宋体"/>
              </w:rPr>
              <w:t>GB/T 6072.1</w:t>
            </w:r>
          </w:p>
        </w:tc>
      </w:tr>
      <w:tr w14:paraId="1E144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772" w:type="dxa"/>
            <w:vAlign w:val="center"/>
          </w:tcPr>
          <w:p w14:paraId="4EE91CA9">
            <w:pPr>
              <w:spacing w:before="100" w:beforeAutospacing="1" w:after="100" w:afterAutospacing="1" w:line="360" w:lineRule="auto"/>
              <w:ind w:right="-105" w:rightChars="-50"/>
              <w:jc w:val="center"/>
              <w:rPr>
                <w:rFonts w:ascii="宋体"/>
              </w:rPr>
            </w:pPr>
            <w:r>
              <w:rPr>
                <w:rFonts w:hint="eastAsia" w:ascii="宋体"/>
              </w:rPr>
              <w:t>3</w:t>
            </w:r>
          </w:p>
        </w:tc>
        <w:tc>
          <w:tcPr>
            <w:tcW w:w="5311" w:type="dxa"/>
            <w:vAlign w:val="center"/>
          </w:tcPr>
          <w:p w14:paraId="1ED0D954">
            <w:pPr>
              <w:spacing w:before="100" w:beforeAutospacing="1" w:after="100" w:afterAutospacing="1" w:line="360" w:lineRule="auto"/>
              <w:ind w:right="-105" w:rightChars="-50"/>
              <w:jc w:val="center"/>
              <w:rPr>
                <w:rFonts w:ascii="宋体"/>
              </w:rPr>
            </w:pPr>
            <w:r>
              <w:rPr>
                <w:rFonts w:hint="eastAsia" w:ascii="宋体"/>
              </w:rPr>
              <w:t>汽车发动机可靠性试验方法</w:t>
            </w:r>
          </w:p>
        </w:tc>
        <w:tc>
          <w:tcPr>
            <w:tcW w:w="2203" w:type="dxa"/>
            <w:vAlign w:val="center"/>
          </w:tcPr>
          <w:p w14:paraId="48A25C99">
            <w:pPr>
              <w:spacing w:before="100" w:beforeAutospacing="1" w:after="100" w:afterAutospacing="1" w:line="360" w:lineRule="auto"/>
              <w:ind w:right="-105" w:rightChars="-50"/>
              <w:jc w:val="center"/>
              <w:rPr>
                <w:rFonts w:ascii="宋体"/>
              </w:rPr>
            </w:pPr>
            <w:r>
              <w:rPr>
                <w:rFonts w:hint="eastAsia" w:ascii="宋体"/>
              </w:rPr>
              <w:t>GB/T 19055</w:t>
            </w:r>
          </w:p>
        </w:tc>
      </w:tr>
      <w:tr w14:paraId="5B1E5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jc w:val="center"/>
        </w:trPr>
        <w:tc>
          <w:tcPr>
            <w:tcW w:w="772" w:type="dxa"/>
            <w:vAlign w:val="center"/>
          </w:tcPr>
          <w:p w14:paraId="0B29FC13">
            <w:pPr>
              <w:spacing w:before="100" w:beforeAutospacing="1" w:after="100" w:afterAutospacing="1" w:line="360" w:lineRule="auto"/>
              <w:ind w:right="-105" w:rightChars="-50"/>
              <w:jc w:val="center"/>
              <w:rPr>
                <w:rFonts w:ascii="宋体"/>
              </w:rPr>
            </w:pPr>
            <w:r>
              <w:rPr>
                <w:rFonts w:hint="eastAsia" w:ascii="宋体"/>
              </w:rPr>
              <w:t>4</w:t>
            </w:r>
          </w:p>
        </w:tc>
        <w:tc>
          <w:tcPr>
            <w:tcW w:w="5311" w:type="dxa"/>
            <w:vAlign w:val="center"/>
          </w:tcPr>
          <w:p w14:paraId="32E82335">
            <w:pPr>
              <w:spacing w:before="100" w:beforeAutospacing="1" w:after="100" w:afterAutospacing="1" w:line="360" w:lineRule="auto"/>
              <w:ind w:right="-105" w:rightChars="-50"/>
              <w:jc w:val="center"/>
              <w:rPr>
                <w:rFonts w:ascii="宋体"/>
              </w:rPr>
            </w:pPr>
            <w:r>
              <w:rPr>
                <w:rFonts w:hint="eastAsia" w:ascii="宋体"/>
              </w:rPr>
              <w:t>内燃机 发动机功率的确定和测量方法 一般要求</w:t>
            </w:r>
          </w:p>
        </w:tc>
        <w:tc>
          <w:tcPr>
            <w:tcW w:w="2203" w:type="dxa"/>
            <w:vAlign w:val="center"/>
          </w:tcPr>
          <w:p w14:paraId="42B0E221">
            <w:pPr>
              <w:spacing w:before="100" w:beforeAutospacing="1" w:after="100" w:afterAutospacing="1" w:line="360" w:lineRule="auto"/>
              <w:ind w:right="-105" w:rightChars="-50"/>
              <w:jc w:val="center"/>
              <w:rPr>
                <w:rFonts w:ascii="宋体"/>
              </w:rPr>
            </w:pPr>
            <w:r>
              <w:rPr>
                <w:rFonts w:hint="eastAsia" w:ascii="宋体"/>
              </w:rPr>
              <w:t>GB/T 21404</w:t>
            </w:r>
          </w:p>
        </w:tc>
      </w:tr>
      <w:tr w14:paraId="3720B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772" w:type="dxa"/>
            <w:vAlign w:val="center"/>
          </w:tcPr>
          <w:p w14:paraId="1B355D22">
            <w:pPr>
              <w:spacing w:before="100" w:beforeAutospacing="1" w:after="100" w:afterAutospacing="1" w:line="360" w:lineRule="auto"/>
              <w:ind w:right="-105" w:rightChars="-50"/>
              <w:jc w:val="center"/>
              <w:rPr>
                <w:rFonts w:ascii="宋体"/>
              </w:rPr>
            </w:pPr>
            <w:r>
              <w:rPr>
                <w:rFonts w:hint="eastAsia" w:ascii="宋体"/>
              </w:rPr>
              <w:t>5</w:t>
            </w:r>
          </w:p>
        </w:tc>
        <w:tc>
          <w:tcPr>
            <w:tcW w:w="5311" w:type="dxa"/>
            <w:vAlign w:val="center"/>
          </w:tcPr>
          <w:p w14:paraId="65C1966A">
            <w:pPr>
              <w:spacing w:before="100" w:beforeAutospacing="1" w:after="100" w:afterAutospacing="1" w:line="360" w:lineRule="auto"/>
              <w:ind w:right="-105" w:rightChars="-50"/>
              <w:jc w:val="center"/>
              <w:rPr>
                <w:rFonts w:ascii="宋体"/>
              </w:rPr>
            </w:pPr>
            <w:r>
              <w:rPr>
                <w:rFonts w:hint="eastAsia" w:ascii="宋体"/>
              </w:rPr>
              <w:t>往复式内燃机 性能 第3部分：试验测量</w:t>
            </w:r>
          </w:p>
        </w:tc>
        <w:tc>
          <w:tcPr>
            <w:tcW w:w="2203" w:type="dxa"/>
            <w:vAlign w:val="center"/>
          </w:tcPr>
          <w:p w14:paraId="13DF26C8">
            <w:pPr>
              <w:spacing w:before="100" w:beforeAutospacing="1" w:after="100" w:afterAutospacing="1" w:line="360" w:lineRule="auto"/>
              <w:ind w:right="-105" w:rightChars="-50"/>
              <w:jc w:val="center"/>
              <w:rPr>
                <w:rFonts w:ascii="宋体"/>
              </w:rPr>
            </w:pPr>
            <w:r>
              <w:rPr>
                <w:rFonts w:hint="eastAsia" w:ascii="宋体"/>
              </w:rPr>
              <w:t>GB/T 6072.3</w:t>
            </w:r>
          </w:p>
        </w:tc>
      </w:tr>
      <w:tr w14:paraId="54D796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772" w:type="dxa"/>
            <w:vAlign w:val="center"/>
          </w:tcPr>
          <w:p w14:paraId="7982D589">
            <w:pPr>
              <w:spacing w:before="100" w:beforeAutospacing="1" w:after="100" w:afterAutospacing="1" w:line="360" w:lineRule="auto"/>
              <w:ind w:right="-105" w:rightChars="-50"/>
              <w:jc w:val="center"/>
              <w:rPr>
                <w:rFonts w:ascii="宋体"/>
              </w:rPr>
            </w:pPr>
            <w:r>
              <w:rPr>
                <w:rFonts w:hint="eastAsia" w:ascii="宋体"/>
              </w:rPr>
              <w:t>6</w:t>
            </w:r>
          </w:p>
        </w:tc>
        <w:tc>
          <w:tcPr>
            <w:tcW w:w="5311" w:type="dxa"/>
            <w:vAlign w:val="center"/>
          </w:tcPr>
          <w:p w14:paraId="5BC7401F">
            <w:pPr>
              <w:spacing w:before="100" w:beforeAutospacing="1" w:after="100" w:afterAutospacing="1" w:line="360" w:lineRule="auto"/>
              <w:ind w:right="-105" w:rightChars="-50"/>
              <w:jc w:val="center"/>
              <w:rPr>
                <w:rFonts w:ascii="宋体"/>
              </w:rPr>
            </w:pPr>
            <w:r>
              <w:rPr>
                <w:rFonts w:hint="eastAsia" w:ascii="宋体"/>
              </w:rPr>
              <w:t>往复式内燃机 安全 第1部分：压燃式发动机</w:t>
            </w:r>
          </w:p>
        </w:tc>
        <w:tc>
          <w:tcPr>
            <w:tcW w:w="2203" w:type="dxa"/>
            <w:vAlign w:val="center"/>
          </w:tcPr>
          <w:p w14:paraId="4C69CC5B">
            <w:pPr>
              <w:spacing w:before="100" w:beforeAutospacing="1" w:after="100" w:afterAutospacing="1" w:line="360" w:lineRule="auto"/>
              <w:ind w:right="-105" w:rightChars="-50"/>
              <w:jc w:val="center"/>
              <w:rPr>
                <w:rFonts w:ascii="宋体"/>
              </w:rPr>
            </w:pPr>
            <w:r>
              <w:rPr>
                <w:rFonts w:hint="eastAsia" w:ascii="宋体"/>
              </w:rPr>
              <w:t>GB/T 20651.1</w:t>
            </w:r>
          </w:p>
        </w:tc>
      </w:tr>
      <w:tr w14:paraId="26E6A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772" w:type="dxa"/>
            <w:vAlign w:val="center"/>
          </w:tcPr>
          <w:p w14:paraId="78803306">
            <w:pPr>
              <w:spacing w:before="100" w:beforeAutospacing="1" w:after="100" w:afterAutospacing="1" w:line="360" w:lineRule="auto"/>
              <w:ind w:right="-105" w:rightChars="-50"/>
              <w:jc w:val="center"/>
              <w:rPr>
                <w:rFonts w:ascii="宋体"/>
              </w:rPr>
            </w:pPr>
            <w:r>
              <w:rPr>
                <w:rFonts w:hint="eastAsia" w:ascii="宋体"/>
              </w:rPr>
              <w:t>7</w:t>
            </w:r>
          </w:p>
        </w:tc>
        <w:tc>
          <w:tcPr>
            <w:tcW w:w="5311" w:type="dxa"/>
            <w:vAlign w:val="center"/>
          </w:tcPr>
          <w:p w14:paraId="1F2C8CEC">
            <w:pPr>
              <w:spacing w:before="100" w:beforeAutospacing="1" w:after="100" w:afterAutospacing="1" w:line="360" w:lineRule="auto"/>
              <w:ind w:right="-105" w:rightChars="-50"/>
              <w:jc w:val="center"/>
              <w:rPr>
                <w:rFonts w:ascii="宋体"/>
              </w:rPr>
            </w:pPr>
            <w:r>
              <w:rPr>
                <w:rFonts w:hint="eastAsia" w:ascii="宋体"/>
              </w:rPr>
              <w:t>柴油机 起动性能试验方法</w:t>
            </w:r>
          </w:p>
        </w:tc>
        <w:tc>
          <w:tcPr>
            <w:tcW w:w="2203" w:type="dxa"/>
            <w:vAlign w:val="center"/>
          </w:tcPr>
          <w:p w14:paraId="52BE1BEC">
            <w:pPr>
              <w:spacing w:before="100" w:beforeAutospacing="1" w:after="100" w:afterAutospacing="1" w:line="360" w:lineRule="auto"/>
              <w:ind w:right="-105" w:rightChars="-50"/>
              <w:jc w:val="center"/>
              <w:rPr>
                <w:rFonts w:ascii="宋体"/>
              </w:rPr>
            </w:pPr>
            <w:r>
              <w:rPr>
                <w:rFonts w:ascii="宋体"/>
              </w:rPr>
              <w:t>JB 9773.2</w:t>
            </w:r>
          </w:p>
        </w:tc>
      </w:tr>
      <w:tr w14:paraId="29BE4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772" w:type="dxa"/>
            <w:vAlign w:val="center"/>
          </w:tcPr>
          <w:p w14:paraId="4625A472">
            <w:pPr>
              <w:spacing w:before="100" w:beforeAutospacing="1" w:after="100" w:afterAutospacing="1" w:line="360" w:lineRule="auto"/>
              <w:ind w:right="-105" w:rightChars="-50"/>
              <w:jc w:val="center"/>
              <w:rPr>
                <w:rFonts w:ascii="宋体"/>
              </w:rPr>
            </w:pPr>
            <w:r>
              <w:rPr>
                <w:rFonts w:hint="eastAsia" w:ascii="宋体"/>
              </w:rPr>
              <w:t>8</w:t>
            </w:r>
          </w:p>
        </w:tc>
        <w:tc>
          <w:tcPr>
            <w:tcW w:w="5311" w:type="dxa"/>
            <w:vAlign w:val="center"/>
          </w:tcPr>
          <w:p w14:paraId="755063DD">
            <w:pPr>
              <w:autoSpaceDE w:val="0"/>
              <w:autoSpaceDN w:val="0"/>
              <w:adjustRightInd w:val="0"/>
              <w:rPr>
                <w:rFonts w:ascii="宋体"/>
              </w:rPr>
            </w:pPr>
            <w:r>
              <w:rPr>
                <w:rFonts w:hint="eastAsia" w:ascii="宋体"/>
              </w:rPr>
              <w:t>往复式内燃机</w:t>
            </w:r>
            <w:r>
              <w:rPr>
                <w:rFonts w:ascii="宋体"/>
              </w:rPr>
              <w:t xml:space="preserve"> </w:t>
            </w:r>
            <w:r>
              <w:rPr>
                <w:rFonts w:hint="eastAsia" w:ascii="宋体"/>
              </w:rPr>
              <w:t>发动机功率的确定和测量方法</w:t>
            </w:r>
            <w:r>
              <w:rPr>
                <w:rFonts w:ascii="宋体"/>
              </w:rPr>
              <w:t xml:space="preserve"> </w:t>
            </w:r>
            <w:r>
              <w:rPr>
                <w:rFonts w:hint="eastAsia" w:ascii="宋体"/>
              </w:rPr>
              <w:t>排气污染物排放试验的附加要求</w:t>
            </w:r>
          </w:p>
        </w:tc>
        <w:tc>
          <w:tcPr>
            <w:tcW w:w="2203" w:type="dxa"/>
            <w:vAlign w:val="center"/>
          </w:tcPr>
          <w:p w14:paraId="68D71450">
            <w:pPr>
              <w:spacing w:before="100" w:beforeAutospacing="1" w:after="100" w:afterAutospacing="1" w:line="360" w:lineRule="auto"/>
              <w:ind w:right="-105" w:rightChars="-50"/>
              <w:jc w:val="center"/>
              <w:rPr>
                <w:rFonts w:ascii="宋体"/>
              </w:rPr>
            </w:pPr>
            <w:r>
              <w:rPr>
                <w:rFonts w:ascii="宋体"/>
              </w:rPr>
              <w:t>GB/T 21405</w:t>
            </w:r>
          </w:p>
        </w:tc>
      </w:tr>
      <w:tr w14:paraId="2A722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772" w:type="dxa"/>
            <w:vAlign w:val="center"/>
          </w:tcPr>
          <w:p w14:paraId="3D891988">
            <w:pPr>
              <w:spacing w:before="100" w:beforeAutospacing="1" w:after="100" w:afterAutospacing="1" w:line="360" w:lineRule="auto"/>
              <w:ind w:right="-105" w:rightChars="-50"/>
              <w:jc w:val="center"/>
              <w:rPr>
                <w:rFonts w:ascii="宋体"/>
              </w:rPr>
            </w:pPr>
            <w:r>
              <w:rPr>
                <w:rFonts w:hint="eastAsia" w:ascii="宋体"/>
              </w:rPr>
              <w:t>9</w:t>
            </w:r>
          </w:p>
        </w:tc>
        <w:tc>
          <w:tcPr>
            <w:tcW w:w="5311" w:type="dxa"/>
            <w:vAlign w:val="center"/>
          </w:tcPr>
          <w:p w14:paraId="4E1A7825">
            <w:pPr>
              <w:spacing w:before="100" w:beforeAutospacing="1" w:after="100" w:afterAutospacing="1" w:line="360" w:lineRule="auto"/>
              <w:ind w:right="-105" w:rightChars="-50"/>
              <w:jc w:val="center"/>
              <w:rPr>
                <w:rFonts w:ascii="宋体"/>
              </w:rPr>
            </w:pPr>
            <w:r>
              <w:rPr>
                <w:rFonts w:hint="eastAsia" w:ascii="宋体"/>
              </w:rPr>
              <w:t>柴油机自由加速排气烟度的测量方法</w:t>
            </w:r>
          </w:p>
        </w:tc>
        <w:tc>
          <w:tcPr>
            <w:tcW w:w="2203" w:type="dxa"/>
            <w:vAlign w:val="center"/>
          </w:tcPr>
          <w:p w14:paraId="2DD57951">
            <w:pPr>
              <w:spacing w:before="100" w:beforeAutospacing="1" w:after="100" w:afterAutospacing="1" w:line="360" w:lineRule="auto"/>
              <w:ind w:right="-105" w:rightChars="-50"/>
              <w:jc w:val="center"/>
              <w:rPr>
                <w:rFonts w:ascii="宋体"/>
              </w:rPr>
            </w:pPr>
            <w:r>
              <w:rPr>
                <w:rFonts w:ascii="宋体"/>
              </w:rPr>
              <w:t>GB/T 9487</w:t>
            </w:r>
          </w:p>
        </w:tc>
      </w:tr>
      <w:tr w14:paraId="5F892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atLeast"/>
          <w:jc w:val="center"/>
        </w:trPr>
        <w:tc>
          <w:tcPr>
            <w:tcW w:w="772" w:type="dxa"/>
            <w:vAlign w:val="center"/>
          </w:tcPr>
          <w:p w14:paraId="20890DFD">
            <w:pPr>
              <w:spacing w:before="100" w:beforeAutospacing="1" w:after="100" w:afterAutospacing="1" w:line="360" w:lineRule="auto"/>
              <w:ind w:right="-105" w:rightChars="-50"/>
              <w:jc w:val="center"/>
              <w:rPr>
                <w:rFonts w:ascii="宋体"/>
              </w:rPr>
            </w:pPr>
            <w:r>
              <w:rPr>
                <w:rFonts w:ascii="宋体"/>
              </w:rPr>
              <w:t>10</w:t>
            </w:r>
          </w:p>
        </w:tc>
        <w:tc>
          <w:tcPr>
            <w:tcW w:w="5311" w:type="dxa"/>
            <w:vAlign w:val="center"/>
          </w:tcPr>
          <w:p w14:paraId="78787401">
            <w:pPr>
              <w:spacing w:before="100" w:beforeAutospacing="1" w:after="100" w:afterAutospacing="1" w:line="360" w:lineRule="auto"/>
              <w:ind w:right="-105" w:rightChars="-50"/>
              <w:jc w:val="center"/>
              <w:rPr>
                <w:rFonts w:ascii="宋体"/>
              </w:rPr>
            </w:pPr>
            <w:r>
              <w:rPr>
                <w:rFonts w:hint="eastAsia" w:ascii="宋体"/>
              </w:rPr>
              <w:t>往复式内燃机 排放测量 第3部分：稳态工况排气烟度的定义和测量方法</w:t>
            </w:r>
          </w:p>
        </w:tc>
        <w:tc>
          <w:tcPr>
            <w:tcW w:w="2203" w:type="dxa"/>
            <w:vAlign w:val="center"/>
          </w:tcPr>
          <w:p w14:paraId="76D6679F">
            <w:pPr>
              <w:spacing w:before="100" w:beforeAutospacing="1" w:after="100" w:afterAutospacing="1" w:line="360" w:lineRule="auto"/>
              <w:ind w:right="-105" w:rightChars="-50"/>
              <w:jc w:val="center"/>
              <w:rPr>
                <w:rFonts w:ascii="宋体"/>
              </w:rPr>
            </w:pPr>
            <w:r>
              <w:rPr>
                <w:rFonts w:hint="eastAsia" w:ascii="宋体"/>
              </w:rPr>
              <w:t>GB/T 8190.3</w:t>
            </w:r>
          </w:p>
        </w:tc>
      </w:tr>
      <w:tr w14:paraId="7B59D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8286" w:type="dxa"/>
            <w:gridSpan w:val="3"/>
            <w:vAlign w:val="center"/>
          </w:tcPr>
          <w:p w14:paraId="682E4AB2">
            <w:pPr>
              <w:spacing w:before="100" w:beforeAutospacing="1" w:after="100" w:afterAutospacing="1" w:line="360" w:lineRule="auto"/>
              <w:ind w:right="-105" w:rightChars="-50"/>
              <w:jc w:val="center"/>
              <w:rPr>
                <w:rFonts w:ascii="宋体"/>
              </w:rPr>
            </w:pPr>
            <w:r>
              <w:rPr>
                <w:rFonts w:hint="eastAsia" w:ascii="宋体"/>
                <w:b/>
                <w:bCs/>
              </w:rPr>
              <w:t>电动汽车相关标准</w:t>
            </w:r>
          </w:p>
        </w:tc>
      </w:tr>
      <w:tr w14:paraId="60C1C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772" w:type="dxa"/>
            <w:vAlign w:val="center"/>
          </w:tcPr>
          <w:p w14:paraId="67BEB8D4">
            <w:pPr>
              <w:spacing w:before="100" w:beforeAutospacing="1" w:after="100" w:afterAutospacing="1" w:line="360" w:lineRule="auto"/>
              <w:ind w:right="-105" w:rightChars="-50"/>
              <w:jc w:val="center"/>
              <w:rPr>
                <w:rFonts w:ascii="宋体"/>
              </w:rPr>
            </w:pPr>
            <w:r>
              <w:rPr>
                <w:rFonts w:hint="eastAsia" w:ascii="宋体"/>
              </w:rPr>
              <w:t>1</w:t>
            </w:r>
          </w:p>
        </w:tc>
        <w:tc>
          <w:tcPr>
            <w:tcW w:w="5311" w:type="dxa"/>
            <w:vAlign w:val="center"/>
          </w:tcPr>
          <w:p w14:paraId="262316FD">
            <w:pPr>
              <w:pStyle w:val="79"/>
              <w:jc w:val="center"/>
              <w:rPr>
                <w:rFonts w:ascii="宋体" w:eastAsia="宋体"/>
                <w:sz w:val="21"/>
              </w:rPr>
            </w:pPr>
            <w:r>
              <w:rPr>
                <w:rFonts w:hint="eastAsia" w:ascii="宋体" w:eastAsia="宋体"/>
                <w:sz w:val="21"/>
              </w:rPr>
              <w:t>电动汽车用驱动电机系统可靠性试验方法</w:t>
            </w:r>
          </w:p>
        </w:tc>
        <w:tc>
          <w:tcPr>
            <w:tcW w:w="2203" w:type="dxa"/>
            <w:vAlign w:val="center"/>
          </w:tcPr>
          <w:p w14:paraId="3FBE80E6">
            <w:pPr>
              <w:spacing w:before="100" w:beforeAutospacing="1" w:after="100" w:afterAutospacing="1" w:line="360" w:lineRule="auto"/>
              <w:ind w:right="-105" w:rightChars="-50"/>
              <w:jc w:val="center"/>
              <w:rPr>
                <w:rFonts w:ascii="宋体"/>
              </w:rPr>
            </w:pPr>
            <w:r>
              <w:rPr>
                <w:rFonts w:ascii="宋体"/>
              </w:rPr>
              <w:t>GB/T 29307</w:t>
            </w:r>
          </w:p>
        </w:tc>
      </w:tr>
      <w:tr w14:paraId="7D414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772" w:type="dxa"/>
            <w:vAlign w:val="center"/>
          </w:tcPr>
          <w:p w14:paraId="406BF471">
            <w:pPr>
              <w:spacing w:before="100" w:beforeAutospacing="1" w:after="100" w:afterAutospacing="1" w:line="360" w:lineRule="auto"/>
              <w:ind w:right="-105" w:rightChars="-50"/>
              <w:jc w:val="center"/>
              <w:rPr>
                <w:rFonts w:ascii="宋体"/>
              </w:rPr>
            </w:pPr>
            <w:r>
              <w:rPr>
                <w:rFonts w:hint="eastAsia" w:ascii="宋体"/>
              </w:rPr>
              <w:t>2</w:t>
            </w:r>
          </w:p>
        </w:tc>
        <w:tc>
          <w:tcPr>
            <w:tcW w:w="5311" w:type="dxa"/>
            <w:vAlign w:val="center"/>
          </w:tcPr>
          <w:p w14:paraId="4B3DE2D2">
            <w:pPr>
              <w:spacing w:before="100" w:beforeAutospacing="1" w:after="100" w:afterAutospacing="1" w:line="360" w:lineRule="auto"/>
              <w:ind w:right="-105" w:rightChars="-50"/>
              <w:jc w:val="center"/>
              <w:rPr>
                <w:rFonts w:ascii="宋体"/>
              </w:rPr>
            </w:pPr>
            <w:r>
              <w:rPr>
                <w:rFonts w:hint="eastAsia" w:ascii="宋体"/>
              </w:rPr>
              <w:t>电动汽车用电机及其控制器 第1 部分：技术条件</w:t>
            </w:r>
          </w:p>
        </w:tc>
        <w:tc>
          <w:tcPr>
            <w:tcW w:w="2203" w:type="dxa"/>
            <w:vAlign w:val="center"/>
          </w:tcPr>
          <w:p w14:paraId="7A7CE208">
            <w:pPr>
              <w:spacing w:before="100" w:beforeAutospacing="1" w:after="100" w:afterAutospacing="1" w:line="360" w:lineRule="auto"/>
              <w:ind w:right="-105" w:rightChars="-50"/>
              <w:jc w:val="center"/>
              <w:rPr>
                <w:rFonts w:ascii="宋体"/>
              </w:rPr>
            </w:pPr>
            <w:r>
              <w:rPr>
                <w:rFonts w:ascii="宋体"/>
              </w:rPr>
              <w:t>GB/T 18488.1</w:t>
            </w:r>
          </w:p>
        </w:tc>
      </w:tr>
      <w:tr w14:paraId="724D2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772" w:type="dxa"/>
            <w:vAlign w:val="center"/>
          </w:tcPr>
          <w:p w14:paraId="79FB09FE">
            <w:pPr>
              <w:spacing w:before="100" w:beforeAutospacing="1" w:after="100" w:afterAutospacing="1" w:line="360" w:lineRule="auto"/>
              <w:ind w:right="-105" w:rightChars="-50"/>
              <w:jc w:val="center"/>
              <w:rPr>
                <w:rFonts w:ascii="宋体"/>
              </w:rPr>
            </w:pPr>
            <w:r>
              <w:rPr>
                <w:rFonts w:hint="eastAsia" w:ascii="宋体"/>
              </w:rPr>
              <w:t>3</w:t>
            </w:r>
          </w:p>
        </w:tc>
        <w:tc>
          <w:tcPr>
            <w:tcW w:w="5311" w:type="dxa"/>
            <w:vAlign w:val="center"/>
          </w:tcPr>
          <w:p w14:paraId="7804AD33">
            <w:pPr>
              <w:spacing w:before="100" w:beforeAutospacing="1" w:after="100" w:afterAutospacing="1" w:line="360" w:lineRule="auto"/>
              <w:ind w:right="-105" w:rightChars="-50"/>
              <w:jc w:val="center"/>
              <w:rPr>
                <w:rFonts w:ascii="宋体"/>
              </w:rPr>
            </w:pPr>
            <w:r>
              <w:rPr>
                <w:rFonts w:hint="eastAsia" w:ascii="宋体"/>
              </w:rPr>
              <w:t>电动汽车用电机及其控制器 第2 部分：试验方法</w:t>
            </w:r>
          </w:p>
        </w:tc>
        <w:tc>
          <w:tcPr>
            <w:tcW w:w="2203" w:type="dxa"/>
            <w:vAlign w:val="center"/>
          </w:tcPr>
          <w:p w14:paraId="09151888">
            <w:pPr>
              <w:spacing w:before="100" w:beforeAutospacing="1" w:after="100" w:afterAutospacing="1" w:line="360" w:lineRule="auto"/>
              <w:ind w:right="-105" w:rightChars="-50"/>
              <w:jc w:val="center"/>
              <w:rPr>
                <w:rFonts w:ascii="宋体"/>
              </w:rPr>
            </w:pPr>
            <w:r>
              <w:rPr>
                <w:rFonts w:ascii="宋体"/>
              </w:rPr>
              <w:t>GB/T 18488.2</w:t>
            </w:r>
          </w:p>
        </w:tc>
      </w:tr>
      <w:tr w14:paraId="5FF52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772" w:type="dxa"/>
            <w:vAlign w:val="center"/>
          </w:tcPr>
          <w:p w14:paraId="43FD3A0E">
            <w:pPr>
              <w:spacing w:before="100" w:beforeAutospacing="1" w:after="100" w:afterAutospacing="1" w:line="360" w:lineRule="auto"/>
              <w:ind w:right="-105" w:rightChars="-50"/>
              <w:jc w:val="center"/>
              <w:rPr>
                <w:rFonts w:ascii="宋体"/>
              </w:rPr>
            </w:pPr>
            <w:r>
              <w:rPr>
                <w:rFonts w:hint="eastAsia" w:ascii="宋体"/>
              </w:rPr>
              <w:t>4</w:t>
            </w:r>
          </w:p>
        </w:tc>
        <w:tc>
          <w:tcPr>
            <w:tcW w:w="5311" w:type="dxa"/>
            <w:vAlign w:val="center"/>
          </w:tcPr>
          <w:p w14:paraId="2E3AC3D1">
            <w:pPr>
              <w:spacing w:before="100" w:beforeAutospacing="1" w:after="100" w:afterAutospacing="1" w:line="360" w:lineRule="auto"/>
              <w:ind w:right="-105" w:rightChars="-50"/>
              <w:jc w:val="center"/>
              <w:rPr>
                <w:rFonts w:ascii="宋体"/>
              </w:rPr>
            </w:pPr>
            <w:r>
              <w:rPr>
                <w:rFonts w:hint="eastAsia" w:ascii="宋体"/>
              </w:rPr>
              <w:t>电能质量 公用电网谐波</w:t>
            </w:r>
          </w:p>
        </w:tc>
        <w:tc>
          <w:tcPr>
            <w:tcW w:w="2203" w:type="dxa"/>
            <w:vAlign w:val="center"/>
          </w:tcPr>
          <w:p w14:paraId="73376941">
            <w:pPr>
              <w:autoSpaceDE w:val="0"/>
              <w:autoSpaceDN w:val="0"/>
              <w:adjustRightInd w:val="0"/>
              <w:jc w:val="center"/>
              <w:rPr>
                <w:rFonts w:ascii="宋体"/>
              </w:rPr>
            </w:pPr>
            <w:r>
              <w:rPr>
                <w:rFonts w:ascii="宋体" w:cs="宋体"/>
                <w:color w:val="000000"/>
                <w:kern w:val="0"/>
                <w:szCs w:val="21"/>
              </w:rPr>
              <w:t>GB/T14549</w:t>
            </w:r>
          </w:p>
        </w:tc>
      </w:tr>
      <w:tr w14:paraId="7AFF6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772" w:type="dxa"/>
            <w:vAlign w:val="center"/>
          </w:tcPr>
          <w:p w14:paraId="026341E9">
            <w:pPr>
              <w:spacing w:before="100" w:beforeAutospacing="1" w:after="100" w:afterAutospacing="1" w:line="360" w:lineRule="auto"/>
              <w:ind w:right="-105" w:rightChars="-50"/>
              <w:jc w:val="center"/>
              <w:rPr>
                <w:rFonts w:ascii="宋体"/>
              </w:rPr>
            </w:pPr>
            <w:r>
              <w:rPr>
                <w:rFonts w:hint="eastAsia" w:ascii="宋体"/>
              </w:rPr>
              <w:t>5</w:t>
            </w:r>
          </w:p>
        </w:tc>
        <w:tc>
          <w:tcPr>
            <w:tcW w:w="5311" w:type="dxa"/>
            <w:vAlign w:val="center"/>
          </w:tcPr>
          <w:p w14:paraId="21729750">
            <w:pPr>
              <w:spacing w:before="100" w:beforeAutospacing="1" w:after="100" w:afterAutospacing="1" w:line="360" w:lineRule="auto"/>
              <w:ind w:right="-105" w:rightChars="-50"/>
              <w:jc w:val="center"/>
              <w:rPr>
                <w:rFonts w:ascii="宋体"/>
              </w:rPr>
            </w:pPr>
            <w:r>
              <w:rPr>
                <w:rFonts w:hint="eastAsia" w:ascii="宋体"/>
              </w:rPr>
              <w:t>电能质量 三相电压允许不平衡度</w:t>
            </w:r>
          </w:p>
        </w:tc>
        <w:tc>
          <w:tcPr>
            <w:tcW w:w="2203" w:type="dxa"/>
            <w:vAlign w:val="center"/>
          </w:tcPr>
          <w:p w14:paraId="478B8754">
            <w:pPr>
              <w:spacing w:before="100" w:beforeAutospacing="1" w:after="100" w:afterAutospacing="1" w:line="360" w:lineRule="auto"/>
              <w:ind w:right="-105" w:rightChars="-50"/>
              <w:jc w:val="center"/>
              <w:rPr>
                <w:rFonts w:ascii="宋体"/>
              </w:rPr>
            </w:pPr>
            <w:r>
              <w:rPr>
                <w:rFonts w:ascii="宋体"/>
              </w:rPr>
              <w:t>GB/T15543</w:t>
            </w:r>
          </w:p>
        </w:tc>
      </w:tr>
      <w:tr w14:paraId="657C5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jc w:val="center"/>
        </w:trPr>
        <w:tc>
          <w:tcPr>
            <w:tcW w:w="772" w:type="dxa"/>
            <w:vAlign w:val="center"/>
          </w:tcPr>
          <w:p w14:paraId="26B91BC9">
            <w:pPr>
              <w:spacing w:before="100" w:beforeAutospacing="1" w:after="100" w:afterAutospacing="1" w:line="360" w:lineRule="auto"/>
              <w:ind w:right="-105" w:rightChars="-50"/>
              <w:jc w:val="center"/>
              <w:rPr>
                <w:rFonts w:ascii="宋体"/>
              </w:rPr>
            </w:pPr>
            <w:r>
              <w:rPr>
                <w:rFonts w:hint="eastAsia" w:ascii="宋体"/>
              </w:rPr>
              <w:t>6</w:t>
            </w:r>
          </w:p>
        </w:tc>
        <w:tc>
          <w:tcPr>
            <w:tcW w:w="5311" w:type="dxa"/>
            <w:vAlign w:val="center"/>
          </w:tcPr>
          <w:p w14:paraId="6FA9759D">
            <w:pPr>
              <w:spacing w:before="100" w:beforeAutospacing="1" w:after="100" w:afterAutospacing="1" w:line="360" w:lineRule="auto"/>
              <w:ind w:right="-105" w:rightChars="-50"/>
              <w:jc w:val="center"/>
              <w:rPr>
                <w:rFonts w:ascii="宋体"/>
              </w:rPr>
            </w:pPr>
            <w:r>
              <w:rPr>
                <w:rFonts w:hint="eastAsia" w:ascii="宋体"/>
              </w:rPr>
              <w:t>电能质量 电压波动和闪变</w:t>
            </w:r>
          </w:p>
        </w:tc>
        <w:tc>
          <w:tcPr>
            <w:tcW w:w="2203" w:type="dxa"/>
            <w:vAlign w:val="center"/>
          </w:tcPr>
          <w:p w14:paraId="4D242E4C">
            <w:pPr>
              <w:spacing w:before="100" w:beforeAutospacing="1" w:after="100" w:afterAutospacing="1" w:line="360" w:lineRule="auto"/>
              <w:ind w:right="-105" w:rightChars="-50"/>
              <w:jc w:val="center"/>
              <w:rPr>
                <w:rFonts w:ascii="宋体"/>
              </w:rPr>
            </w:pPr>
            <w:r>
              <w:rPr>
                <w:rFonts w:ascii="宋体"/>
              </w:rPr>
              <w:t>GB 12326</w:t>
            </w:r>
          </w:p>
        </w:tc>
      </w:tr>
    </w:tbl>
    <w:p w14:paraId="0EF32308">
      <w:pPr>
        <w:rPr>
          <w:sz w:val="24"/>
          <w:szCs w:val="24"/>
        </w:rPr>
        <w:sectPr>
          <w:footerReference r:id="rId12" w:type="default"/>
          <w:pgSz w:w="11910" w:h="16840"/>
          <w:pgMar w:top="2180" w:right="680" w:bottom="2500" w:left="920" w:header="816" w:footer="2315" w:gutter="0"/>
          <w:cols w:space="720" w:num="1"/>
        </w:sectPr>
      </w:pPr>
    </w:p>
    <w:p w14:paraId="73D9E952">
      <w:pPr>
        <w:rPr>
          <w:b/>
          <w:sz w:val="24"/>
          <w:szCs w:val="24"/>
        </w:rPr>
      </w:pPr>
      <w:r>
        <w:rPr>
          <w:rFonts w:hint="eastAsia"/>
          <w:b/>
          <w:sz w:val="24"/>
          <w:szCs w:val="24"/>
        </w:rPr>
        <w:t>三、技术要求概况：</w:t>
      </w:r>
    </w:p>
    <w:p w14:paraId="76FDE3EF">
      <w:pPr>
        <w:spacing w:line="360" w:lineRule="auto"/>
        <w:rPr>
          <w:rFonts w:ascii="宋体"/>
          <w:sz w:val="24"/>
        </w:rPr>
      </w:pPr>
      <w:r>
        <w:rPr>
          <w:rFonts w:ascii="宋体"/>
          <w:sz w:val="24"/>
        </w:rPr>
        <w:t xml:space="preserve">1. </w:t>
      </w:r>
      <w:r>
        <w:rPr>
          <w:rFonts w:hint="eastAsia" w:ascii="宋体"/>
          <w:sz w:val="24"/>
        </w:rPr>
        <w:t>整个项目供货为交钥匙工程，所提供的设备包含设计、制造、包装、运输、安装调试、验收、培训、售后服务等，投标方承诺对项目完整性负责。本次招标主要内容为：将现有8个水力测功机台架改造为电力测功机台架，将1个水力测功机台架改造为增程器台架，将5个水力测功机台架改造为设备间，以及相关的配套设施更新或增加、旧设施设备的拆除，满足招标方发动机或增程器出厂试验等需求。投标方应根据招标文件所提出的设备技术规格和服务要求，综合考虑设备的适应性和先进性，选择具有最佳性能价格比的设备前来投标。以精良的技术、优良的服务和优惠的价格，充分显示投标人的竞争实力。</w:t>
      </w:r>
    </w:p>
    <w:p w14:paraId="02BD7851">
      <w:pPr>
        <w:spacing w:line="360" w:lineRule="auto"/>
        <w:ind w:left="424" w:leftChars="202"/>
        <w:rPr>
          <w:rFonts w:ascii="宋体"/>
          <w:sz w:val="24"/>
        </w:rPr>
      </w:pPr>
      <w:r>
        <w:rPr>
          <w:rFonts w:ascii="宋体"/>
          <w:sz w:val="24"/>
        </w:rPr>
        <w:t>a</w:t>
      </w:r>
      <w:r>
        <w:rPr>
          <w:rFonts w:hint="eastAsia" w:ascii="宋体"/>
          <w:sz w:val="24"/>
        </w:rPr>
        <w:t>、技术先进性：采用先进高效的测控硬件和控制软件；</w:t>
      </w:r>
    </w:p>
    <w:p w14:paraId="6E9893DE">
      <w:pPr>
        <w:spacing w:line="360" w:lineRule="auto"/>
        <w:ind w:left="424" w:leftChars="202"/>
        <w:rPr>
          <w:rFonts w:ascii="宋体"/>
          <w:sz w:val="24"/>
        </w:rPr>
      </w:pPr>
      <w:r>
        <w:rPr>
          <w:rFonts w:ascii="宋体"/>
          <w:sz w:val="24"/>
        </w:rPr>
        <w:t>b</w:t>
      </w:r>
      <w:r>
        <w:rPr>
          <w:rFonts w:hint="eastAsia" w:ascii="宋体"/>
          <w:sz w:val="24"/>
        </w:rPr>
        <w:t>、高可靠性：在发动机和测功机运行过程中，实时进行充分的状态监控和自动保护，使设备运行安全可靠；</w:t>
      </w:r>
    </w:p>
    <w:p w14:paraId="29778EE1">
      <w:pPr>
        <w:spacing w:line="360" w:lineRule="auto"/>
        <w:ind w:left="424" w:leftChars="202"/>
        <w:rPr>
          <w:rFonts w:ascii="宋体"/>
          <w:sz w:val="24"/>
        </w:rPr>
      </w:pPr>
      <w:r>
        <w:rPr>
          <w:rFonts w:ascii="宋体"/>
          <w:sz w:val="24"/>
        </w:rPr>
        <w:t>c</w:t>
      </w:r>
      <w:r>
        <w:rPr>
          <w:rFonts w:hint="eastAsia" w:ascii="宋体"/>
          <w:sz w:val="24"/>
        </w:rPr>
        <w:t>、易维护性：采用高度集成的模块化测试单元，充分优化模块组合，使系统更易于使用、互换、管理和维护；</w:t>
      </w:r>
    </w:p>
    <w:p w14:paraId="44D5B102">
      <w:pPr>
        <w:spacing w:line="360" w:lineRule="auto"/>
        <w:ind w:left="424" w:leftChars="202"/>
        <w:rPr>
          <w:rFonts w:ascii="宋体"/>
          <w:sz w:val="24"/>
        </w:rPr>
      </w:pPr>
      <w:r>
        <w:rPr>
          <w:rFonts w:ascii="宋体"/>
          <w:sz w:val="24"/>
        </w:rPr>
        <w:t>d</w:t>
      </w:r>
      <w:r>
        <w:rPr>
          <w:rFonts w:hint="eastAsia" w:ascii="宋体"/>
          <w:sz w:val="24"/>
        </w:rPr>
        <w:t>、标准化：设备设计、制造、油漆、包装等，按国家和行业相关技术标准、规范执行；</w:t>
      </w:r>
    </w:p>
    <w:p w14:paraId="0FC848A3">
      <w:pPr>
        <w:ind w:left="424" w:leftChars="202"/>
        <w:rPr>
          <w:rFonts w:ascii="宋体"/>
          <w:sz w:val="24"/>
        </w:rPr>
      </w:pPr>
      <w:r>
        <w:rPr>
          <w:rFonts w:ascii="宋体"/>
          <w:sz w:val="24"/>
        </w:rPr>
        <w:t>e</w:t>
      </w:r>
      <w:r>
        <w:rPr>
          <w:rFonts w:hint="eastAsia" w:ascii="宋体"/>
          <w:sz w:val="24"/>
        </w:rPr>
        <w:t>、系统设备的工艺参数按连续运转设计，部件按照招标方要求的最大功率和扭矩进行匹配设计，覆盖表3所列的所有机型。</w:t>
      </w:r>
    </w:p>
    <w:p w14:paraId="5115E3BE">
      <w:pPr>
        <w:spacing w:line="360" w:lineRule="auto"/>
        <w:rPr>
          <w:rFonts w:ascii="宋体"/>
          <w:sz w:val="24"/>
        </w:rPr>
      </w:pPr>
      <w:r>
        <w:rPr>
          <w:rFonts w:ascii="宋体"/>
          <w:sz w:val="24"/>
        </w:rPr>
        <w:t xml:space="preserve">2. </w:t>
      </w:r>
      <w:r>
        <w:rPr>
          <w:rFonts w:hint="eastAsia" w:ascii="宋体"/>
          <w:sz w:val="24"/>
        </w:rPr>
        <w:t>台架布局如图1：</w:t>
      </w:r>
    </w:p>
    <w:p w14:paraId="0E358360">
      <w:pPr>
        <w:spacing w:line="360" w:lineRule="auto"/>
        <w:jc w:val="center"/>
      </w:pPr>
      <w:r>
        <w:t>图</w:t>
      </w:r>
      <w:r>
        <w:rPr>
          <w:rFonts w:hint="eastAsia"/>
        </w:rPr>
        <w:t>1</w:t>
      </w:r>
      <w:r>
        <w:t xml:space="preserve"> 台架布</w:t>
      </w:r>
      <w:r>
        <w:rPr>
          <w:rFonts w:hint="eastAsia"/>
        </w:rPr>
        <w:t>局平面图</w:t>
      </w:r>
    </w:p>
    <w:p w14:paraId="5B88D248">
      <w:pPr>
        <w:spacing w:line="360" w:lineRule="auto"/>
        <w:jc w:val="center"/>
        <w:rPr>
          <w:rFonts w:ascii="宋体"/>
          <w:sz w:val="24"/>
        </w:rPr>
      </w:pPr>
    </w:p>
    <w:p w14:paraId="6B10D1C5">
      <w:pPr>
        <w:spacing w:line="360" w:lineRule="auto"/>
        <w:jc w:val="center"/>
        <w:rPr>
          <w:rFonts w:ascii="宋体"/>
          <w:sz w:val="24"/>
        </w:rPr>
      </w:pPr>
      <w:r>
        <w:drawing>
          <wp:inline distT="0" distB="0" distL="0" distR="0">
            <wp:extent cx="5759450" cy="2757170"/>
            <wp:effectExtent l="9525" t="9525" r="22225" b="22225"/>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47"/>
                    <a:stretch>
                      <a:fillRect/>
                    </a:stretch>
                  </pic:blipFill>
                  <pic:spPr>
                    <a:xfrm>
                      <a:off x="0" y="0"/>
                      <a:ext cx="5759450" cy="2757170"/>
                    </a:xfrm>
                    <a:prstGeom prst="rect">
                      <a:avLst/>
                    </a:prstGeom>
                    <a:ln>
                      <a:solidFill>
                        <a:srgbClr val="002060"/>
                      </a:solidFill>
                    </a:ln>
                  </pic:spPr>
                </pic:pic>
              </a:graphicData>
            </a:graphic>
          </wp:inline>
        </w:drawing>
      </w:r>
    </w:p>
    <w:p w14:paraId="41FACF44">
      <w:pPr>
        <w:spacing w:line="360" w:lineRule="auto"/>
        <w:rPr>
          <w:rFonts w:ascii="宋体"/>
          <w:sz w:val="24"/>
        </w:rPr>
      </w:pPr>
      <w:r>
        <w:rPr>
          <w:rFonts w:ascii="宋体"/>
          <w:bCs/>
          <w:sz w:val="24"/>
        </w:rPr>
        <w:t xml:space="preserve">3. </w:t>
      </w:r>
      <w:r>
        <w:rPr>
          <w:rFonts w:hint="eastAsia" w:ascii="宋体"/>
          <w:bCs/>
          <w:sz w:val="24"/>
        </w:rPr>
        <w:t>本次更新改造在双号台架侧进行，将2</w:t>
      </w:r>
      <w:r>
        <w:rPr>
          <w:rFonts w:ascii="宋体"/>
          <w:bCs/>
          <w:sz w:val="24"/>
        </w:rPr>
        <w:t>#、</w:t>
      </w:r>
      <w:r>
        <w:rPr>
          <w:rFonts w:hint="eastAsia" w:ascii="宋体"/>
          <w:bCs/>
          <w:sz w:val="24"/>
        </w:rPr>
        <w:t>6</w:t>
      </w:r>
      <w:r>
        <w:rPr>
          <w:rFonts w:ascii="宋体"/>
          <w:bCs/>
          <w:sz w:val="24"/>
        </w:rPr>
        <w:t>#、</w:t>
      </w:r>
      <w:r>
        <w:rPr>
          <w:rFonts w:hint="eastAsia" w:ascii="宋体"/>
          <w:bCs/>
          <w:sz w:val="24"/>
        </w:rPr>
        <w:t>8</w:t>
      </w:r>
      <w:r>
        <w:rPr>
          <w:rFonts w:ascii="宋体"/>
          <w:bCs/>
          <w:sz w:val="24"/>
        </w:rPr>
        <w:t>#、</w:t>
      </w:r>
      <w:r>
        <w:rPr>
          <w:rFonts w:hint="eastAsia" w:ascii="宋体"/>
          <w:bCs/>
          <w:sz w:val="24"/>
        </w:rPr>
        <w:t>1</w:t>
      </w:r>
      <w:r>
        <w:rPr>
          <w:rFonts w:ascii="宋体"/>
          <w:bCs/>
          <w:sz w:val="24"/>
        </w:rPr>
        <w:t>2#、</w:t>
      </w:r>
      <w:r>
        <w:rPr>
          <w:rFonts w:hint="eastAsia" w:ascii="宋体"/>
          <w:bCs/>
          <w:sz w:val="24"/>
        </w:rPr>
        <w:t>1</w:t>
      </w:r>
      <w:r>
        <w:rPr>
          <w:rFonts w:ascii="宋体"/>
          <w:bCs/>
          <w:sz w:val="24"/>
        </w:rPr>
        <w:t>4#、</w:t>
      </w:r>
      <w:r>
        <w:rPr>
          <w:rFonts w:hint="eastAsia" w:ascii="宋体"/>
          <w:bCs/>
          <w:sz w:val="24"/>
        </w:rPr>
        <w:t>1</w:t>
      </w:r>
      <w:r>
        <w:rPr>
          <w:rFonts w:ascii="宋体"/>
          <w:bCs/>
          <w:sz w:val="24"/>
        </w:rPr>
        <w:t>8#、</w:t>
      </w:r>
      <w:r>
        <w:rPr>
          <w:rFonts w:hint="eastAsia" w:ascii="宋体"/>
          <w:bCs/>
          <w:sz w:val="24"/>
        </w:rPr>
        <w:t>2</w:t>
      </w:r>
      <w:r>
        <w:rPr>
          <w:rFonts w:ascii="宋体"/>
          <w:bCs/>
          <w:sz w:val="24"/>
        </w:rPr>
        <w:t>0#、</w:t>
      </w:r>
      <w:r>
        <w:rPr>
          <w:rFonts w:hint="eastAsia" w:ascii="宋体"/>
          <w:bCs/>
          <w:sz w:val="24"/>
        </w:rPr>
        <w:t>2</w:t>
      </w:r>
      <w:r>
        <w:rPr>
          <w:rFonts w:ascii="宋体"/>
          <w:bCs/>
          <w:sz w:val="24"/>
        </w:rPr>
        <w:t>4#改</w:t>
      </w:r>
      <w:r>
        <w:rPr>
          <w:rFonts w:hint="eastAsia" w:ascii="宋体"/>
          <w:bCs/>
          <w:sz w:val="24"/>
        </w:rPr>
        <w:t>造为电力测功机台架，将2</w:t>
      </w:r>
      <w:r>
        <w:rPr>
          <w:rFonts w:ascii="宋体"/>
          <w:bCs/>
          <w:sz w:val="24"/>
        </w:rPr>
        <w:t>6#改</w:t>
      </w:r>
      <w:r>
        <w:rPr>
          <w:rFonts w:hint="eastAsia" w:ascii="宋体"/>
          <w:bCs/>
          <w:sz w:val="24"/>
        </w:rPr>
        <w:t>造为增程器</w:t>
      </w:r>
      <w:r>
        <w:rPr>
          <w:rFonts w:ascii="宋体"/>
          <w:bCs/>
          <w:sz w:val="24"/>
        </w:rPr>
        <w:t>台架，将</w:t>
      </w:r>
      <w:r>
        <w:rPr>
          <w:rFonts w:hint="eastAsia" w:ascii="宋体"/>
          <w:bCs/>
          <w:sz w:val="24"/>
        </w:rPr>
        <w:t>4</w:t>
      </w:r>
      <w:r>
        <w:rPr>
          <w:rFonts w:ascii="宋体"/>
          <w:bCs/>
          <w:sz w:val="24"/>
        </w:rPr>
        <w:t>#、</w:t>
      </w:r>
      <w:r>
        <w:rPr>
          <w:rFonts w:hint="eastAsia" w:ascii="宋体"/>
          <w:bCs/>
          <w:sz w:val="24"/>
        </w:rPr>
        <w:t>1</w:t>
      </w:r>
      <w:r>
        <w:rPr>
          <w:rFonts w:ascii="宋体"/>
          <w:bCs/>
          <w:sz w:val="24"/>
        </w:rPr>
        <w:t>0#、</w:t>
      </w:r>
      <w:r>
        <w:rPr>
          <w:rFonts w:hint="eastAsia" w:ascii="宋体"/>
          <w:bCs/>
          <w:sz w:val="24"/>
        </w:rPr>
        <w:t>1</w:t>
      </w:r>
      <w:r>
        <w:rPr>
          <w:rFonts w:ascii="宋体"/>
          <w:bCs/>
          <w:sz w:val="24"/>
        </w:rPr>
        <w:t>6#、</w:t>
      </w:r>
      <w:r>
        <w:rPr>
          <w:rFonts w:hint="eastAsia" w:ascii="宋体"/>
          <w:bCs/>
          <w:sz w:val="24"/>
        </w:rPr>
        <w:t>2</w:t>
      </w:r>
      <w:r>
        <w:rPr>
          <w:rFonts w:ascii="宋体"/>
          <w:bCs/>
          <w:sz w:val="24"/>
        </w:rPr>
        <w:t>2#、</w:t>
      </w:r>
      <w:r>
        <w:rPr>
          <w:rFonts w:hint="eastAsia" w:ascii="宋体"/>
          <w:bCs/>
          <w:sz w:val="24"/>
        </w:rPr>
        <w:t>2</w:t>
      </w:r>
      <w:r>
        <w:rPr>
          <w:rFonts w:ascii="宋体"/>
          <w:bCs/>
          <w:sz w:val="24"/>
        </w:rPr>
        <w:t>8#改</w:t>
      </w:r>
      <w:r>
        <w:rPr>
          <w:rFonts w:hint="eastAsia" w:ascii="宋体"/>
          <w:bCs/>
          <w:sz w:val="24"/>
        </w:rPr>
        <w:t>造为</w:t>
      </w:r>
      <w:r>
        <w:rPr>
          <w:rFonts w:ascii="宋体"/>
          <w:bCs/>
          <w:sz w:val="24"/>
        </w:rPr>
        <w:t>设备</w:t>
      </w:r>
      <w:r>
        <w:rPr>
          <w:rFonts w:hint="eastAsia" w:ascii="宋体"/>
          <w:bCs/>
          <w:sz w:val="24"/>
        </w:rPr>
        <w:t>间供两侧台架使用。其中2</w:t>
      </w:r>
      <w:r>
        <w:rPr>
          <w:rFonts w:ascii="宋体"/>
          <w:bCs/>
          <w:sz w:val="24"/>
        </w:rPr>
        <w:t>8#设备间预</w:t>
      </w:r>
      <w:r>
        <w:rPr>
          <w:rFonts w:hint="eastAsia" w:ascii="宋体"/>
          <w:bCs/>
          <w:sz w:val="24"/>
        </w:rPr>
        <w:t>留一半场地，</w:t>
      </w:r>
      <w:r>
        <w:rPr>
          <w:rFonts w:ascii="宋体"/>
          <w:bCs/>
          <w:sz w:val="24"/>
        </w:rPr>
        <w:t>供</w:t>
      </w:r>
      <w:r>
        <w:rPr>
          <w:rFonts w:hint="eastAsia" w:ascii="宋体"/>
          <w:bCs/>
          <w:sz w:val="24"/>
        </w:rPr>
        <w:t>后续3</w:t>
      </w:r>
      <w:r>
        <w:rPr>
          <w:rFonts w:ascii="宋体"/>
          <w:bCs/>
          <w:sz w:val="24"/>
        </w:rPr>
        <w:t>0#台架改</w:t>
      </w:r>
      <w:r>
        <w:rPr>
          <w:rFonts w:hint="eastAsia" w:ascii="宋体"/>
          <w:bCs/>
          <w:sz w:val="24"/>
        </w:rPr>
        <w:t>造时</w:t>
      </w:r>
      <w:r>
        <w:rPr>
          <w:rFonts w:ascii="宋体"/>
          <w:bCs/>
          <w:sz w:val="24"/>
        </w:rPr>
        <w:t>使用。</w:t>
      </w:r>
    </w:p>
    <w:p w14:paraId="37C8BD45">
      <w:pPr>
        <w:spacing w:line="360" w:lineRule="auto"/>
        <w:rPr>
          <w:rFonts w:ascii="宋体"/>
          <w:sz w:val="24"/>
        </w:rPr>
      </w:pPr>
      <w:r>
        <w:rPr>
          <w:rFonts w:ascii="宋体"/>
          <w:sz w:val="24"/>
        </w:rPr>
        <w:t>4</w:t>
      </w:r>
      <w:r>
        <w:rPr>
          <w:rFonts w:hint="eastAsia" w:ascii="宋体"/>
          <w:sz w:val="24"/>
        </w:rPr>
        <w:t>.</w:t>
      </w:r>
      <w:r>
        <w:rPr>
          <w:rFonts w:ascii="宋体"/>
          <w:sz w:val="24"/>
        </w:rPr>
        <w:t xml:space="preserve"> </w:t>
      </w:r>
      <w:r>
        <w:rPr>
          <w:rFonts w:hint="eastAsia" w:ascii="宋体"/>
          <w:sz w:val="24"/>
        </w:rPr>
        <w:t>招标方主要有5大常规机型，实行混线生产，即每个台架均要满足现有机型的出厂试验需求。发动机参数见表</w:t>
      </w:r>
      <w:r>
        <w:rPr>
          <w:rFonts w:ascii="宋体"/>
          <w:sz w:val="24"/>
        </w:rPr>
        <w:t>3</w:t>
      </w:r>
      <w:r>
        <w:rPr>
          <w:rFonts w:hint="eastAsia" w:ascii="宋体"/>
          <w:sz w:val="24"/>
        </w:rPr>
        <w:t>：</w:t>
      </w:r>
    </w:p>
    <w:p w14:paraId="61716747">
      <w:pPr>
        <w:spacing w:line="360" w:lineRule="auto"/>
        <w:ind w:left="-199" w:leftChars="-95" w:firstLine="196" w:firstLineChars="82"/>
        <w:jc w:val="center"/>
        <w:rPr>
          <w:rFonts w:ascii="宋体"/>
          <w:sz w:val="24"/>
        </w:rPr>
      </w:pPr>
      <w:r>
        <w:rPr>
          <w:rFonts w:ascii="宋体"/>
          <w:sz w:val="24"/>
        </w:rPr>
        <w:t>表3  发</w:t>
      </w:r>
      <w:r>
        <w:rPr>
          <w:rFonts w:hint="eastAsia" w:ascii="宋体"/>
          <w:sz w:val="24"/>
        </w:rPr>
        <w:t>动机</w:t>
      </w:r>
      <w:r>
        <w:rPr>
          <w:rFonts w:ascii="宋体"/>
          <w:sz w:val="24"/>
        </w:rPr>
        <w:t>参数表</w:t>
      </w:r>
    </w:p>
    <w:tbl>
      <w:tblPr>
        <w:tblStyle w:val="36"/>
        <w:tblW w:w="8220" w:type="dxa"/>
        <w:jc w:val="center"/>
        <w:tblLayout w:type="autofit"/>
        <w:tblCellMar>
          <w:top w:w="0" w:type="dxa"/>
          <w:left w:w="108" w:type="dxa"/>
          <w:bottom w:w="0" w:type="dxa"/>
          <w:right w:w="108" w:type="dxa"/>
        </w:tblCellMar>
      </w:tblPr>
      <w:tblGrid>
        <w:gridCol w:w="660"/>
        <w:gridCol w:w="1835"/>
        <w:gridCol w:w="1095"/>
        <w:gridCol w:w="1270"/>
        <w:gridCol w:w="1000"/>
        <w:gridCol w:w="1000"/>
        <w:gridCol w:w="1360"/>
      </w:tblGrid>
      <w:tr w14:paraId="4DE3115E">
        <w:tblPrEx>
          <w:tblCellMar>
            <w:top w:w="0" w:type="dxa"/>
            <w:left w:w="108" w:type="dxa"/>
            <w:bottom w:w="0" w:type="dxa"/>
            <w:right w:w="108" w:type="dxa"/>
          </w:tblCellMar>
        </w:tblPrEx>
        <w:trPr>
          <w:trHeight w:val="270" w:hRule="atLeast"/>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646D9CE4">
            <w:pPr>
              <w:widowControl/>
              <w:jc w:val="center"/>
              <w:rPr>
                <w:rFonts w:ascii="黑体" w:hAnsi="黑体" w:eastAsia="黑体" w:cs="宋体"/>
                <w:color w:val="000000"/>
                <w:kern w:val="0"/>
                <w:sz w:val="18"/>
                <w:szCs w:val="18"/>
              </w:rPr>
            </w:pPr>
            <w:r>
              <w:rPr>
                <w:rFonts w:hint="eastAsia" w:ascii="黑体" w:hAnsi="黑体" w:eastAsia="黑体" w:cs="宋体"/>
                <w:color w:val="000000"/>
                <w:kern w:val="0"/>
                <w:sz w:val="18"/>
                <w:szCs w:val="18"/>
              </w:rPr>
              <w:t>序号</w:t>
            </w:r>
          </w:p>
        </w:tc>
        <w:tc>
          <w:tcPr>
            <w:tcW w:w="1835" w:type="dxa"/>
            <w:tcBorders>
              <w:top w:val="single" w:color="auto" w:sz="4" w:space="0"/>
              <w:left w:val="single" w:color="auto" w:sz="4" w:space="0"/>
              <w:bottom w:val="single" w:color="auto" w:sz="4" w:space="0"/>
              <w:right w:val="single" w:color="auto" w:sz="4" w:space="0"/>
            </w:tcBorders>
            <w:shd w:val="clear" w:color="auto" w:fill="auto"/>
            <w:vAlign w:val="center"/>
          </w:tcPr>
          <w:p w14:paraId="0869505C">
            <w:pPr>
              <w:widowControl/>
              <w:jc w:val="center"/>
              <w:rPr>
                <w:rFonts w:ascii="黑体" w:hAnsi="黑体" w:eastAsia="黑体" w:cs="宋体"/>
                <w:color w:val="000000"/>
                <w:kern w:val="0"/>
                <w:sz w:val="18"/>
                <w:szCs w:val="18"/>
              </w:rPr>
            </w:pPr>
            <w:r>
              <w:rPr>
                <w:rFonts w:hint="eastAsia" w:ascii="黑体" w:hAnsi="黑体" w:eastAsia="黑体" w:cs="宋体"/>
                <w:color w:val="000000"/>
                <w:kern w:val="0"/>
                <w:sz w:val="18"/>
                <w:szCs w:val="18"/>
              </w:rPr>
              <w:t>型号</w:t>
            </w:r>
          </w:p>
        </w:tc>
        <w:tc>
          <w:tcPr>
            <w:tcW w:w="1095" w:type="dxa"/>
            <w:tcBorders>
              <w:top w:val="single" w:color="auto" w:sz="4" w:space="0"/>
              <w:left w:val="nil"/>
              <w:bottom w:val="single" w:color="auto" w:sz="4" w:space="0"/>
              <w:right w:val="single" w:color="auto" w:sz="4" w:space="0"/>
            </w:tcBorders>
            <w:shd w:val="clear" w:color="auto" w:fill="auto"/>
            <w:vAlign w:val="center"/>
          </w:tcPr>
          <w:p w14:paraId="46B8F2B0">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机型1</w:t>
            </w:r>
          </w:p>
        </w:tc>
        <w:tc>
          <w:tcPr>
            <w:tcW w:w="1270" w:type="dxa"/>
            <w:tcBorders>
              <w:top w:val="single" w:color="auto" w:sz="4" w:space="0"/>
              <w:left w:val="nil"/>
              <w:bottom w:val="single" w:color="auto" w:sz="4" w:space="0"/>
              <w:right w:val="single" w:color="auto" w:sz="4" w:space="0"/>
            </w:tcBorders>
            <w:shd w:val="clear" w:color="auto" w:fill="auto"/>
            <w:vAlign w:val="center"/>
          </w:tcPr>
          <w:p w14:paraId="520E8F2A">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机型</w:t>
            </w:r>
            <w:r>
              <w:rPr>
                <w:rFonts w:ascii="黑体" w:hAnsi="黑体" w:eastAsia="黑体" w:cs="Arial"/>
                <w:color w:val="000000"/>
                <w:kern w:val="0"/>
                <w:sz w:val="18"/>
                <w:szCs w:val="18"/>
              </w:rPr>
              <w:t>2</w:t>
            </w:r>
          </w:p>
        </w:tc>
        <w:tc>
          <w:tcPr>
            <w:tcW w:w="1000" w:type="dxa"/>
            <w:tcBorders>
              <w:top w:val="single" w:color="auto" w:sz="4" w:space="0"/>
              <w:left w:val="nil"/>
              <w:bottom w:val="single" w:color="auto" w:sz="4" w:space="0"/>
              <w:right w:val="single" w:color="auto" w:sz="4" w:space="0"/>
            </w:tcBorders>
            <w:shd w:val="clear" w:color="auto" w:fill="auto"/>
            <w:vAlign w:val="center"/>
          </w:tcPr>
          <w:p w14:paraId="18659792">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机型</w:t>
            </w:r>
            <w:r>
              <w:rPr>
                <w:rFonts w:ascii="黑体" w:hAnsi="黑体" w:eastAsia="黑体" w:cs="Arial"/>
                <w:color w:val="000000"/>
                <w:kern w:val="0"/>
                <w:sz w:val="18"/>
                <w:szCs w:val="18"/>
              </w:rPr>
              <w:t>3</w:t>
            </w:r>
          </w:p>
        </w:tc>
        <w:tc>
          <w:tcPr>
            <w:tcW w:w="1000" w:type="dxa"/>
            <w:tcBorders>
              <w:top w:val="single" w:color="auto" w:sz="4" w:space="0"/>
              <w:left w:val="nil"/>
              <w:bottom w:val="single" w:color="auto" w:sz="4" w:space="0"/>
              <w:right w:val="single" w:color="auto" w:sz="4" w:space="0"/>
            </w:tcBorders>
            <w:shd w:val="clear" w:color="auto" w:fill="auto"/>
            <w:vAlign w:val="center"/>
          </w:tcPr>
          <w:p w14:paraId="75B0954C">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机型</w:t>
            </w:r>
            <w:r>
              <w:rPr>
                <w:rFonts w:ascii="黑体" w:hAnsi="黑体" w:eastAsia="黑体" w:cs="Arial"/>
                <w:color w:val="000000"/>
                <w:kern w:val="0"/>
                <w:sz w:val="18"/>
                <w:szCs w:val="18"/>
              </w:rPr>
              <w:t>4</w:t>
            </w:r>
          </w:p>
        </w:tc>
        <w:tc>
          <w:tcPr>
            <w:tcW w:w="1360" w:type="dxa"/>
            <w:tcBorders>
              <w:top w:val="single" w:color="auto" w:sz="4" w:space="0"/>
              <w:left w:val="single" w:color="auto" w:sz="4" w:space="0"/>
              <w:bottom w:val="single" w:color="auto" w:sz="4" w:space="0"/>
              <w:right w:val="single" w:color="auto" w:sz="4" w:space="0"/>
            </w:tcBorders>
            <w:shd w:val="clear" w:color="auto" w:fill="auto"/>
            <w:vAlign w:val="center"/>
          </w:tcPr>
          <w:p w14:paraId="687695D5">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机型</w:t>
            </w:r>
            <w:r>
              <w:rPr>
                <w:rFonts w:ascii="黑体" w:hAnsi="黑体" w:eastAsia="黑体" w:cs="Arial"/>
                <w:color w:val="000000"/>
                <w:kern w:val="0"/>
                <w:sz w:val="18"/>
                <w:szCs w:val="18"/>
              </w:rPr>
              <w:t>5</w:t>
            </w:r>
          </w:p>
        </w:tc>
      </w:tr>
      <w:tr w14:paraId="3A66BB49">
        <w:tblPrEx>
          <w:tblCellMar>
            <w:top w:w="0" w:type="dxa"/>
            <w:left w:w="108" w:type="dxa"/>
            <w:bottom w:w="0" w:type="dxa"/>
            <w:right w:w="108" w:type="dxa"/>
          </w:tblCellMar>
        </w:tblPrEx>
        <w:trPr>
          <w:trHeight w:val="270" w:hRule="atLeast"/>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1EA7280D">
            <w:pPr>
              <w:widowControl/>
              <w:jc w:val="center"/>
              <w:rPr>
                <w:rFonts w:ascii="黑体" w:hAnsi="黑体" w:eastAsia="黑体" w:cs="宋体"/>
                <w:color w:val="000000"/>
                <w:kern w:val="0"/>
                <w:sz w:val="18"/>
                <w:szCs w:val="18"/>
              </w:rPr>
            </w:pPr>
            <w:r>
              <w:rPr>
                <w:rFonts w:hint="eastAsia" w:ascii="黑体" w:hAnsi="黑体" w:eastAsia="黑体" w:cs="宋体"/>
                <w:color w:val="000000"/>
                <w:kern w:val="0"/>
                <w:sz w:val="18"/>
                <w:szCs w:val="18"/>
              </w:rPr>
              <w:t>1</w:t>
            </w:r>
          </w:p>
        </w:tc>
        <w:tc>
          <w:tcPr>
            <w:tcW w:w="1835" w:type="dxa"/>
            <w:tcBorders>
              <w:top w:val="single" w:color="auto" w:sz="4" w:space="0"/>
              <w:left w:val="single" w:color="auto" w:sz="4" w:space="0"/>
              <w:bottom w:val="single" w:color="auto" w:sz="4" w:space="0"/>
              <w:right w:val="single" w:color="auto" w:sz="4" w:space="0"/>
            </w:tcBorders>
            <w:shd w:val="clear" w:color="auto" w:fill="auto"/>
            <w:vAlign w:val="center"/>
          </w:tcPr>
          <w:p w14:paraId="0DCE98F9">
            <w:pPr>
              <w:widowControl/>
              <w:jc w:val="center"/>
              <w:rPr>
                <w:rFonts w:ascii="宋体" w:hAnsi="宋体" w:cs="宋体"/>
                <w:color w:val="000000"/>
                <w:kern w:val="0"/>
                <w:sz w:val="18"/>
                <w:szCs w:val="18"/>
              </w:rPr>
            </w:pPr>
            <w:r>
              <w:rPr>
                <w:rFonts w:hint="eastAsia" w:ascii="宋体" w:hAnsi="宋体" w:cs="宋体"/>
                <w:color w:val="000000"/>
                <w:kern w:val="0"/>
                <w:sz w:val="18"/>
                <w:szCs w:val="18"/>
              </w:rPr>
              <w:t>名义排量（L）</w:t>
            </w:r>
          </w:p>
        </w:tc>
        <w:tc>
          <w:tcPr>
            <w:tcW w:w="1095" w:type="dxa"/>
            <w:tcBorders>
              <w:top w:val="single" w:color="auto" w:sz="4" w:space="0"/>
              <w:left w:val="nil"/>
              <w:bottom w:val="single" w:color="auto" w:sz="4" w:space="0"/>
              <w:right w:val="single" w:color="auto" w:sz="4" w:space="0"/>
            </w:tcBorders>
            <w:shd w:val="clear" w:color="auto" w:fill="auto"/>
            <w:vAlign w:val="center"/>
          </w:tcPr>
          <w:p w14:paraId="2AC98FE1">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1</w:t>
            </w:r>
            <w:r>
              <w:rPr>
                <w:rFonts w:ascii="黑体" w:hAnsi="黑体" w:eastAsia="黑体" w:cs="Arial"/>
                <w:color w:val="000000"/>
                <w:kern w:val="0"/>
                <w:sz w:val="18"/>
                <w:szCs w:val="18"/>
              </w:rPr>
              <w:t>2</w:t>
            </w:r>
          </w:p>
        </w:tc>
        <w:tc>
          <w:tcPr>
            <w:tcW w:w="1270" w:type="dxa"/>
            <w:tcBorders>
              <w:top w:val="single" w:color="auto" w:sz="4" w:space="0"/>
              <w:left w:val="nil"/>
              <w:bottom w:val="single" w:color="auto" w:sz="4" w:space="0"/>
              <w:right w:val="single" w:color="auto" w:sz="4" w:space="0"/>
            </w:tcBorders>
            <w:shd w:val="clear" w:color="auto" w:fill="auto"/>
            <w:vAlign w:val="center"/>
          </w:tcPr>
          <w:p w14:paraId="07EC01F4">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1</w:t>
            </w:r>
            <w:r>
              <w:rPr>
                <w:rFonts w:ascii="黑体" w:hAnsi="黑体" w:eastAsia="黑体" w:cs="Arial"/>
                <w:color w:val="000000"/>
                <w:kern w:val="0"/>
                <w:sz w:val="18"/>
                <w:szCs w:val="18"/>
              </w:rPr>
              <w:t>0</w:t>
            </w:r>
          </w:p>
        </w:tc>
        <w:tc>
          <w:tcPr>
            <w:tcW w:w="1000" w:type="dxa"/>
            <w:tcBorders>
              <w:top w:val="single" w:color="auto" w:sz="4" w:space="0"/>
              <w:left w:val="nil"/>
              <w:bottom w:val="single" w:color="auto" w:sz="4" w:space="0"/>
              <w:right w:val="single" w:color="auto" w:sz="4" w:space="0"/>
            </w:tcBorders>
            <w:shd w:val="clear" w:color="auto" w:fill="auto"/>
            <w:vAlign w:val="center"/>
          </w:tcPr>
          <w:p w14:paraId="7C34462E">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6</w:t>
            </w:r>
          </w:p>
        </w:tc>
        <w:tc>
          <w:tcPr>
            <w:tcW w:w="1000" w:type="dxa"/>
            <w:tcBorders>
              <w:top w:val="single" w:color="auto" w:sz="4" w:space="0"/>
              <w:left w:val="nil"/>
              <w:bottom w:val="single" w:color="auto" w:sz="4" w:space="0"/>
              <w:right w:val="single" w:color="auto" w:sz="4" w:space="0"/>
            </w:tcBorders>
            <w:shd w:val="clear" w:color="auto" w:fill="auto"/>
            <w:vAlign w:val="center"/>
          </w:tcPr>
          <w:p w14:paraId="38A9D913">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7</w:t>
            </w:r>
          </w:p>
        </w:tc>
        <w:tc>
          <w:tcPr>
            <w:tcW w:w="1360" w:type="dxa"/>
            <w:tcBorders>
              <w:top w:val="single" w:color="auto" w:sz="4" w:space="0"/>
              <w:left w:val="single" w:color="auto" w:sz="4" w:space="0"/>
              <w:bottom w:val="single" w:color="auto" w:sz="4" w:space="0"/>
              <w:right w:val="single" w:color="auto" w:sz="4" w:space="0"/>
            </w:tcBorders>
            <w:shd w:val="clear" w:color="auto" w:fill="auto"/>
            <w:vAlign w:val="center"/>
          </w:tcPr>
          <w:p w14:paraId="38AA55FD">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5</w:t>
            </w:r>
          </w:p>
        </w:tc>
      </w:tr>
      <w:tr w14:paraId="60FB041C">
        <w:tblPrEx>
          <w:tblCellMar>
            <w:top w:w="0" w:type="dxa"/>
            <w:left w:w="108" w:type="dxa"/>
            <w:bottom w:w="0" w:type="dxa"/>
            <w:right w:w="108" w:type="dxa"/>
          </w:tblCellMar>
        </w:tblPrEx>
        <w:trPr>
          <w:trHeight w:val="270" w:hRule="atLeast"/>
          <w:jc w:val="center"/>
        </w:trPr>
        <w:tc>
          <w:tcPr>
            <w:tcW w:w="660" w:type="dxa"/>
            <w:tcBorders>
              <w:top w:val="single" w:color="auto" w:sz="4" w:space="0"/>
              <w:left w:val="single" w:color="auto" w:sz="4" w:space="0"/>
              <w:bottom w:val="single" w:color="auto" w:sz="4" w:space="0"/>
              <w:right w:val="single" w:color="auto" w:sz="4" w:space="0"/>
            </w:tcBorders>
            <w:shd w:val="clear" w:color="auto" w:fill="auto"/>
            <w:vAlign w:val="center"/>
          </w:tcPr>
          <w:p w14:paraId="3A323152">
            <w:pPr>
              <w:widowControl/>
              <w:jc w:val="center"/>
              <w:rPr>
                <w:rFonts w:ascii="黑体" w:hAnsi="黑体" w:eastAsia="黑体" w:cs="宋体"/>
                <w:color w:val="000000"/>
                <w:kern w:val="0"/>
                <w:sz w:val="18"/>
                <w:szCs w:val="18"/>
              </w:rPr>
            </w:pPr>
            <w:r>
              <w:rPr>
                <w:rFonts w:hint="eastAsia" w:ascii="黑体" w:hAnsi="黑体" w:eastAsia="黑体" w:cs="宋体"/>
                <w:color w:val="000000"/>
                <w:kern w:val="0"/>
                <w:sz w:val="18"/>
                <w:szCs w:val="18"/>
              </w:rPr>
              <w:t>2</w:t>
            </w:r>
          </w:p>
        </w:tc>
        <w:tc>
          <w:tcPr>
            <w:tcW w:w="1835" w:type="dxa"/>
            <w:tcBorders>
              <w:top w:val="single" w:color="auto" w:sz="4" w:space="0"/>
              <w:left w:val="single" w:color="auto" w:sz="4" w:space="0"/>
              <w:bottom w:val="single" w:color="auto" w:sz="4" w:space="0"/>
              <w:right w:val="single" w:color="auto" w:sz="4" w:space="0"/>
            </w:tcBorders>
            <w:shd w:val="clear" w:color="auto" w:fill="auto"/>
            <w:vAlign w:val="center"/>
          </w:tcPr>
          <w:p w14:paraId="69D0AFA0">
            <w:pPr>
              <w:widowControl/>
              <w:jc w:val="center"/>
              <w:rPr>
                <w:rFonts w:ascii="宋体" w:hAnsi="宋体" w:cs="宋体"/>
                <w:color w:val="000000"/>
                <w:kern w:val="0"/>
                <w:sz w:val="18"/>
                <w:szCs w:val="18"/>
              </w:rPr>
            </w:pPr>
            <w:r>
              <w:rPr>
                <w:rFonts w:hint="eastAsia" w:ascii="宋体" w:hAnsi="宋体" w:cs="宋体"/>
                <w:color w:val="000000"/>
                <w:kern w:val="0"/>
                <w:sz w:val="18"/>
                <w:szCs w:val="18"/>
              </w:rPr>
              <w:t>缸数</w:t>
            </w:r>
          </w:p>
        </w:tc>
        <w:tc>
          <w:tcPr>
            <w:tcW w:w="1095" w:type="dxa"/>
            <w:tcBorders>
              <w:top w:val="single" w:color="auto" w:sz="4" w:space="0"/>
              <w:left w:val="nil"/>
              <w:bottom w:val="single" w:color="auto" w:sz="4" w:space="0"/>
              <w:right w:val="single" w:color="auto" w:sz="4" w:space="0"/>
            </w:tcBorders>
            <w:shd w:val="clear" w:color="auto" w:fill="auto"/>
            <w:vAlign w:val="center"/>
          </w:tcPr>
          <w:p w14:paraId="6A31FF12">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6</w:t>
            </w:r>
          </w:p>
        </w:tc>
        <w:tc>
          <w:tcPr>
            <w:tcW w:w="1270" w:type="dxa"/>
            <w:tcBorders>
              <w:top w:val="single" w:color="auto" w:sz="4" w:space="0"/>
              <w:left w:val="nil"/>
              <w:bottom w:val="single" w:color="auto" w:sz="4" w:space="0"/>
              <w:right w:val="single" w:color="auto" w:sz="4" w:space="0"/>
            </w:tcBorders>
            <w:shd w:val="clear" w:color="auto" w:fill="auto"/>
            <w:vAlign w:val="center"/>
          </w:tcPr>
          <w:p w14:paraId="7968D2B9">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6</w:t>
            </w:r>
          </w:p>
        </w:tc>
        <w:tc>
          <w:tcPr>
            <w:tcW w:w="1000" w:type="dxa"/>
            <w:tcBorders>
              <w:top w:val="single" w:color="auto" w:sz="4" w:space="0"/>
              <w:left w:val="nil"/>
              <w:bottom w:val="single" w:color="auto" w:sz="4" w:space="0"/>
              <w:right w:val="single" w:color="auto" w:sz="4" w:space="0"/>
            </w:tcBorders>
            <w:shd w:val="clear" w:color="auto" w:fill="auto"/>
            <w:vAlign w:val="center"/>
          </w:tcPr>
          <w:p w14:paraId="31E077D8">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4</w:t>
            </w:r>
          </w:p>
        </w:tc>
        <w:tc>
          <w:tcPr>
            <w:tcW w:w="1000" w:type="dxa"/>
            <w:tcBorders>
              <w:top w:val="single" w:color="auto" w:sz="4" w:space="0"/>
              <w:left w:val="nil"/>
              <w:bottom w:val="single" w:color="auto" w:sz="4" w:space="0"/>
              <w:right w:val="single" w:color="auto" w:sz="4" w:space="0"/>
            </w:tcBorders>
            <w:shd w:val="clear" w:color="auto" w:fill="auto"/>
            <w:vAlign w:val="center"/>
          </w:tcPr>
          <w:p w14:paraId="1A4D94D8">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6</w:t>
            </w:r>
          </w:p>
        </w:tc>
        <w:tc>
          <w:tcPr>
            <w:tcW w:w="1360" w:type="dxa"/>
            <w:tcBorders>
              <w:top w:val="single" w:color="auto" w:sz="4" w:space="0"/>
              <w:left w:val="single" w:color="auto" w:sz="4" w:space="0"/>
              <w:bottom w:val="single" w:color="auto" w:sz="4" w:space="0"/>
              <w:right w:val="single" w:color="auto" w:sz="4" w:space="0"/>
            </w:tcBorders>
            <w:shd w:val="clear" w:color="auto" w:fill="auto"/>
            <w:vAlign w:val="center"/>
          </w:tcPr>
          <w:p w14:paraId="47615459">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4</w:t>
            </w:r>
          </w:p>
        </w:tc>
      </w:tr>
      <w:tr w14:paraId="7677D704">
        <w:tblPrEx>
          <w:tblCellMar>
            <w:top w:w="0" w:type="dxa"/>
            <w:left w:w="108" w:type="dxa"/>
            <w:bottom w:w="0" w:type="dxa"/>
            <w:right w:w="108" w:type="dxa"/>
          </w:tblCellMar>
        </w:tblPrEx>
        <w:trPr>
          <w:trHeight w:val="270" w:hRule="atLeast"/>
          <w:jc w:val="center"/>
        </w:trPr>
        <w:tc>
          <w:tcPr>
            <w:tcW w:w="660" w:type="dxa"/>
            <w:vMerge w:val="restart"/>
            <w:tcBorders>
              <w:top w:val="nil"/>
              <w:left w:val="single" w:color="auto" w:sz="4" w:space="0"/>
              <w:bottom w:val="single" w:color="auto" w:sz="4" w:space="0"/>
              <w:right w:val="single" w:color="auto" w:sz="4" w:space="0"/>
            </w:tcBorders>
            <w:shd w:val="clear" w:color="auto" w:fill="auto"/>
            <w:vAlign w:val="center"/>
          </w:tcPr>
          <w:p w14:paraId="1A48B436">
            <w:pPr>
              <w:widowControl/>
              <w:jc w:val="center"/>
              <w:rPr>
                <w:rFonts w:ascii="Arial" w:hAnsi="Arial" w:cs="Arial"/>
                <w:color w:val="000000"/>
                <w:kern w:val="0"/>
                <w:sz w:val="18"/>
                <w:szCs w:val="18"/>
              </w:rPr>
            </w:pPr>
            <w:r>
              <w:rPr>
                <w:rFonts w:ascii="Arial" w:hAnsi="Arial" w:cs="Arial"/>
                <w:color w:val="000000"/>
                <w:kern w:val="0"/>
                <w:sz w:val="18"/>
                <w:szCs w:val="18"/>
              </w:rPr>
              <w:t>3</w:t>
            </w:r>
          </w:p>
        </w:tc>
        <w:tc>
          <w:tcPr>
            <w:tcW w:w="1835" w:type="dxa"/>
            <w:tcBorders>
              <w:top w:val="nil"/>
              <w:left w:val="nil"/>
              <w:bottom w:val="single" w:color="auto" w:sz="4" w:space="0"/>
              <w:right w:val="single" w:color="auto" w:sz="4" w:space="0"/>
            </w:tcBorders>
            <w:shd w:val="clear" w:color="auto" w:fill="auto"/>
            <w:vAlign w:val="center"/>
          </w:tcPr>
          <w:p w14:paraId="4E94264A">
            <w:pPr>
              <w:widowControl/>
              <w:jc w:val="center"/>
              <w:rPr>
                <w:rFonts w:ascii="宋体" w:hAnsi="宋体" w:cs="宋体"/>
                <w:color w:val="000000"/>
                <w:kern w:val="0"/>
                <w:sz w:val="18"/>
                <w:szCs w:val="18"/>
              </w:rPr>
            </w:pPr>
            <w:r>
              <w:rPr>
                <w:rFonts w:hint="eastAsia" w:ascii="宋体" w:hAnsi="宋体" w:cs="宋体"/>
                <w:color w:val="000000"/>
                <w:kern w:val="0"/>
                <w:sz w:val="18"/>
                <w:szCs w:val="18"/>
              </w:rPr>
              <w:t>长mm</w:t>
            </w:r>
          </w:p>
        </w:tc>
        <w:tc>
          <w:tcPr>
            <w:tcW w:w="1095" w:type="dxa"/>
            <w:tcBorders>
              <w:top w:val="nil"/>
              <w:left w:val="nil"/>
              <w:bottom w:val="single" w:color="auto" w:sz="4" w:space="0"/>
              <w:right w:val="single" w:color="auto" w:sz="4" w:space="0"/>
            </w:tcBorders>
            <w:shd w:val="clear" w:color="auto" w:fill="auto"/>
            <w:vAlign w:val="center"/>
          </w:tcPr>
          <w:p w14:paraId="63731E87">
            <w:pPr>
              <w:widowControl/>
              <w:jc w:val="center"/>
              <w:rPr>
                <w:rFonts w:ascii="黑体" w:hAnsi="黑体" w:eastAsia="黑体" w:cs="Arial"/>
                <w:color w:val="000000"/>
                <w:kern w:val="0"/>
                <w:sz w:val="18"/>
                <w:szCs w:val="18"/>
              </w:rPr>
            </w:pPr>
            <w:r>
              <w:rPr>
                <w:rFonts w:ascii="黑体" w:hAnsi="黑体" w:eastAsia="黑体" w:cs="Arial"/>
                <w:color w:val="000000"/>
                <w:kern w:val="0"/>
                <w:sz w:val="18"/>
                <w:szCs w:val="18"/>
              </w:rPr>
              <w:t>1575</w:t>
            </w:r>
          </w:p>
        </w:tc>
        <w:tc>
          <w:tcPr>
            <w:tcW w:w="1270" w:type="dxa"/>
            <w:tcBorders>
              <w:top w:val="nil"/>
              <w:left w:val="nil"/>
              <w:bottom w:val="single" w:color="auto" w:sz="4" w:space="0"/>
              <w:right w:val="single" w:color="auto" w:sz="4" w:space="0"/>
            </w:tcBorders>
            <w:shd w:val="clear" w:color="auto" w:fill="auto"/>
            <w:vAlign w:val="center"/>
          </w:tcPr>
          <w:p w14:paraId="10368076">
            <w:pPr>
              <w:widowControl/>
              <w:jc w:val="center"/>
              <w:rPr>
                <w:rFonts w:ascii="黑体" w:hAnsi="黑体" w:eastAsia="黑体" w:cs="Arial"/>
                <w:color w:val="000000"/>
                <w:kern w:val="0"/>
                <w:sz w:val="18"/>
                <w:szCs w:val="18"/>
              </w:rPr>
            </w:pPr>
            <w:r>
              <w:rPr>
                <w:rFonts w:ascii="黑体" w:hAnsi="黑体" w:eastAsia="黑体" w:cs="Arial"/>
                <w:color w:val="000000"/>
                <w:kern w:val="0"/>
                <w:sz w:val="18"/>
                <w:szCs w:val="18"/>
              </w:rPr>
              <w:t>1500</w:t>
            </w:r>
          </w:p>
        </w:tc>
        <w:tc>
          <w:tcPr>
            <w:tcW w:w="1000" w:type="dxa"/>
            <w:tcBorders>
              <w:top w:val="nil"/>
              <w:left w:val="nil"/>
              <w:bottom w:val="single" w:color="auto" w:sz="4" w:space="0"/>
              <w:right w:val="single" w:color="auto" w:sz="4" w:space="0"/>
            </w:tcBorders>
            <w:shd w:val="clear" w:color="auto" w:fill="auto"/>
            <w:vAlign w:val="center"/>
          </w:tcPr>
          <w:p w14:paraId="0219D4EA">
            <w:pPr>
              <w:widowControl/>
              <w:jc w:val="center"/>
              <w:rPr>
                <w:rFonts w:ascii="黑体" w:hAnsi="黑体" w:eastAsia="黑体" w:cs="Arial"/>
                <w:color w:val="000000"/>
                <w:kern w:val="0"/>
                <w:sz w:val="18"/>
                <w:szCs w:val="18"/>
              </w:rPr>
            </w:pPr>
            <w:r>
              <w:rPr>
                <w:rFonts w:ascii="黑体" w:hAnsi="黑体" w:eastAsia="黑体" w:cs="Arial"/>
                <w:color w:val="000000"/>
                <w:kern w:val="0"/>
                <w:sz w:val="18"/>
                <w:szCs w:val="18"/>
              </w:rPr>
              <w:t>1200</w:t>
            </w:r>
          </w:p>
        </w:tc>
        <w:tc>
          <w:tcPr>
            <w:tcW w:w="1000" w:type="dxa"/>
            <w:tcBorders>
              <w:top w:val="nil"/>
              <w:left w:val="nil"/>
              <w:bottom w:val="single" w:color="auto" w:sz="4" w:space="0"/>
              <w:right w:val="single" w:color="auto" w:sz="4" w:space="0"/>
            </w:tcBorders>
            <w:shd w:val="clear" w:color="auto" w:fill="auto"/>
            <w:vAlign w:val="center"/>
          </w:tcPr>
          <w:p w14:paraId="57B6751A">
            <w:pPr>
              <w:widowControl/>
              <w:jc w:val="center"/>
              <w:rPr>
                <w:rFonts w:ascii="黑体" w:hAnsi="黑体" w:eastAsia="黑体" w:cs="Arial"/>
                <w:color w:val="000000"/>
                <w:kern w:val="0"/>
                <w:sz w:val="18"/>
                <w:szCs w:val="18"/>
              </w:rPr>
            </w:pPr>
            <w:r>
              <w:rPr>
                <w:rFonts w:ascii="黑体" w:hAnsi="黑体" w:eastAsia="黑体" w:cs="Arial"/>
                <w:color w:val="000000"/>
                <w:kern w:val="0"/>
                <w:sz w:val="18"/>
                <w:szCs w:val="18"/>
              </w:rPr>
              <w:t>1310</w:t>
            </w:r>
          </w:p>
        </w:tc>
        <w:tc>
          <w:tcPr>
            <w:tcW w:w="1360" w:type="dxa"/>
            <w:tcBorders>
              <w:top w:val="nil"/>
              <w:left w:val="nil"/>
              <w:bottom w:val="single" w:color="auto" w:sz="4" w:space="0"/>
              <w:right w:val="single" w:color="auto" w:sz="4" w:space="0"/>
            </w:tcBorders>
            <w:shd w:val="clear" w:color="auto" w:fill="auto"/>
            <w:vAlign w:val="center"/>
          </w:tcPr>
          <w:p w14:paraId="27212DD8">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1150</w:t>
            </w:r>
          </w:p>
        </w:tc>
      </w:tr>
      <w:tr w14:paraId="2CB49013">
        <w:tblPrEx>
          <w:tblCellMar>
            <w:top w:w="0" w:type="dxa"/>
            <w:left w:w="108" w:type="dxa"/>
            <w:bottom w:w="0" w:type="dxa"/>
            <w:right w:w="108" w:type="dxa"/>
          </w:tblCellMar>
        </w:tblPrEx>
        <w:trPr>
          <w:trHeight w:val="270" w:hRule="atLeast"/>
          <w:jc w:val="center"/>
        </w:trPr>
        <w:tc>
          <w:tcPr>
            <w:tcW w:w="660" w:type="dxa"/>
            <w:vMerge w:val="continue"/>
            <w:tcBorders>
              <w:top w:val="nil"/>
              <w:left w:val="single" w:color="auto" w:sz="4" w:space="0"/>
              <w:bottom w:val="single" w:color="auto" w:sz="4" w:space="0"/>
              <w:right w:val="single" w:color="auto" w:sz="4" w:space="0"/>
            </w:tcBorders>
            <w:vAlign w:val="center"/>
          </w:tcPr>
          <w:p w14:paraId="477B53A6">
            <w:pPr>
              <w:widowControl/>
              <w:rPr>
                <w:rFonts w:ascii="Arial" w:hAnsi="Arial" w:cs="Arial"/>
                <w:color w:val="000000"/>
                <w:kern w:val="0"/>
                <w:sz w:val="18"/>
                <w:szCs w:val="18"/>
              </w:rPr>
            </w:pPr>
          </w:p>
        </w:tc>
        <w:tc>
          <w:tcPr>
            <w:tcW w:w="1835" w:type="dxa"/>
            <w:tcBorders>
              <w:top w:val="nil"/>
              <w:left w:val="nil"/>
              <w:bottom w:val="single" w:color="auto" w:sz="4" w:space="0"/>
              <w:right w:val="single" w:color="auto" w:sz="4" w:space="0"/>
            </w:tcBorders>
            <w:shd w:val="clear" w:color="auto" w:fill="auto"/>
            <w:vAlign w:val="center"/>
          </w:tcPr>
          <w:p w14:paraId="6C1A25F0">
            <w:pPr>
              <w:widowControl/>
              <w:jc w:val="center"/>
              <w:rPr>
                <w:rFonts w:ascii="Arial" w:hAnsi="Arial" w:cs="Arial"/>
                <w:color w:val="000000"/>
                <w:kern w:val="0"/>
                <w:sz w:val="18"/>
                <w:szCs w:val="18"/>
              </w:rPr>
            </w:pPr>
            <w:r>
              <w:rPr>
                <w:rFonts w:ascii="Arial" w:hAnsi="Arial" w:cs="Arial"/>
                <w:color w:val="000000"/>
                <w:kern w:val="0"/>
                <w:sz w:val="18"/>
                <w:szCs w:val="18"/>
              </w:rPr>
              <w:t>×</w:t>
            </w:r>
          </w:p>
        </w:tc>
        <w:tc>
          <w:tcPr>
            <w:tcW w:w="1095" w:type="dxa"/>
            <w:tcBorders>
              <w:top w:val="nil"/>
              <w:left w:val="nil"/>
              <w:bottom w:val="single" w:color="auto" w:sz="4" w:space="0"/>
              <w:right w:val="single" w:color="auto" w:sz="4" w:space="0"/>
            </w:tcBorders>
            <w:shd w:val="clear" w:color="auto" w:fill="auto"/>
            <w:vAlign w:val="center"/>
          </w:tcPr>
          <w:p w14:paraId="0125C34E">
            <w:pPr>
              <w:widowControl/>
              <w:jc w:val="center"/>
              <w:rPr>
                <w:rFonts w:ascii="Arial" w:hAnsi="Arial" w:cs="Arial"/>
                <w:color w:val="000000"/>
                <w:kern w:val="0"/>
                <w:sz w:val="18"/>
                <w:szCs w:val="18"/>
              </w:rPr>
            </w:pPr>
            <w:r>
              <w:rPr>
                <w:rFonts w:ascii="Arial" w:hAnsi="Arial" w:cs="Arial"/>
                <w:color w:val="000000"/>
                <w:kern w:val="0"/>
                <w:sz w:val="18"/>
                <w:szCs w:val="18"/>
              </w:rPr>
              <w:t>×</w:t>
            </w:r>
          </w:p>
        </w:tc>
        <w:tc>
          <w:tcPr>
            <w:tcW w:w="1270" w:type="dxa"/>
            <w:tcBorders>
              <w:top w:val="nil"/>
              <w:left w:val="nil"/>
              <w:bottom w:val="single" w:color="auto" w:sz="4" w:space="0"/>
              <w:right w:val="single" w:color="auto" w:sz="4" w:space="0"/>
            </w:tcBorders>
            <w:shd w:val="clear" w:color="auto" w:fill="auto"/>
            <w:vAlign w:val="center"/>
          </w:tcPr>
          <w:p w14:paraId="332B0151">
            <w:pPr>
              <w:widowControl/>
              <w:jc w:val="center"/>
              <w:rPr>
                <w:rFonts w:ascii="Arial" w:hAnsi="Arial" w:cs="Arial"/>
                <w:color w:val="000000"/>
                <w:kern w:val="0"/>
                <w:sz w:val="18"/>
                <w:szCs w:val="18"/>
              </w:rPr>
            </w:pPr>
            <w:r>
              <w:rPr>
                <w:rFonts w:ascii="Arial" w:hAnsi="Arial" w:cs="Arial"/>
                <w:color w:val="000000"/>
                <w:kern w:val="0"/>
                <w:sz w:val="18"/>
                <w:szCs w:val="18"/>
              </w:rPr>
              <w:t>×</w:t>
            </w:r>
          </w:p>
        </w:tc>
        <w:tc>
          <w:tcPr>
            <w:tcW w:w="1000" w:type="dxa"/>
            <w:tcBorders>
              <w:top w:val="nil"/>
              <w:left w:val="nil"/>
              <w:bottom w:val="single" w:color="auto" w:sz="4" w:space="0"/>
              <w:right w:val="single" w:color="auto" w:sz="4" w:space="0"/>
            </w:tcBorders>
            <w:shd w:val="clear" w:color="auto" w:fill="auto"/>
            <w:vAlign w:val="center"/>
          </w:tcPr>
          <w:p w14:paraId="22D8FE08">
            <w:pPr>
              <w:widowControl/>
              <w:jc w:val="center"/>
              <w:rPr>
                <w:rFonts w:ascii="Arial" w:hAnsi="Arial" w:cs="Arial"/>
                <w:color w:val="000000"/>
                <w:kern w:val="0"/>
                <w:sz w:val="18"/>
                <w:szCs w:val="18"/>
              </w:rPr>
            </w:pPr>
            <w:r>
              <w:rPr>
                <w:rFonts w:ascii="Arial" w:hAnsi="Arial" w:cs="Arial"/>
                <w:color w:val="000000"/>
                <w:kern w:val="0"/>
                <w:sz w:val="18"/>
                <w:szCs w:val="18"/>
              </w:rPr>
              <w:t>×</w:t>
            </w:r>
          </w:p>
        </w:tc>
        <w:tc>
          <w:tcPr>
            <w:tcW w:w="1000" w:type="dxa"/>
            <w:tcBorders>
              <w:top w:val="nil"/>
              <w:left w:val="nil"/>
              <w:bottom w:val="single" w:color="auto" w:sz="4" w:space="0"/>
              <w:right w:val="single" w:color="auto" w:sz="4" w:space="0"/>
            </w:tcBorders>
            <w:shd w:val="clear" w:color="auto" w:fill="auto"/>
            <w:vAlign w:val="center"/>
          </w:tcPr>
          <w:p w14:paraId="7F5C0CAF">
            <w:pPr>
              <w:widowControl/>
              <w:jc w:val="center"/>
              <w:rPr>
                <w:rFonts w:ascii="Arial" w:hAnsi="Arial" w:cs="Arial"/>
                <w:color w:val="000000"/>
                <w:kern w:val="0"/>
                <w:sz w:val="18"/>
                <w:szCs w:val="18"/>
              </w:rPr>
            </w:pPr>
            <w:r>
              <w:rPr>
                <w:rFonts w:ascii="Arial" w:hAnsi="Arial" w:cs="Arial"/>
                <w:color w:val="000000"/>
                <w:kern w:val="0"/>
                <w:sz w:val="18"/>
                <w:szCs w:val="18"/>
              </w:rPr>
              <w:t>×</w:t>
            </w:r>
          </w:p>
        </w:tc>
        <w:tc>
          <w:tcPr>
            <w:tcW w:w="1360" w:type="dxa"/>
            <w:tcBorders>
              <w:top w:val="nil"/>
              <w:left w:val="nil"/>
              <w:bottom w:val="single" w:color="auto" w:sz="4" w:space="0"/>
              <w:right w:val="single" w:color="auto" w:sz="4" w:space="0"/>
            </w:tcBorders>
            <w:shd w:val="clear" w:color="auto" w:fill="auto"/>
            <w:vAlign w:val="center"/>
          </w:tcPr>
          <w:p w14:paraId="714689EB">
            <w:pPr>
              <w:widowControl/>
              <w:jc w:val="center"/>
              <w:rPr>
                <w:rFonts w:ascii="Arial" w:hAnsi="Arial" w:cs="Arial"/>
                <w:color w:val="000000"/>
                <w:kern w:val="0"/>
                <w:sz w:val="18"/>
                <w:szCs w:val="18"/>
              </w:rPr>
            </w:pPr>
            <w:r>
              <w:rPr>
                <w:rFonts w:ascii="Arial" w:hAnsi="Arial" w:cs="Arial"/>
                <w:color w:val="000000"/>
                <w:kern w:val="0"/>
                <w:sz w:val="18"/>
                <w:szCs w:val="18"/>
              </w:rPr>
              <w:t>×</w:t>
            </w:r>
          </w:p>
        </w:tc>
      </w:tr>
      <w:tr w14:paraId="5917B42F">
        <w:tblPrEx>
          <w:tblCellMar>
            <w:top w:w="0" w:type="dxa"/>
            <w:left w:w="108" w:type="dxa"/>
            <w:bottom w:w="0" w:type="dxa"/>
            <w:right w:w="108" w:type="dxa"/>
          </w:tblCellMar>
        </w:tblPrEx>
        <w:trPr>
          <w:trHeight w:val="270" w:hRule="atLeast"/>
          <w:jc w:val="center"/>
        </w:trPr>
        <w:tc>
          <w:tcPr>
            <w:tcW w:w="660" w:type="dxa"/>
            <w:vMerge w:val="continue"/>
            <w:tcBorders>
              <w:top w:val="nil"/>
              <w:left w:val="single" w:color="auto" w:sz="4" w:space="0"/>
              <w:bottom w:val="single" w:color="auto" w:sz="4" w:space="0"/>
              <w:right w:val="single" w:color="auto" w:sz="4" w:space="0"/>
            </w:tcBorders>
            <w:vAlign w:val="center"/>
          </w:tcPr>
          <w:p w14:paraId="23DC24B5">
            <w:pPr>
              <w:widowControl/>
              <w:rPr>
                <w:rFonts w:ascii="Arial" w:hAnsi="Arial" w:cs="Arial"/>
                <w:color w:val="000000"/>
                <w:kern w:val="0"/>
                <w:sz w:val="18"/>
                <w:szCs w:val="18"/>
              </w:rPr>
            </w:pPr>
          </w:p>
        </w:tc>
        <w:tc>
          <w:tcPr>
            <w:tcW w:w="1835" w:type="dxa"/>
            <w:tcBorders>
              <w:top w:val="nil"/>
              <w:left w:val="nil"/>
              <w:bottom w:val="single" w:color="auto" w:sz="4" w:space="0"/>
              <w:right w:val="single" w:color="auto" w:sz="4" w:space="0"/>
            </w:tcBorders>
            <w:shd w:val="clear" w:color="auto" w:fill="auto"/>
            <w:vAlign w:val="center"/>
          </w:tcPr>
          <w:p w14:paraId="5E51F23D">
            <w:pPr>
              <w:widowControl/>
              <w:jc w:val="center"/>
              <w:rPr>
                <w:rFonts w:ascii="宋体" w:hAnsi="宋体" w:cs="宋体"/>
                <w:color w:val="000000"/>
                <w:kern w:val="0"/>
                <w:sz w:val="18"/>
                <w:szCs w:val="18"/>
              </w:rPr>
            </w:pPr>
            <w:r>
              <w:rPr>
                <w:rFonts w:hint="eastAsia" w:ascii="宋体" w:hAnsi="宋体" w:cs="宋体"/>
                <w:color w:val="000000"/>
                <w:kern w:val="0"/>
                <w:sz w:val="18"/>
                <w:szCs w:val="18"/>
              </w:rPr>
              <w:t>宽mm</w:t>
            </w:r>
          </w:p>
        </w:tc>
        <w:tc>
          <w:tcPr>
            <w:tcW w:w="1095" w:type="dxa"/>
            <w:tcBorders>
              <w:top w:val="nil"/>
              <w:left w:val="nil"/>
              <w:bottom w:val="single" w:color="auto" w:sz="4" w:space="0"/>
              <w:right w:val="single" w:color="auto" w:sz="4" w:space="0"/>
            </w:tcBorders>
            <w:shd w:val="clear" w:color="auto" w:fill="auto"/>
            <w:vAlign w:val="center"/>
          </w:tcPr>
          <w:p w14:paraId="1A4D2E42">
            <w:pPr>
              <w:widowControl/>
              <w:jc w:val="center"/>
              <w:rPr>
                <w:rFonts w:ascii="Arial" w:hAnsi="Arial" w:cs="Arial"/>
                <w:color w:val="000000"/>
                <w:kern w:val="0"/>
                <w:sz w:val="18"/>
                <w:szCs w:val="18"/>
              </w:rPr>
            </w:pPr>
            <w:r>
              <w:rPr>
                <w:rFonts w:ascii="Arial" w:hAnsi="Arial" w:cs="Arial"/>
                <w:color w:val="000000"/>
                <w:kern w:val="0"/>
                <w:sz w:val="18"/>
                <w:szCs w:val="18"/>
              </w:rPr>
              <w:t>825</w:t>
            </w:r>
          </w:p>
        </w:tc>
        <w:tc>
          <w:tcPr>
            <w:tcW w:w="1270" w:type="dxa"/>
            <w:tcBorders>
              <w:top w:val="nil"/>
              <w:left w:val="nil"/>
              <w:bottom w:val="single" w:color="auto" w:sz="4" w:space="0"/>
              <w:right w:val="single" w:color="auto" w:sz="4" w:space="0"/>
            </w:tcBorders>
            <w:shd w:val="clear" w:color="auto" w:fill="auto"/>
            <w:vAlign w:val="center"/>
          </w:tcPr>
          <w:p w14:paraId="7BFC496F">
            <w:pPr>
              <w:widowControl/>
              <w:jc w:val="center"/>
              <w:rPr>
                <w:rFonts w:ascii="Arial" w:hAnsi="Arial" w:cs="Arial"/>
                <w:color w:val="000000"/>
                <w:kern w:val="0"/>
                <w:sz w:val="18"/>
                <w:szCs w:val="18"/>
              </w:rPr>
            </w:pPr>
            <w:r>
              <w:rPr>
                <w:rFonts w:ascii="Arial" w:hAnsi="Arial" w:cs="Arial"/>
                <w:color w:val="000000"/>
                <w:kern w:val="0"/>
                <w:sz w:val="18"/>
                <w:szCs w:val="18"/>
              </w:rPr>
              <w:t>780</w:t>
            </w:r>
          </w:p>
        </w:tc>
        <w:tc>
          <w:tcPr>
            <w:tcW w:w="1000" w:type="dxa"/>
            <w:tcBorders>
              <w:top w:val="nil"/>
              <w:left w:val="nil"/>
              <w:bottom w:val="single" w:color="auto" w:sz="4" w:space="0"/>
              <w:right w:val="single" w:color="auto" w:sz="4" w:space="0"/>
            </w:tcBorders>
            <w:shd w:val="clear" w:color="auto" w:fill="auto"/>
            <w:vAlign w:val="center"/>
          </w:tcPr>
          <w:p w14:paraId="791D8C37">
            <w:pPr>
              <w:widowControl/>
              <w:jc w:val="center"/>
              <w:rPr>
                <w:rFonts w:ascii="Arial" w:hAnsi="Arial" w:cs="Arial"/>
                <w:color w:val="000000"/>
                <w:kern w:val="0"/>
                <w:sz w:val="18"/>
                <w:szCs w:val="18"/>
              </w:rPr>
            </w:pPr>
            <w:r>
              <w:rPr>
                <w:rFonts w:ascii="Arial" w:hAnsi="Arial" w:cs="Arial"/>
                <w:color w:val="000000"/>
                <w:kern w:val="0"/>
                <w:sz w:val="18"/>
                <w:szCs w:val="18"/>
              </w:rPr>
              <w:t>780</w:t>
            </w:r>
          </w:p>
        </w:tc>
        <w:tc>
          <w:tcPr>
            <w:tcW w:w="1000" w:type="dxa"/>
            <w:tcBorders>
              <w:top w:val="nil"/>
              <w:left w:val="nil"/>
              <w:bottom w:val="single" w:color="auto" w:sz="4" w:space="0"/>
              <w:right w:val="single" w:color="auto" w:sz="4" w:space="0"/>
            </w:tcBorders>
            <w:shd w:val="clear" w:color="auto" w:fill="auto"/>
            <w:vAlign w:val="center"/>
          </w:tcPr>
          <w:p w14:paraId="538E703E">
            <w:pPr>
              <w:widowControl/>
              <w:jc w:val="center"/>
              <w:rPr>
                <w:rFonts w:ascii="Arial" w:hAnsi="Arial" w:cs="Arial"/>
                <w:color w:val="000000"/>
                <w:kern w:val="0"/>
                <w:sz w:val="18"/>
                <w:szCs w:val="18"/>
              </w:rPr>
            </w:pPr>
            <w:r>
              <w:rPr>
                <w:rFonts w:ascii="Arial" w:hAnsi="Arial" w:cs="Arial"/>
                <w:color w:val="000000"/>
                <w:kern w:val="0"/>
                <w:sz w:val="18"/>
                <w:szCs w:val="18"/>
              </w:rPr>
              <w:t>1000</w:t>
            </w:r>
          </w:p>
        </w:tc>
        <w:tc>
          <w:tcPr>
            <w:tcW w:w="1360" w:type="dxa"/>
            <w:tcBorders>
              <w:top w:val="nil"/>
              <w:left w:val="nil"/>
              <w:bottom w:val="single" w:color="auto" w:sz="4" w:space="0"/>
              <w:right w:val="single" w:color="auto" w:sz="4" w:space="0"/>
            </w:tcBorders>
            <w:shd w:val="clear" w:color="auto" w:fill="auto"/>
            <w:vAlign w:val="center"/>
          </w:tcPr>
          <w:p w14:paraId="6A37BD17">
            <w:pPr>
              <w:widowControl/>
              <w:jc w:val="center"/>
              <w:rPr>
                <w:rFonts w:ascii="Arial" w:hAnsi="Arial" w:cs="Arial"/>
                <w:color w:val="000000"/>
                <w:kern w:val="0"/>
                <w:sz w:val="18"/>
                <w:szCs w:val="18"/>
              </w:rPr>
            </w:pPr>
            <w:r>
              <w:rPr>
                <w:rFonts w:ascii="Arial" w:hAnsi="Arial" w:cs="Arial"/>
                <w:color w:val="000000"/>
                <w:kern w:val="0"/>
                <w:sz w:val="18"/>
                <w:szCs w:val="18"/>
              </w:rPr>
              <w:t>1000</w:t>
            </w:r>
          </w:p>
        </w:tc>
      </w:tr>
      <w:tr w14:paraId="0594C1C4">
        <w:tblPrEx>
          <w:tblCellMar>
            <w:top w:w="0" w:type="dxa"/>
            <w:left w:w="108" w:type="dxa"/>
            <w:bottom w:w="0" w:type="dxa"/>
            <w:right w:w="108" w:type="dxa"/>
          </w:tblCellMar>
        </w:tblPrEx>
        <w:trPr>
          <w:trHeight w:val="270" w:hRule="atLeast"/>
          <w:jc w:val="center"/>
        </w:trPr>
        <w:tc>
          <w:tcPr>
            <w:tcW w:w="660" w:type="dxa"/>
            <w:vMerge w:val="continue"/>
            <w:tcBorders>
              <w:top w:val="nil"/>
              <w:left w:val="single" w:color="auto" w:sz="4" w:space="0"/>
              <w:bottom w:val="single" w:color="auto" w:sz="4" w:space="0"/>
              <w:right w:val="single" w:color="auto" w:sz="4" w:space="0"/>
            </w:tcBorders>
            <w:vAlign w:val="center"/>
          </w:tcPr>
          <w:p w14:paraId="446BACA1">
            <w:pPr>
              <w:widowControl/>
              <w:rPr>
                <w:rFonts w:ascii="Arial" w:hAnsi="Arial" w:cs="Arial"/>
                <w:color w:val="000000"/>
                <w:kern w:val="0"/>
                <w:sz w:val="18"/>
                <w:szCs w:val="18"/>
              </w:rPr>
            </w:pPr>
          </w:p>
        </w:tc>
        <w:tc>
          <w:tcPr>
            <w:tcW w:w="1835" w:type="dxa"/>
            <w:tcBorders>
              <w:top w:val="nil"/>
              <w:left w:val="nil"/>
              <w:bottom w:val="single" w:color="auto" w:sz="4" w:space="0"/>
              <w:right w:val="single" w:color="auto" w:sz="4" w:space="0"/>
            </w:tcBorders>
            <w:shd w:val="clear" w:color="auto" w:fill="auto"/>
            <w:vAlign w:val="center"/>
          </w:tcPr>
          <w:p w14:paraId="1222ED9A">
            <w:pPr>
              <w:widowControl/>
              <w:jc w:val="center"/>
              <w:rPr>
                <w:rFonts w:ascii="Arial" w:hAnsi="Arial" w:cs="Arial"/>
                <w:color w:val="000000"/>
                <w:kern w:val="0"/>
                <w:sz w:val="18"/>
                <w:szCs w:val="18"/>
              </w:rPr>
            </w:pPr>
            <w:r>
              <w:rPr>
                <w:rFonts w:ascii="Arial" w:hAnsi="Arial" w:cs="Arial"/>
                <w:color w:val="000000"/>
                <w:kern w:val="0"/>
                <w:sz w:val="18"/>
                <w:szCs w:val="18"/>
              </w:rPr>
              <w:t>×</w:t>
            </w:r>
          </w:p>
        </w:tc>
        <w:tc>
          <w:tcPr>
            <w:tcW w:w="1095" w:type="dxa"/>
            <w:tcBorders>
              <w:top w:val="nil"/>
              <w:left w:val="nil"/>
              <w:bottom w:val="single" w:color="auto" w:sz="4" w:space="0"/>
              <w:right w:val="single" w:color="auto" w:sz="4" w:space="0"/>
            </w:tcBorders>
            <w:shd w:val="clear" w:color="auto" w:fill="auto"/>
            <w:vAlign w:val="center"/>
          </w:tcPr>
          <w:p w14:paraId="435F040F">
            <w:pPr>
              <w:widowControl/>
              <w:jc w:val="center"/>
              <w:rPr>
                <w:rFonts w:ascii="Arial" w:hAnsi="Arial" w:cs="Arial"/>
                <w:color w:val="000000"/>
                <w:kern w:val="0"/>
                <w:sz w:val="18"/>
                <w:szCs w:val="18"/>
              </w:rPr>
            </w:pPr>
            <w:r>
              <w:rPr>
                <w:rFonts w:ascii="Arial" w:hAnsi="Arial" w:cs="Arial"/>
                <w:color w:val="000000"/>
                <w:kern w:val="0"/>
                <w:sz w:val="18"/>
                <w:szCs w:val="18"/>
              </w:rPr>
              <w:t>×</w:t>
            </w:r>
          </w:p>
        </w:tc>
        <w:tc>
          <w:tcPr>
            <w:tcW w:w="1270" w:type="dxa"/>
            <w:tcBorders>
              <w:top w:val="nil"/>
              <w:left w:val="nil"/>
              <w:bottom w:val="single" w:color="auto" w:sz="4" w:space="0"/>
              <w:right w:val="single" w:color="auto" w:sz="4" w:space="0"/>
            </w:tcBorders>
            <w:shd w:val="clear" w:color="auto" w:fill="auto"/>
            <w:vAlign w:val="center"/>
          </w:tcPr>
          <w:p w14:paraId="60759D6A">
            <w:pPr>
              <w:widowControl/>
              <w:jc w:val="center"/>
              <w:rPr>
                <w:rFonts w:ascii="Arial" w:hAnsi="Arial" w:cs="Arial"/>
                <w:color w:val="000000"/>
                <w:kern w:val="0"/>
                <w:sz w:val="18"/>
                <w:szCs w:val="18"/>
              </w:rPr>
            </w:pPr>
            <w:r>
              <w:rPr>
                <w:rFonts w:ascii="Arial" w:hAnsi="Arial" w:cs="Arial"/>
                <w:color w:val="000000"/>
                <w:kern w:val="0"/>
                <w:sz w:val="18"/>
                <w:szCs w:val="18"/>
              </w:rPr>
              <w:t>×</w:t>
            </w:r>
          </w:p>
        </w:tc>
        <w:tc>
          <w:tcPr>
            <w:tcW w:w="1000" w:type="dxa"/>
            <w:tcBorders>
              <w:top w:val="nil"/>
              <w:left w:val="nil"/>
              <w:bottom w:val="single" w:color="auto" w:sz="4" w:space="0"/>
              <w:right w:val="single" w:color="auto" w:sz="4" w:space="0"/>
            </w:tcBorders>
            <w:shd w:val="clear" w:color="auto" w:fill="auto"/>
            <w:vAlign w:val="center"/>
          </w:tcPr>
          <w:p w14:paraId="7A4FAF39">
            <w:pPr>
              <w:widowControl/>
              <w:jc w:val="center"/>
              <w:rPr>
                <w:rFonts w:ascii="Arial" w:hAnsi="Arial" w:cs="Arial"/>
                <w:color w:val="000000"/>
                <w:kern w:val="0"/>
                <w:sz w:val="18"/>
                <w:szCs w:val="18"/>
              </w:rPr>
            </w:pPr>
            <w:r>
              <w:rPr>
                <w:rFonts w:ascii="Arial" w:hAnsi="Arial" w:cs="Arial"/>
                <w:color w:val="000000"/>
                <w:kern w:val="0"/>
                <w:sz w:val="18"/>
                <w:szCs w:val="18"/>
              </w:rPr>
              <w:t>×</w:t>
            </w:r>
          </w:p>
        </w:tc>
        <w:tc>
          <w:tcPr>
            <w:tcW w:w="1000" w:type="dxa"/>
            <w:tcBorders>
              <w:top w:val="nil"/>
              <w:left w:val="nil"/>
              <w:bottom w:val="single" w:color="auto" w:sz="4" w:space="0"/>
              <w:right w:val="single" w:color="auto" w:sz="4" w:space="0"/>
            </w:tcBorders>
            <w:shd w:val="clear" w:color="auto" w:fill="auto"/>
            <w:vAlign w:val="center"/>
          </w:tcPr>
          <w:p w14:paraId="07DD8ED6">
            <w:pPr>
              <w:widowControl/>
              <w:jc w:val="center"/>
              <w:rPr>
                <w:rFonts w:ascii="Arial" w:hAnsi="Arial" w:cs="Arial"/>
                <w:color w:val="000000"/>
                <w:kern w:val="0"/>
                <w:sz w:val="18"/>
                <w:szCs w:val="18"/>
              </w:rPr>
            </w:pPr>
            <w:r>
              <w:rPr>
                <w:rFonts w:ascii="Arial" w:hAnsi="Arial" w:cs="Arial"/>
                <w:color w:val="000000"/>
                <w:kern w:val="0"/>
                <w:sz w:val="18"/>
                <w:szCs w:val="18"/>
              </w:rPr>
              <w:t>×</w:t>
            </w:r>
          </w:p>
        </w:tc>
        <w:tc>
          <w:tcPr>
            <w:tcW w:w="1360" w:type="dxa"/>
            <w:tcBorders>
              <w:top w:val="nil"/>
              <w:left w:val="nil"/>
              <w:bottom w:val="single" w:color="auto" w:sz="4" w:space="0"/>
              <w:right w:val="single" w:color="auto" w:sz="4" w:space="0"/>
            </w:tcBorders>
            <w:shd w:val="clear" w:color="auto" w:fill="auto"/>
            <w:vAlign w:val="center"/>
          </w:tcPr>
          <w:p w14:paraId="6D03729D">
            <w:pPr>
              <w:widowControl/>
              <w:jc w:val="center"/>
              <w:rPr>
                <w:rFonts w:ascii="Arial" w:hAnsi="Arial" w:cs="Arial"/>
                <w:color w:val="000000"/>
                <w:kern w:val="0"/>
                <w:sz w:val="18"/>
                <w:szCs w:val="18"/>
              </w:rPr>
            </w:pPr>
            <w:r>
              <w:rPr>
                <w:rFonts w:ascii="Arial" w:hAnsi="Arial" w:cs="Arial"/>
                <w:color w:val="000000"/>
                <w:kern w:val="0"/>
                <w:sz w:val="18"/>
                <w:szCs w:val="18"/>
              </w:rPr>
              <w:t>×</w:t>
            </w:r>
          </w:p>
        </w:tc>
      </w:tr>
      <w:tr w14:paraId="1E09351E">
        <w:tblPrEx>
          <w:tblCellMar>
            <w:top w:w="0" w:type="dxa"/>
            <w:left w:w="108" w:type="dxa"/>
            <w:bottom w:w="0" w:type="dxa"/>
            <w:right w:w="108" w:type="dxa"/>
          </w:tblCellMar>
        </w:tblPrEx>
        <w:trPr>
          <w:trHeight w:val="270" w:hRule="atLeast"/>
          <w:jc w:val="center"/>
        </w:trPr>
        <w:tc>
          <w:tcPr>
            <w:tcW w:w="660" w:type="dxa"/>
            <w:vMerge w:val="continue"/>
            <w:tcBorders>
              <w:top w:val="nil"/>
              <w:left w:val="single" w:color="auto" w:sz="4" w:space="0"/>
              <w:bottom w:val="single" w:color="auto" w:sz="4" w:space="0"/>
              <w:right w:val="single" w:color="auto" w:sz="4" w:space="0"/>
            </w:tcBorders>
            <w:vAlign w:val="center"/>
          </w:tcPr>
          <w:p w14:paraId="7CE17D7C">
            <w:pPr>
              <w:widowControl/>
              <w:rPr>
                <w:rFonts w:ascii="Arial" w:hAnsi="Arial" w:cs="Arial"/>
                <w:color w:val="000000"/>
                <w:kern w:val="0"/>
                <w:sz w:val="18"/>
                <w:szCs w:val="18"/>
              </w:rPr>
            </w:pPr>
          </w:p>
        </w:tc>
        <w:tc>
          <w:tcPr>
            <w:tcW w:w="1835" w:type="dxa"/>
            <w:tcBorders>
              <w:top w:val="nil"/>
              <w:left w:val="nil"/>
              <w:bottom w:val="single" w:color="auto" w:sz="4" w:space="0"/>
              <w:right w:val="single" w:color="auto" w:sz="4" w:space="0"/>
            </w:tcBorders>
            <w:shd w:val="clear" w:color="auto" w:fill="auto"/>
            <w:vAlign w:val="center"/>
          </w:tcPr>
          <w:p w14:paraId="73174B48">
            <w:pPr>
              <w:widowControl/>
              <w:jc w:val="center"/>
              <w:rPr>
                <w:rFonts w:ascii="宋体" w:hAnsi="宋体" w:cs="宋体"/>
                <w:color w:val="000000"/>
                <w:kern w:val="0"/>
                <w:sz w:val="18"/>
                <w:szCs w:val="18"/>
              </w:rPr>
            </w:pPr>
            <w:r>
              <w:rPr>
                <w:rFonts w:hint="eastAsia" w:ascii="宋体" w:hAnsi="宋体" w:cs="宋体"/>
                <w:color w:val="000000"/>
                <w:kern w:val="0"/>
                <w:sz w:val="18"/>
                <w:szCs w:val="18"/>
              </w:rPr>
              <w:t>高mm</w:t>
            </w:r>
          </w:p>
        </w:tc>
        <w:tc>
          <w:tcPr>
            <w:tcW w:w="1095" w:type="dxa"/>
            <w:tcBorders>
              <w:top w:val="nil"/>
              <w:left w:val="nil"/>
              <w:bottom w:val="single" w:color="auto" w:sz="4" w:space="0"/>
              <w:right w:val="single" w:color="auto" w:sz="4" w:space="0"/>
            </w:tcBorders>
            <w:shd w:val="clear" w:color="auto" w:fill="auto"/>
            <w:vAlign w:val="center"/>
          </w:tcPr>
          <w:p w14:paraId="5CCA573C">
            <w:pPr>
              <w:widowControl/>
              <w:jc w:val="center"/>
              <w:rPr>
                <w:rFonts w:ascii="Arial" w:hAnsi="Arial" w:cs="Arial"/>
                <w:color w:val="000000"/>
                <w:kern w:val="0"/>
                <w:sz w:val="18"/>
                <w:szCs w:val="18"/>
              </w:rPr>
            </w:pPr>
            <w:r>
              <w:rPr>
                <w:rFonts w:hint="eastAsia" w:ascii="Arial" w:hAnsi="Arial" w:cs="Arial"/>
                <w:color w:val="000000"/>
                <w:kern w:val="0"/>
                <w:sz w:val="18"/>
                <w:szCs w:val="18"/>
              </w:rPr>
              <w:t>1090</w:t>
            </w:r>
          </w:p>
        </w:tc>
        <w:tc>
          <w:tcPr>
            <w:tcW w:w="1270" w:type="dxa"/>
            <w:tcBorders>
              <w:top w:val="nil"/>
              <w:left w:val="nil"/>
              <w:bottom w:val="single" w:color="auto" w:sz="4" w:space="0"/>
              <w:right w:val="single" w:color="auto" w:sz="4" w:space="0"/>
            </w:tcBorders>
            <w:shd w:val="clear" w:color="auto" w:fill="auto"/>
            <w:vAlign w:val="center"/>
          </w:tcPr>
          <w:p w14:paraId="7A407C1A">
            <w:pPr>
              <w:widowControl/>
              <w:jc w:val="center"/>
              <w:rPr>
                <w:rFonts w:ascii="Arial" w:hAnsi="Arial" w:cs="Arial"/>
                <w:color w:val="000000"/>
                <w:kern w:val="0"/>
                <w:sz w:val="18"/>
                <w:szCs w:val="18"/>
              </w:rPr>
            </w:pPr>
            <w:r>
              <w:rPr>
                <w:rFonts w:hint="eastAsia" w:ascii="Arial" w:hAnsi="Arial" w:cs="Arial"/>
                <w:color w:val="000000"/>
                <w:kern w:val="0"/>
                <w:sz w:val="18"/>
                <w:szCs w:val="18"/>
              </w:rPr>
              <w:t>965</w:t>
            </w:r>
          </w:p>
        </w:tc>
        <w:tc>
          <w:tcPr>
            <w:tcW w:w="1000" w:type="dxa"/>
            <w:tcBorders>
              <w:top w:val="nil"/>
              <w:left w:val="nil"/>
              <w:bottom w:val="single" w:color="auto" w:sz="4" w:space="0"/>
              <w:right w:val="single" w:color="auto" w:sz="4" w:space="0"/>
            </w:tcBorders>
            <w:shd w:val="clear" w:color="auto" w:fill="auto"/>
            <w:vAlign w:val="center"/>
          </w:tcPr>
          <w:p w14:paraId="6E6AFF9B">
            <w:pPr>
              <w:widowControl/>
              <w:jc w:val="center"/>
              <w:rPr>
                <w:rFonts w:ascii="Arial" w:hAnsi="Arial" w:cs="Arial"/>
                <w:color w:val="000000"/>
                <w:kern w:val="0"/>
                <w:sz w:val="18"/>
                <w:szCs w:val="18"/>
              </w:rPr>
            </w:pPr>
            <w:r>
              <w:rPr>
                <w:rFonts w:hint="eastAsia" w:ascii="Arial" w:hAnsi="Arial" w:cs="Arial"/>
                <w:color w:val="000000"/>
                <w:kern w:val="0"/>
                <w:sz w:val="18"/>
                <w:szCs w:val="18"/>
              </w:rPr>
              <w:t>965</w:t>
            </w:r>
          </w:p>
        </w:tc>
        <w:tc>
          <w:tcPr>
            <w:tcW w:w="1000" w:type="dxa"/>
            <w:tcBorders>
              <w:top w:val="nil"/>
              <w:left w:val="nil"/>
              <w:bottom w:val="single" w:color="auto" w:sz="4" w:space="0"/>
              <w:right w:val="single" w:color="auto" w:sz="4" w:space="0"/>
            </w:tcBorders>
            <w:shd w:val="clear" w:color="auto" w:fill="auto"/>
            <w:vAlign w:val="center"/>
          </w:tcPr>
          <w:p w14:paraId="65EE003E">
            <w:pPr>
              <w:widowControl/>
              <w:jc w:val="center"/>
              <w:rPr>
                <w:rFonts w:ascii="Arial" w:hAnsi="Arial" w:cs="Arial"/>
                <w:color w:val="000000"/>
                <w:kern w:val="0"/>
                <w:sz w:val="18"/>
                <w:szCs w:val="18"/>
              </w:rPr>
            </w:pPr>
            <w:r>
              <w:rPr>
                <w:rFonts w:hint="eastAsia" w:ascii="Arial" w:hAnsi="Arial" w:cs="Arial"/>
                <w:color w:val="000000"/>
                <w:kern w:val="0"/>
                <w:sz w:val="18"/>
                <w:szCs w:val="18"/>
              </w:rPr>
              <w:t>900</w:t>
            </w:r>
          </w:p>
        </w:tc>
        <w:tc>
          <w:tcPr>
            <w:tcW w:w="1360" w:type="dxa"/>
            <w:tcBorders>
              <w:top w:val="nil"/>
              <w:left w:val="nil"/>
              <w:bottom w:val="single" w:color="auto" w:sz="4" w:space="0"/>
              <w:right w:val="single" w:color="auto" w:sz="4" w:space="0"/>
            </w:tcBorders>
            <w:shd w:val="clear" w:color="auto" w:fill="auto"/>
            <w:vAlign w:val="center"/>
          </w:tcPr>
          <w:p w14:paraId="356EDEFB">
            <w:pPr>
              <w:widowControl/>
              <w:jc w:val="center"/>
              <w:rPr>
                <w:rFonts w:ascii="Arial" w:hAnsi="Arial" w:cs="Arial"/>
                <w:color w:val="000000"/>
                <w:kern w:val="0"/>
                <w:sz w:val="18"/>
                <w:szCs w:val="18"/>
              </w:rPr>
            </w:pPr>
            <w:r>
              <w:rPr>
                <w:rFonts w:hint="eastAsia" w:ascii="Arial" w:hAnsi="Arial" w:cs="Arial"/>
                <w:color w:val="000000"/>
                <w:kern w:val="0"/>
                <w:sz w:val="18"/>
                <w:szCs w:val="18"/>
              </w:rPr>
              <w:t>900</w:t>
            </w:r>
          </w:p>
        </w:tc>
      </w:tr>
      <w:tr w14:paraId="0D4653A9">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vAlign w:val="center"/>
          </w:tcPr>
          <w:p w14:paraId="3CB4E4E4">
            <w:pPr>
              <w:widowControl/>
              <w:jc w:val="center"/>
              <w:rPr>
                <w:rFonts w:ascii="Arial" w:hAnsi="Arial" w:cs="Arial"/>
                <w:color w:val="000000"/>
                <w:kern w:val="0"/>
                <w:sz w:val="18"/>
                <w:szCs w:val="18"/>
              </w:rPr>
            </w:pPr>
            <w:r>
              <w:rPr>
                <w:rFonts w:ascii="Arial" w:hAnsi="Arial" w:cs="Arial"/>
                <w:color w:val="000000"/>
                <w:kern w:val="0"/>
                <w:sz w:val="18"/>
                <w:szCs w:val="18"/>
              </w:rPr>
              <w:t>4</w:t>
            </w:r>
          </w:p>
        </w:tc>
        <w:tc>
          <w:tcPr>
            <w:tcW w:w="1835" w:type="dxa"/>
            <w:tcBorders>
              <w:top w:val="nil"/>
              <w:left w:val="nil"/>
              <w:bottom w:val="single" w:color="auto" w:sz="4" w:space="0"/>
              <w:right w:val="single" w:color="auto" w:sz="4" w:space="0"/>
            </w:tcBorders>
            <w:shd w:val="clear" w:color="auto" w:fill="auto"/>
            <w:vAlign w:val="center"/>
          </w:tcPr>
          <w:p w14:paraId="5954CAE8">
            <w:pPr>
              <w:widowControl/>
              <w:jc w:val="center"/>
              <w:rPr>
                <w:rFonts w:ascii="宋体" w:hAnsi="宋体" w:cs="宋体"/>
                <w:color w:val="000000"/>
                <w:kern w:val="0"/>
                <w:sz w:val="18"/>
                <w:szCs w:val="18"/>
              </w:rPr>
            </w:pPr>
            <w:r>
              <w:rPr>
                <w:rFonts w:hint="eastAsia" w:ascii="宋体" w:hAnsi="宋体" w:cs="宋体"/>
                <w:color w:val="000000"/>
                <w:kern w:val="0"/>
                <w:sz w:val="18"/>
                <w:szCs w:val="18"/>
              </w:rPr>
              <w:t>重量（</w:t>
            </w:r>
            <w:r>
              <w:rPr>
                <w:rFonts w:hint="eastAsia" w:ascii="Arial" w:hAnsi="Arial" w:cs="Arial"/>
                <w:color w:val="000000"/>
                <w:kern w:val="0"/>
                <w:sz w:val="18"/>
                <w:szCs w:val="18"/>
              </w:rPr>
              <w:t>k</w:t>
            </w:r>
            <w:r>
              <w:rPr>
                <w:rFonts w:ascii="Arial" w:hAnsi="Arial" w:cs="Arial"/>
                <w:color w:val="000000"/>
                <w:kern w:val="0"/>
                <w:sz w:val="18"/>
                <w:szCs w:val="18"/>
              </w:rPr>
              <w:t>g</w:t>
            </w:r>
            <w:r>
              <w:rPr>
                <w:rFonts w:hint="eastAsia" w:ascii="宋体" w:hAnsi="宋体" w:cs="宋体"/>
                <w:color w:val="000000"/>
                <w:kern w:val="0"/>
                <w:sz w:val="18"/>
                <w:szCs w:val="18"/>
              </w:rPr>
              <w:t>）</w:t>
            </w:r>
          </w:p>
        </w:tc>
        <w:tc>
          <w:tcPr>
            <w:tcW w:w="1095" w:type="dxa"/>
            <w:tcBorders>
              <w:top w:val="single" w:color="auto" w:sz="4" w:space="0"/>
              <w:left w:val="nil"/>
              <w:bottom w:val="single" w:color="auto" w:sz="4" w:space="0"/>
              <w:right w:val="single" w:color="auto" w:sz="4" w:space="0"/>
            </w:tcBorders>
            <w:shd w:val="clear" w:color="auto" w:fill="auto"/>
            <w:vAlign w:val="center"/>
          </w:tcPr>
          <w:p w14:paraId="2491B30F">
            <w:pPr>
              <w:widowControl/>
              <w:jc w:val="center"/>
              <w:rPr>
                <w:rFonts w:ascii="Arial" w:hAnsi="Arial" w:cs="Arial"/>
                <w:color w:val="000000"/>
                <w:kern w:val="0"/>
                <w:sz w:val="18"/>
                <w:szCs w:val="18"/>
              </w:rPr>
            </w:pPr>
            <w:r>
              <w:rPr>
                <w:rFonts w:ascii="Arial" w:hAnsi="Arial" w:cs="Arial"/>
                <w:color w:val="000000"/>
                <w:kern w:val="0"/>
                <w:sz w:val="18"/>
                <w:szCs w:val="18"/>
              </w:rPr>
              <w:t>1100</w:t>
            </w:r>
          </w:p>
        </w:tc>
        <w:tc>
          <w:tcPr>
            <w:tcW w:w="1270" w:type="dxa"/>
            <w:tcBorders>
              <w:top w:val="single" w:color="auto" w:sz="4" w:space="0"/>
              <w:left w:val="nil"/>
              <w:bottom w:val="single" w:color="auto" w:sz="4" w:space="0"/>
              <w:right w:val="single" w:color="auto" w:sz="4" w:space="0"/>
            </w:tcBorders>
            <w:shd w:val="clear" w:color="auto" w:fill="auto"/>
            <w:vAlign w:val="center"/>
          </w:tcPr>
          <w:p w14:paraId="03F74FCB">
            <w:pPr>
              <w:widowControl/>
              <w:jc w:val="center"/>
              <w:rPr>
                <w:rFonts w:ascii="Arial" w:hAnsi="Arial" w:cs="Arial"/>
                <w:color w:val="000000"/>
                <w:kern w:val="0"/>
                <w:sz w:val="18"/>
                <w:szCs w:val="18"/>
              </w:rPr>
            </w:pPr>
            <w:r>
              <w:rPr>
                <w:rFonts w:ascii="Arial" w:hAnsi="Arial" w:cs="Arial"/>
                <w:color w:val="000000"/>
                <w:kern w:val="0"/>
                <w:sz w:val="18"/>
                <w:szCs w:val="18"/>
              </w:rPr>
              <w:t>900</w:t>
            </w:r>
          </w:p>
        </w:tc>
        <w:tc>
          <w:tcPr>
            <w:tcW w:w="1000" w:type="dxa"/>
            <w:tcBorders>
              <w:top w:val="single" w:color="auto" w:sz="4" w:space="0"/>
              <w:left w:val="nil"/>
              <w:bottom w:val="single" w:color="auto" w:sz="4" w:space="0"/>
              <w:right w:val="single" w:color="auto" w:sz="4" w:space="0"/>
            </w:tcBorders>
            <w:shd w:val="clear" w:color="auto" w:fill="auto"/>
            <w:vAlign w:val="center"/>
          </w:tcPr>
          <w:p w14:paraId="017827D5">
            <w:pPr>
              <w:widowControl/>
              <w:jc w:val="center"/>
              <w:rPr>
                <w:rFonts w:ascii="Arial" w:hAnsi="Arial" w:cs="Arial"/>
                <w:color w:val="000000"/>
                <w:kern w:val="0"/>
                <w:sz w:val="18"/>
                <w:szCs w:val="18"/>
              </w:rPr>
            </w:pPr>
            <w:r>
              <w:rPr>
                <w:rFonts w:hint="eastAsia" w:ascii="Arial" w:hAnsi="Arial" w:cs="Arial"/>
                <w:color w:val="000000"/>
                <w:kern w:val="0"/>
                <w:sz w:val="18"/>
                <w:szCs w:val="18"/>
              </w:rPr>
              <w:t>6</w:t>
            </w:r>
            <w:r>
              <w:rPr>
                <w:rFonts w:ascii="Arial" w:hAnsi="Arial" w:cs="Arial"/>
                <w:color w:val="000000"/>
                <w:kern w:val="0"/>
                <w:sz w:val="18"/>
                <w:szCs w:val="18"/>
              </w:rPr>
              <w:t>95</w:t>
            </w:r>
          </w:p>
        </w:tc>
        <w:tc>
          <w:tcPr>
            <w:tcW w:w="1000" w:type="dxa"/>
            <w:tcBorders>
              <w:top w:val="single" w:color="auto" w:sz="4" w:space="0"/>
              <w:left w:val="nil"/>
              <w:bottom w:val="single" w:color="auto" w:sz="4" w:space="0"/>
              <w:right w:val="single" w:color="auto" w:sz="4" w:space="0"/>
            </w:tcBorders>
            <w:shd w:val="clear" w:color="auto" w:fill="auto"/>
            <w:vAlign w:val="center"/>
          </w:tcPr>
          <w:p w14:paraId="77F8A1D2">
            <w:pPr>
              <w:widowControl/>
              <w:jc w:val="center"/>
              <w:rPr>
                <w:rFonts w:ascii="Arial" w:hAnsi="Arial" w:cs="Arial"/>
                <w:color w:val="000000"/>
                <w:kern w:val="0"/>
                <w:sz w:val="18"/>
                <w:szCs w:val="18"/>
              </w:rPr>
            </w:pPr>
            <w:r>
              <w:rPr>
                <w:rFonts w:ascii="Arial" w:hAnsi="Arial" w:cs="Arial"/>
                <w:color w:val="000000"/>
                <w:kern w:val="0"/>
                <w:sz w:val="18"/>
                <w:szCs w:val="18"/>
              </w:rPr>
              <w:t>650</w:t>
            </w:r>
          </w:p>
        </w:tc>
        <w:tc>
          <w:tcPr>
            <w:tcW w:w="1360" w:type="dxa"/>
            <w:tcBorders>
              <w:top w:val="nil"/>
              <w:left w:val="nil"/>
              <w:bottom w:val="single" w:color="auto" w:sz="4" w:space="0"/>
              <w:right w:val="single" w:color="auto" w:sz="4" w:space="0"/>
            </w:tcBorders>
            <w:shd w:val="clear" w:color="auto" w:fill="auto"/>
            <w:vAlign w:val="center"/>
          </w:tcPr>
          <w:p w14:paraId="1F7393A1">
            <w:pPr>
              <w:widowControl/>
              <w:jc w:val="center"/>
              <w:rPr>
                <w:rFonts w:ascii="Arial" w:hAnsi="Arial" w:cs="Arial"/>
                <w:color w:val="000000"/>
                <w:kern w:val="0"/>
                <w:sz w:val="18"/>
                <w:szCs w:val="18"/>
              </w:rPr>
            </w:pPr>
            <w:r>
              <w:rPr>
                <w:rFonts w:hint="eastAsia" w:ascii="Arial" w:hAnsi="Arial" w:cs="Arial"/>
                <w:color w:val="000000"/>
                <w:kern w:val="0"/>
                <w:sz w:val="18"/>
                <w:szCs w:val="18"/>
              </w:rPr>
              <w:t>580</w:t>
            </w:r>
          </w:p>
        </w:tc>
      </w:tr>
      <w:tr w14:paraId="654704D3">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vAlign w:val="center"/>
          </w:tcPr>
          <w:p w14:paraId="3646E821">
            <w:pPr>
              <w:widowControl/>
              <w:jc w:val="center"/>
              <w:rPr>
                <w:rFonts w:ascii="Arial" w:hAnsi="Arial" w:cs="Arial"/>
                <w:color w:val="000000"/>
                <w:kern w:val="0"/>
                <w:sz w:val="18"/>
                <w:szCs w:val="18"/>
              </w:rPr>
            </w:pPr>
            <w:r>
              <w:rPr>
                <w:rFonts w:ascii="Arial" w:hAnsi="Arial" w:cs="Arial"/>
                <w:color w:val="000000"/>
                <w:kern w:val="0"/>
                <w:sz w:val="18"/>
                <w:szCs w:val="18"/>
              </w:rPr>
              <w:t>5</w:t>
            </w:r>
          </w:p>
        </w:tc>
        <w:tc>
          <w:tcPr>
            <w:tcW w:w="1835" w:type="dxa"/>
            <w:tcBorders>
              <w:top w:val="nil"/>
              <w:left w:val="nil"/>
              <w:bottom w:val="single" w:color="auto" w:sz="4" w:space="0"/>
              <w:right w:val="single" w:color="auto" w:sz="4" w:space="0"/>
            </w:tcBorders>
            <w:shd w:val="clear" w:color="auto" w:fill="auto"/>
            <w:vAlign w:val="center"/>
          </w:tcPr>
          <w:p w14:paraId="73FEFD38">
            <w:pPr>
              <w:widowControl/>
              <w:jc w:val="center"/>
              <w:rPr>
                <w:rFonts w:ascii="宋体" w:hAnsi="宋体" w:cs="宋体"/>
                <w:color w:val="000000"/>
                <w:kern w:val="0"/>
                <w:sz w:val="18"/>
                <w:szCs w:val="18"/>
              </w:rPr>
            </w:pPr>
            <w:r>
              <w:rPr>
                <w:rFonts w:hint="eastAsia" w:ascii="宋体" w:hAnsi="宋体" w:cs="宋体"/>
                <w:color w:val="000000"/>
                <w:kern w:val="0"/>
                <w:sz w:val="18"/>
                <w:szCs w:val="18"/>
              </w:rPr>
              <w:t>额定功率（</w:t>
            </w:r>
            <w:r>
              <w:rPr>
                <w:rFonts w:ascii="Arial" w:hAnsi="Arial" w:cs="Arial"/>
                <w:color w:val="000000"/>
                <w:kern w:val="0"/>
                <w:sz w:val="18"/>
                <w:szCs w:val="18"/>
              </w:rPr>
              <w:t>kW</w:t>
            </w:r>
            <w:r>
              <w:rPr>
                <w:rFonts w:hint="eastAsia" w:ascii="宋体" w:hAnsi="宋体" w:cs="宋体"/>
                <w:color w:val="000000"/>
                <w:kern w:val="0"/>
                <w:sz w:val="18"/>
                <w:szCs w:val="18"/>
              </w:rPr>
              <w:t>）</w:t>
            </w:r>
          </w:p>
        </w:tc>
        <w:tc>
          <w:tcPr>
            <w:tcW w:w="1095" w:type="dxa"/>
            <w:tcBorders>
              <w:top w:val="single" w:color="auto" w:sz="4" w:space="0"/>
              <w:left w:val="nil"/>
              <w:bottom w:val="single" w:color="auto" w:sz="4" w:space="0"/>
              <w:right w:val="single" w:color="auto" w:sz="4" w:space="0"/>
            </w:tcBorders>
            <w:shd w:val="clear" w:color="auto" w:fill="auto"/>
            <w:vAlign w:val="center"/>
          </w:tcPr>
          <w:p w14:paraId="28B12C2E">
            <w:pPr>
              <w:widowControl/>
              <w:jc w:val="center"/>
              <w:rPr>
                <w:rFonts w:ascii="Arial" w:hAnsi="Arial" w:cs="Arial"/>
                <w:color w:val="000000"/>
                <w:kern w:val="0"/>
                <w:sz w:val="18"/>
                <w:szCs w:val="18"/>
              </w:rPr>
            </w:pPr>
            <w:r>
              <w:rPr>
                <w:rFonts w:hint="eastAsia" w:ascii="Arial" w:hAnsi="Arial" w:cs="Arial"/>
                <w:color w:val="000000"/>
                <w:kern w:val="0"/>
                <w:sz w:val="18"/>
                <w:szCs w:val="18"/>
              </w:rPr>
              <w:t>339</w:t>
            </w:r>
          </w:p>
        </w:tc>
        <w:tc>
          <w:tcPr>
            <w:tcW w:w="1270" w:type="dxa"/>
            <w:tcBorders>
              <w:top w:val="single" w:color="auto" w:sz="4" w:space="0"/>
              <w:left w:val="nil"/>
              <w:bottom w:val="single" w:color="auto" w:sz="4" w:space="0"/>
              <w:right w:val="single" w:color="auto" w:sz="4" w:space="0"/>
            </w:tcBorders>
            <w:shd w:val="clear" w:color="auto" w:fill="auto"/>
            <w:vAlign w:val="center"/>
          </w:tcPr>
          <w:p w14:paraId="3F28FE1E">
            <w:pPr>
              <w:widowControl/>
              <w:jc w:val="center"/>
              <w:rPr>
                <w:rFonts w:ascii="Arial" w:hAnsi="Arial" w:cs="Arial"/>
                <w:color w:val="000000"/>
                <w:kern w:val="0"/>
                <w:sz w:val="18"/>
                <w:szCs w:val="18"/>
              </w:rPr>
            </w:pPr>
            <w:r>
              <w:rPr>
                <w:rFonts w:hint="eastAsia" w:ascii="Arial" w:hAnsi="Arial" w:cs="Arial"/>
                <w:color w:val="000000"/>
                <w:kern w:val="0"/>
                <w:sz w:val="18"/>
                <w:szCs w:val="18"/>
              </w:rPr>
              <w:t>279</w:t>
            </w:r>
          </w:p>
        </w:tc>
        <w:tc>
          <w:tcPr>
            <w:tcW w:w="1000" w:type="dxa"/>
            <w:tcBorders>
              <w:top w:val="single" w:color="auto" w:sz="4" w:space="0"/>
              <w:left w:val="nil"/>
              <w:bottom w:val="single" w:color="auto" w:sz="4" w:space="0"/>
              <w:right w:val="single" w:color="auto" w:sz="4" w:space="0"/>
            </w:tcBorders>
            <w:shd w:val="clear" w:color="auto" w:fill="auto"/>
            <w:vAlign w:val="center"/>
          </w:tcPr>
          <w:p w14:paraId="67D72FAB">
            <w:pPr>
              <w:widowControl/>
              <w:jc w:val="center"/>
              <w:rPr>
                <w:rFonts w:ascii="Arial" w:hAnsi="Arial" w:cs="Arial"/>
                <w:color w:val="000000"/>
                <w:kern w:val="0"/>
                <w:sz w:val="18"/>
                <w:szCs w:val="18"/>
              </w:rPr>
            </w:pPr>
            <w:r>
              <w:rPr>
                <w:rFonts w:hint="eastAsia" w:ascii="Arial" w:hAnsi="Arial" w:cs="Arial"/>
                <w:color w:val="000000"/>
                <w:kern w:val="0"/>
                <w:sz w:val="18"/>
                <w:szCs w:val="18"/>
              </w:rPr>
              <w:t>1</w:t>
            </w:r>
            <w:r>
              <w:rPr>
                <w:rFonts w:ascii="Arial" w:hAnsi="Arial" w:cs="Arial"/>
                <w:color w:val="000000"/>
                <w:kern w:val="0"/>
                <w:sz w:val="18"/>
                <w:szCs w:val="18"/>
              </w:rPr>
              <w:t>77</w:t>
            </w:r>
          </w:p>
        </w:tc>
        <w:tc>
          <w:tcPr>
            <w:tcW w:w="1000" w:type="dxa"/>
            <w:tcBorders>
              <w:top w:val="single" w:color="auto" w:sz="4" w:space="0"/>
              <w:left w:val="nil"/>
              <w:bottom w:val="single" w:color="auto" w:sz="4" w:space="0"/>
              <w:right w:val="single" w:color="auto" w:sz="4" w:space="0"/>
            </w:tcBorders>
            <w:shd w:val="clear" w:color="auto" w:fill="auto"/>
            <w:vAlign w:val="center"/>
          </w:tcPr>
          <w:p w14:paraId="52AA4227">
            <w:pPr>
              <w:widowControl/>
              <w:jc w:val="center"/>
              <w:rPr>
                <w:rFonts w:ascii="Arial" w:hAnsi="Arial" w:cs="Arial"/>
                <w:color w:val="000000"/>
                <w:kern w:val="0"/>
                <w:sz w:val="18"/>
                <w:szCs w:val="18"/>
              </w:rPr>
            </w:pPr>
            <w:r>
              <w:rPr>
                <w:rFonts w:hint="eastAsia" w:ascii="Arial" w:hAnsi="Arial" w:cs="Arial"/>
                <w:color w:val="000000"/>
                <w:kern w:val="0"/>
                <w:sz w:val="18"/>
                <w:szCs w:val="18"/>
              </w:rPr>
              <w:t>257</w:t>
            </w:r>
          </w:p>
        </w:tc>
        <w:tc>
          <w:tcPr>
            <w:tcW w:w="1360" w:type="dxa"/>
            <w:tcBorders>
              <w:top w:val="nil"/>
              <w:left w:val="nil"/>
              <w:bottom w:val="single" w:color="auto" w:sz="4" w:space="0"/>
              <w:right w:val="single" w:color="auto" w:sz="4" w:space="0"/>
            </w:tcBorders>
            <w:shd w:val="clear" w:color="auto" w:fill="auto"/>
            <w:vAlign w:val="center"/>
          </w:tcPr>
          <w:p w14:paraId="461D3EAC">
            <w:pPr>
              <w:widowControl/>
              <w:jc w:val="center"/>
              <w:rPr>
                <w:rFonts w:ascii="Arial" w:hAnsi="Arial" w:cs="Arial"/>
                <w:color w:val="000000"/>
                <w:kern w:val="0"/>
                <w:sz w:val="18"/>
                <w:szCs w:val="18"/>
              </w:rPr>
            </w:pPr>
            <w:r>
              <w:rPr>
                <w:rFonts w:hint="eastAsia" w:ascii="Arial" w:hAnsi="Arial" w:cs="Arial"/>
                <w:color w:val="000000"/>
                <w:kern w:val="0"/>
                <w:sz w:val="18"/>
                <w:szCs w:val="18"/>
              </w:rPr>
              <w:t>148</w:t>
            </w:r>
          </w:p>
        </w:tc>
      </w:tr>
      <w:tr w14:paraId="1D95B039">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vAlign w:val="center"/>
          </w:tcPr>
          <w:p w14:paraId="321F86FC">
            <w:pPr>
              <w:widowControl/>
              <w:jc w:val="center"/>
              <w:rPr>
                <w:rFonts w:ascii="Arial" w:hAnsi="Arial" w:cs="Arial"/>
                <w:color w:val="000000"/>
                <w:kern w:val="0"/>
                <w:sz w:val="18"/>
                <w:szCs w:val="18"/>
              </w:rPr>
            </w:pPr>
            <w:r>
              <w:rPr>
                <w:rFonts w:ascii="Arial" w:hAnsi="Arial" w:cs="Arial"/>
                <w:color w:val="000000"/>
                <w:kern w:val="0"/>
                <w:sz w:val="18"/>
                <w:szCs w:val="18"/>
              </w:rPr>
              <w:t>6</w:t>
            </w:r>
          </w:p>
        </w:tc>
        <w:tc>
          <w:tcPr>
            <w:tcW w:w="1835" w:type="dxa"/>
            <w:tcBorders>
              <w:top w:val="nil"/>
              <w:left w:val="nil"/>
              <w:bottom w:val="single" w:color="auto" w:sz="4" w:space="0"/>
              <w:right w:val="single" w:color="auto" w:sz="4" w:space="0"/>
            </w:tcBorders>
            <w:shd w:val="clear" w:color="auto" w:fill="auto"/>
            <w:vAlign w:val="center"/>
          </w:tcPr>
          <w:p w14:paraId="3E628CD6">
            <w:pPr>
              <w:widowControl/>
              <w:jc w:val="center"/>
              <w:rPr>
                <w:rFonts w:ascii="宋体" w:hAnsi="宋体" w:cs="宋体"/>
                <w:color w:val="000000"/>
                <w:kern w:val="0"/>
                <w:sz w:val="18"/>
                <w:szCs w:val="18"/>
              </w:rPr>
            </w:pPr>
            <w:r>
              <w:rPr>
                <w:rFonts w:hint="eastAsia" w:ascii="宋体" w:hAnsi="宋体" w:cs="宋体"/>
                <w:color w:val="000000"/>
                <w:kern w:val="0"/>
                <w:sz w:val="18"/>
                <w:szCs w:val="18"/>
              </w:rPr>
              <w:t>额定转速（</w:t>
            </w:r>
            <w:r>
              <w:rPr>
                <w:rFonts w:ascii="Arial" w:hAnsi="Arial" w:cs="Arial"/>
                <w:color w:val="000000"/>
                <w:kern w:val="0"/>
                <w:sz w:val="18"/>
                <w:szCs w:val="18"/>
              </w:rPr>
              <w:t>r/min)</w:t>
            </w:r>
          </w:p>
        </w:tc>
        <w:tc>
          <w:tcPr>
            <w:tcW w:w="1095" w:type="dxa"/>
            <w:tcBorders>
              <w:top w:val="single" w:color="auto" w:sz="4" w:space="0"/>
              <w:left w:val="nil"/>
              <w:bottom w:val="single" w:color="auto" w:sz="4" w:space="0"/>
              <w:right w:val="single" w:color="auto" w:sz="4" w:space="0"/>
            </w:tcBorders>
            <w:shd w:val="clear" w:color="auto" w:fill="auto"/>
            <w:vAlign w:val="center"/>
          </w:tcPr>
          <w:p w14:paraId="625D5D34">
            <w:pPr>
              <w:widowControl/>
              <w:jc w:val="center"/>
              <w:rPr>
                <w:rFonts w:ascii="Arial" w:hAnsi="Arial" w:cs="Arial"/>
                <w:color w:val="000000"/>
                <w:kern w:val="0"/>
                <w:sz w:val="18"/>
                <w:szCs w:val="18"/>
              </w:rPr>
            </w:pPr>
            <w:r>
              <w:rPr>
                <w:rFonts w:hint="eastAsia" w:ascii="Arial" w:hAnsi="Arial" w:cs="Arial"/>
                <w:color w:val="000000"/>
                <w:kern w:val="0"/>
                <w:sz w:val="18"/>
                <w:szCs w:val="18"/>
              </w:rPr>
              <w:t>2000</w:t>
            </w:r>
          </w:p>
        </w:tc>
        <w:tc>
          <w:tcPr>
            <w:tcW w:w="1270" w:type="dxa"/>
            <w:tcBorders>
              <w:top w:val="single" w:color="auto" w:sz="4" w:space="0"/>
              <w:left w:val="nil"/>
              <w:bottom w:val="single" w:color="auto" w:sz="4" w:space="0"/>
              <w:right w:val="single" w:color="auto" w:sz="4" w:space="0"/>
            </w:tcBorders>
            <w:shd w:val="clear" w:color="auto" w:fill="auto"/>
            <w:vAlign w:val="center"/>
          </w:tcPr>
          <w:p w14:paraId="210F728C">
            <w:pPr>
              <w:widowControl/>
              <w:jc w:val="center"/>
              <w:rPr>
                <w:rFonts w:ascii="Arial" w:hAnsi="Arial" w:cs="Arial"/>
                <w:color w:val="000000"/>
                <w:kern w:val="0"/>
                <w:sz w:val="18"/>
                <w:szCs w:val="18"/>
              </w:rPr>
            </w:pPr>
            <w:r>
              <w:rPr>
                <w:rFonts w:hint="eastAsia" w:ascii="Arial" w:hAnsi="Arial" w:cs="Arial"/>
                <w:color w:val="000000"/>
                <w:kern w:val="0"/>
                <w:sz w:val="18"/>
                <w:szCs w:val="18"/>
              </w:rPr>
              <w:t>2200</w:t>
            </w:r>
          </w:p>
        </w:tc>
        <w:tc>
          <w:tcPr>
            <w:tcW w:w="1000" w:type="dxa"/>
            <w:tcBorders>
              <w:top w:val="single" w:color="auto" w:sz="4" w:space="0"/>
              <w:left w:val="nil"/>
              <w:bottom w:val="single" w:color="auto" w:sz="4" w:space="0"/>
              <w:right w:val="single" w:color="auto" w:sz="4" w:space="0"/>
            </w:tcBorders>
            <w:shd w:val="clear" w:color="auto" w:fill="auto"/>
            <w:vAlign w:val="center"/>
          </w:tcPr>
          <w:p w14:paraId="37050EAB">
            <w:pPr>
              <w:widowControl/>
              <w:jc w:val="center"/>
              <w:rPr>
                <w:rFonts w:ascii="Arial" w:hAnsi="Arial" w:cs="Arial"/>
                <w:color w:val="000000"/>
                <w:kern w:val="0"/>
                <w:sz w:val="18"/>
                <w:szCs w:val="18"/>
              </w:rPr>
            </w:pPr>
            <w:r>
              <w:rPr>
                <w:rFonts w:hint="eastAsia" w:ascii="Arial" w:hAnsi="Arial" w:cs="Arial"/>
                <w:color w:val="000000"/>
                <w:kern w:val="0"/>
                <w:sz w:val="18"/>
                <w:szCs w:val="18"/>
              </w:rPr>
              <w:t>2</w:t>
            </w:r>
            <w:r>
              <w:rPr>
                <w:rFonts w:ascii="Arial" w:hAnsi="Arial" w:cs="Arial"/>
                <w:color w:val="000000"/>
                <w:kern w:val="0"/>
                <w:sz w:val="18"/>
                <w:szCs w:val="18"/>
              </w:rPr>
              <w:t>200</w:t>
            </w:r>
          </w:p>
        </w:tc>
        <w:tc>
          <w:tcPr>
            <w:tcW w:w="1000" w:type="dxa"/>
            <w:tcBorders>
              <w:top w:val="single" w:color="auto" w:sz="4" w:space="0"/>
              <w:left w:val="nil"/>
              <w:bottom w:val="single" w:color="auto" w:sz="4" w:space="0"/>
              <w:right w:val="single" w:color="auto" w:sz="4" w:space="0"/>
            </w:tcBorders>
            <w:shd w:val="clear" w:color="auto" w:fill="auto"/>
            <w:vAlign w:val="center"/>
          </w:tcPr>
          <w:p w14:paraId="190B14B3">
            <w:pPr>
              <w:widowControl/>
              <w:jc w:val="center"/>
              <w:rPr>
                <w:rFonts w:ascii="Arial" w:hAnsi="Arial" w:cs="Arial"/>
                <w:color w:val="000000"/>
                <w:kern w:val="0"/>
                <w:sz w:val="18"/>
                <w:szCs w:val="18"/>
              </w:rPr>
            </w:pPr>
            <w:r>
              <w:rPr>
                <w:rFonts w:hint="eastAsia" w:ascii="Arial" w:hAnsi="Arial" w:cs="Arial"/>
                <w:color w:val="000000"/>
                <w:kern w:val="0"/>
                <w:sz w:val="18"/>
                <w:szCs w:val="18"/>
              </w:rPr>
              <w:t>2300</w:t>
            </w:r>
          </w:p>
        </w:tc>
        <w:tc>
          <w:tcPr>
            <w:tcW w:w="1360" w:type="dxa"/>
            <w:tcBorders>
              <w:top w:val="nil"/>
              <w:left w:val="nil"/>
              <w:bottom w:val="single" w:color="auto" w:sz="4" w:space="0"/>
              <w:right w:val="single" w:color="auto" w:sz="4" w:space="0"/>
            </w:tcBorders>
            <w:shd w:val="clear" w:color="auto" w:fill="auto"/>
            <w:vAlign w:val="center"/>
          </w:tcPr>
          <w:p w14:paraId="6C899E0F">
            <w:pPr>
              <w:widowControl/>
              <w:jc w:val="center"/>
              <w:rPr>
                <w:rFonts w:ascii="Arial" w:hAnsi="Arial" w:cs="Arial"/>
                <w:color w:val="000000"/>
                <w:kern w:val="0"/>
                <w:sz w:val="18"/>
                <w:szCs w:val="18"/>
              </w:rPr>
            </w:pPr>
            <w:r>
              <w:rPr>
                <w:rFonts w:hint="eastAsia" w:ascii="Arial" w:hAnsi="Arial" w:cs="Arial"/>
                <w:color w:val="000000"/>
                <w:kern w:val="0"/>
                <w:sz w:val="18"/>
                <w:szCs w:val="18"/>
              </w:rPr>
              <w:t>2400</w:t>
            </w:r>
          </w:p>
        </w:tc>
      </w:tr>
      <w:tr w14:paraId="725EDC5C">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vAlign w:val="center"/>
          </w:tcPr>
          <w:p w14:paraId="71AF180B">
            <w:pPr>
              <w:widowControl/>
              <w:jc w:val="center"/>
              <w:rPr>
                <w:rFonts w:ascii="Arial" w:hAnsi="Arial" w:cs="Arial"/>
                <w:color w:val="000000"/>
                <w:kern w:val="0"/>
                <w:sz w:val="18"/>
                <w:szCs w:val="18"/>
              </w:rPr>
            </w:pPr>
            <w:r>
              <w:rPr>
                <w:rFonts w:ascii="Arial" w:hAnsi="Arial" w:cs="Arial"/>
                <w:color w:val="000000"/>
                <w:kern w:val="0"/>
                <w:sz w:val="18"/>
                <w:szCs w:val="18"/>
              </w:rPr>
              <w:t>7</w:t>
            </w:r>
          </w:p>
        </w:tc>
        <w:tc>
          <w:tcPr>
            <w:tcW w:w="1835" w:type="dxa"/>
            <w:tcBorders>
              <w:top w:val="nil"/>
              <w:left w:val="nil"/>
              <w:bottom w:val="single" w:color="auto" w:sz="4" w:space="0"/>
              <w:right w:val="single" w:color="auto" w:sz="4" w:space="0"/>
            </w:tcBorders>
            <w:shd w:val="clear" w:color="auto" w:fill="auto"/>
            <w:vAlign w:val="center"/>
          </w:tcPr>
          <w:p w14:paraId="6D97A147">
            <w:pPr>
              <w:widowControl/>
              <w:jc w:val="center"/>
              <w:rPr>
                <w:rFonts w:ascii="宋体" w:hAnsi="宋体" w:cs="宋体"/>
                <w:color w:val="000000"/>
                <w:kern w:val="0"/>
                <w:sz w:val="18"/>
                <w:szCs w:val="18"/>
              </w:rPr>
            </w:pPr>
            <w:r>
              <w:rPr>
                <w:rFonts w:hint="eastAsia" w:ascii="宋体" w:hAnsi="宋体" w:cs="宋体"/>
                <w:color w:val="000000"/>
                <w:kern w:val="0"/>
                <w:sz w:val="18"/>
                <w:szCs w:val="18"/>
              </w:rPr>
              <w:t>最大扭矩（</w:t>
            </w:r>
            <w:r>
              <w:rPr>
                <w:rFonts w:ascii="Arial" w:hAnsi="Arial" w:cs="Arial"/>
                <w:color w:val="000000"/>
                <w:kern w:val="0"/>
                <w:sz w:val="18"/>
                <w:szCs w:val="18"/>
              </w:rPr>
              <w:t>Nm)</w:t>
            </w:r>
          </w:p>
        </w:tc>
        <w:tc>
          <w:tcPr>
            <w:tcW w:w="1095" w:type="dxa"/>
            <w:tcBorders>
              <w:top w:val="single" w:color="auto" w:sz="4" w:space="0"/>
              <w:left w:val="nil"/>
              <w:bottom w:val="single" w:color="auto" w:sz="4" w:space="0"/>
              <w:right w:val="single" w:color="auto" w:sz="4" w:space="0"/>
            </w:tcBorders>
            <w:shd w:val="clear" w:color="auto" w:fill="auto"/>
            <w:vAlign w:val="center"/>
          </w:tcPr>
          <w:p w14:paraId="25E3D97D">
            <w:pPr>
              <w:widowControl/>
              <w:jc w:val="center"/>
              <w:rPr>
                <w:rFonts w:ascii="Arial" w:hAnsi="Arial" w:cs="Arial"/>
                <w:color w:val="000000"/>
                <w:kern w:val="0"/>
                <w:sz w:val="18"/>
                <w:szCs w:val="18"/>
              </w:rPr>
            </w:pPr>
            <w:r>
              <w:rPr>
                <w:rFonts w:hint="eastAsia" w:ascii="Arial" w:hAnsi="Arial" w:cs="Arial"/>
                <w:color w:val="000000"/>
                <w:kern w:val="0"/>
                <w:sz w:val="18"/>
                <w:szCs w:val="18"/>
              </w:rPr>
              <w:t>2000</w:t>
            </w:r>
          </w:p>
        </w:tc>
        <w:tc>
          <w:tcPr>
            <w:tcW w:w="1270" w:type="dxa"/>
            <w:tcBorders>
              <w:top w:val="single" w:color="auto" w:sz="4" w:space="0"/>
              <w:left w:val="nil"/>
              <w:bottom w:val="single" w:color="auto" w:sz="4" w:space="0"/>
              <w:right w:val="single" w:color="auto" w:sz="4" w:space="0"/>
            </w:tcBorders>
            <w:shd w:val="clear" w:color="auto" w:fill="auto"/>
            <w:vAlign w:val="center"/>
          </w:tcPr>
          <w:p w14:paraId="00E7D02E">
            <w:pPr>
              <w:widowControl/>
              <w:jc w:val="center"/>
              <w:rPr>
                <w:rFonts w:ascii="Arial" w:hAnsi="Arial" w:cs="Arial"/>
                <w:color w:val="000000"/>
                <w:kern w:val="0"/>
                <w:sz w:val="18"/>
                <w:szCs w:val="18"/>
              </w:rPr>
            </w:pPr>
            <w:r>
              <w:rPr>
                <w:rFonts w:hint="eastAsia" w:ascii="Arial" w:hAnsi="Arial" w:cs="Arial"/>
                <w:color w:val="000000"/>
                <w:kern w:val="0"/>
                <w:sz w:val="18"/>
                <w:szCs w:val="18"/>
              </w:rPr>
              <w:t>1460</w:t>
            </w:r>
          </w:p>
        </w:tc>
        <w:tc>
          <w:tcPr>
            <w:tcW w:w="1000" w:type="dxa"/>
            <w:tcBorders>
              <w:top w:val="single" w:color="auto" w:sz="4" w:space="0"/>
              <w:left w:val="nil"/>
              <w:bottom w:val="single" w:color="auto" w:sz="4" w:space="0"/>
              <w:right w:val="single" w:color="auto" w:sz="4" w:space="0"/>
            </w:tcBorders>
            <w:shd w:val="clear" w:color="auto" w:fill="auto"/>
            <w:vAlign w:val="center"/>
          </w:tcPr>
          <w:p w14:paraId="2F1DAB60">
            <w:pPr>
              <w:widowControl/>
              <w:jc w:val="center"/>
              <w:rPr>
                <w:rFonts w:ascii="Arial" w:hAnsi="Arial" w:cs="Arial"/>
                <w:color w:val="000000"/>
                <w:kern w:val="0"/>
                <w:sz w:val="18"/>
                <w:szCs w:val="18"/>
              </w:rPr>
            </w:pPr>
            <w:r>
              <w:rPr>
                <w:rFonts w:hint="eastAsia" w:ascii="Arial" w:hAnsi="Arial" w:cs="Arial"/>
                <w:color w:val="000000"/>
                <w:kern w:val="0"/>
                <w:sz w:val="18"/>
                <w:szCs w:val="18"/>
              </w:rPr>
              <w:t>9</w:t>
            </w:r>
            <w:r>
              <w:rPr>
                <w:rFonts w:ascii="Arial" w:hAnsi="Arial" w:cs="Arial"/>
                <w:color w:val="000000"/>
                <w:kern w:val="0"/>
                <w:sz w:val="18"/>
                <w:szCs w:val="18"/>
              </w:rPr>
              <w:t>50</w:t>
            </w:r>
          </w:p>
        </w:tc>
        <w:tc>
          <w:tcPr>
            <w:tcW w:w="1000" w:type="dxa"/>
            <w:tcBorders>
              <w:top w:val="single" w:color="auto" w:sz="4" w:space="0"/>
              <w:left w:val="nil"/>
              <w:bottom w:val="single" w:color="auto" w:sz="4" w:space="0"/>
              <w:right w:val="single" w:color="auto" w:sz="4" w:space="0"/>
            </w:tcBorders>
            <w:shd w:val="clear" w:color="auto" w:fill="auto"/>
            <w:vAlign w:val="center"/>
          </w:tcPr>
          <w:p w14:paraId="2729494E">
            <w:pPr>
              <w:widowControl/>
              <w:jc w:val="center"/>
              <w:rPr>
                <w:rFonts w:ascii="Arial" w:hAnsi="Arial" w:cs="Arial"/>
                <w:color w:val="000000"/>
                <w:kern w:val="0"/>
                <w:sz w:val="18"/>
                <w:szCs w:val="18"/>
              </w:rPr>
            </w:pPr>
            <w:r>
              <w:rPr>
                <w:rFonts w:hint="eastAsia" w:ascii="Arial" w:hAnsi="Arial" w:cs="Arial"/>
                <w:color w:val="000000"/>
                <w:kern w:val="0"/>
                <w:sz w:val="18"/>
                <w:szCs w:val="18"/>
              </w:rPr>
              <w:t>1250</w:t>
            </w:r>
          </w:p>
        </w:tc>
        <w:tc>
          <w:tcPr>
            <w:tcW w:w="1360" w:type="dxa"/>
            <w:tcBorders>
              <w:top w:val="nil"/>
              <w:left w:val="nil"/>
              <w:bottom w:val="single" w:color="auto" w:sz="4" w:space="0"/>
              <w:right w:val="single" w:color="auto" w:sz="4" w:space="0"/>
            </w:tcBorders>
            <w:shd w:val="clear" w:color="auto" w:fill="auto"/>
            <w:vAlign w:val="center"/>
          </w:tcPr>
          <w:p w14:paraId="04DEEB12">
            <w:pPr>
              <w:widowControl/>
              <w:jc w:val="center"/>
              <w:rPr>
                <w:rFonts w:ascii="Arial" w:hAnsi="Arial" w:cs="Arial"/>
                <w:color w:val="000000"/>
                <w:kern w:val="0"/>
                <w:sz w:val="18"/>
                <w:szCs w:val="18"/>
              </w:rPr>
            </w:pPr>
            <w:r>
              <w:rPr>
                <w:rFonts w:hint="eastAsia" w:ascii="Arial" w:hAnsi="Arial" w:cs="Arial"/>
                <w:color w:val="000000"/>
                <w:kern w:val="0"/>
                <w:sz w:val="18"/>
                <w:szCs w:val="18"/>
              </w:rPr>
              <w:t>830</w:t>
            </w:r>
          </w:p>
        </w:tc>
      </w:tr>
      <w:tr w14:paraId="6EFF6722">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vAlign w:val="center"/>
          </w:tcPr>
          <w:p w14:paraId="22DB5D83">
            <w:pPr>
              <w:widowControl/>
              <w:jc w:val="center"/>
              <w:rPr>
                <w:rFonts w:ascii="Arial" w:hAnsi="Arial" w:cs="Arial"/>
                <w:color w:val="000000"/>
                <w:kern w:val="0"/>
                <w:sz w:val="18"/>
                <w:szCs w:val="18"/>
              </w:rPr>
            </w:pPr>
            <w:r>
              <w:rPr>
                <w:rFonts w:hint="eastAsia" w:ascii="Arial" w:hAnsi="Arial" w:cs="Arial"/>
                <w:color w:val="000000"/>
                <w:kern w:val="0"/>
                <w:sz w:val="18"/>
                <w:szCs w:val="18"/>
              </w:rPr>
              <w:t>8</w:t>
            </w:r>
          </w:p>
        </w:tc>
        <w:tc>
          <w:tcPr>
            <w:tcW w:w="1835" w:type="dxa"/>
            <w:tcBorders>
              <w:top w:val="nil"/>
              <w:left w:val="nil"/>
              <w:bottom w:val="single" w:color="auto" w:sz="4" w:space="0"/>
              <w:right w:val="single" w:color="auto" w:sz="4" w:space="0"/>
            </w:tcBorders>
            <w:shd w:val="clear" w:color="auto" w:fill="auto"/>
            <w:vAlign w:val="center"/>
          </w:tcPr>
          <w:p w14:paraId="5020637D">
            <w:pPr>
              <w:widowControl/>
              <w:jc w:val="center"/>
              <w:rPr>
                <w:rFonts w:ascii="宋体" w:hAnsi="宋体" w:cs="宋体"/>
                <w:color w:val="000000"/>
                <w:kern w:val="0"/>
                <w:sz w:val="18"/>
                <w:szCs w:val="18"/>
              </w:rPr>
            </w:pPr>
            <w:r>
              <w:rPr>
                <w:rFonts w:hint="eastAsia" w:ascii="宋体" w:hAnsi="宋体" w:cs="宋体"/>
                <w:color w:val="000000"/>
                <w:kern w:val="0"/>
                <w:sz w:val="18"/>
                <w:szCs w:val="18"/>
              </w:rPr>
              <w:t>最高转速r</w:t>
            </w:r>
            <w:r>
              <w:rPr>
                <w:rFonts w:ascii="宋体" w:hAnsi="宋体" w:cs="宋体"/>
                <w:color w:val="000000"/>
                <w:kern w:val="0"/>
                <w:sz w:val="18"/>
                <w:szCs w:val="18"/>
              </w:rPr>
              <w:t>pm</w:t>
            </w:r>
          </w:p>
        </w:tc>
        <w:tc>
          <w:tcPr>
            <w:tcW w:w="1095" w:type="dxa"/>
            <w:tcBorders>
              <w:top w:val="single" w:color="auto" w:sz="4" w:space="0"/>
              <w:left w:val="nil"/>
              <w:bottom w:val="single" w:color="auto" w:sz="4" w:space="0"/>
              <w:right w:val="single" w:color="auto" w:sz="4" w:space="0"/>
            </w:tcBorders>
            <w:shd w:val="clear" w:color="auto" w:fill="auto"/>
            <w:vAlign w:val="center"/>
          </w:tcPr>
          <w:p w14:paraId="0E3F9F26">
            <w:pPr>
              <w:widowControl/>
              <w:jc w:val="center"/>
              <w:rPr>
                <w:rFonts w:ascii="Arial" w:hAnsi="Arial" w:cs="Arial"/>
                <w:color w:val="000000"/>
                <w:kern w:val="0"/>
                <w:sz w:val="18"/>
                <w:szCs w:val="18"/>
              </w:rPr>
            </w:pPr>
            <w:r>
              <w:rPr>
                <w:rFonts w:hint="eastAsia" w:ascii="Arial" w:hAnsi="Arial" w:cs="Arial"/>
                <w:color w:val="000000"/>
                <w:kern w:val="0"/>
                <w:sz w:val="18"/>
                <w:szCs w:val="18"/>
              </w:rPr>
              <w:t>2</w:t>
            </w:r>
            <w:r>
              <w:rPr>
                <w:rFonts w:ascii="Arial" w:hAnsi="Arial" w:cs="Arial"/>
                <w:color w:val="000000"/>
                <w:kern w:val="0"/>
                <w:sz w:val="18"/>
                <w:szCs w:val="18"/>
              </w:rPr>
              <w:t>300</w:t>
            </w:r>
          </w:p>
        </w:tc>
        <w:tc>
          <w:tcPr>
            <w:tcW w:w="1270" w:type="dxa"/>
            <w:tcBorders>
              <w:top w:val="single" w:color="auto" w:sz="4" w:space="0"/>
              <w:left w:val="nil"/>
              <w:bottom w:val="single" w:color="auto" w:sz="4" w:space="0"/>
              <w:right w:val="single" w:color="auto" w:sz="4" w:space="0"/>
            </w:tcBorders>
            <w:shd w:val="clear" w:color="auto" w:fill="auto"/>
            <w:vAlign w:val="center"/>
          </w:tcPr>
          <w:p w14:paraId="38DA5F3D">
            <w:pPr>
              <w:widowControl/>
              <w:jc w:val="center"/>
              <w:rPr>
                <w:rFonts w:ascii="Arial" w:hAnsi="Arial" w:cs="Arial"/>
                <w:color w:val="000000"/>
                <w:kern w:val="0"/>
                <w:sz w:val="18"/>
                <w:szCs w:val="18"/>
              </w:rPr>
            </w:pPr>
            <w:r>
              <w:rPr>
                <w:rFonts w:hint="eastAsia" w:ascii="Arial" w:hAnsi="Arial" w:cs="Arial"/>
                <w:color w:val="000000"/>
                <w:kern w:val="0"/>
                <w:sz w:val="18"/>
                <w:szCs w:val="18"/>
              </w:rPr>
              <w:t>2</w:t>
            </w:r>
            <w:r>
              <w:rPr>
                <w:rFonts w:ascii="Arial" w:hAnsi="Arial" w:cs="Arial"/>
                <w:color w:val="000000"/>
                <w:kern w:val="0"/>
                <w:sz w:val="18"/>
                <w:szCs w:val="18"/>
              </w:rPr>
              <w:t>530</w:t>
            </w:r>
          </w:p>
        </w:tc>
        <w:tc>
          <w:tcPr>
            <w:tcW w:w="1000" w:type="dxa"/>
            <w:tcBorders>
              <w:top w:val="single" w:color="auto" w:sz="4" w:space="0"/>
              <w:left w:val="nil"/>
              <w:bottom w:val="single" w:color="auto" w:sz="4" w:space="0"/>
              <w:right w:val="single" w:color="auto" w:sz="4" w:space="0"/>
            </w:tcBorders>
            <w:shd w:val="clear" w:color="auto" w:fill="auto"/>
            <w:vAlign w:val="center"/>
          </w:tcPr>
          <w:p w14:paraId="66420F52">
            <w:pPr>
              <w:widowControl/>
              <w:jc w:val="center"/>
              <w:rPr>
                <w:rFonts w:ascii="Arial" w:hAnsi="Arial" w:cs="Arial"/>
                <w:color w:val="000000"/>
                <w:kern w:val="0"/>
                <w:sz w:val="18"/>
                <w:szCs w:val="18"/>
              </w:rPr>
            </w:pPr>
            <w:r>
              <w:rPr>
                <w:rFonts w:hint="eastAsia" w:ascii="Arial" w:hAnsi="Arial" w:cs="Arial"/>
                <w:color w:val="000000"/>
                <w:kern w:val="0"/>
                <w:sz w:val="18"/>
                <w:szCs w:val="18"/>
              </w:rPr>
              <w:t>2</w:t>
            </w:r>
            <w:r>
              <w:rPr>
                <w:rFonts w:ascii="Arial" w:hAnsi="Arial" w:cs="Arial"/>
                <w:color w:val="000000"/>
                <w:kern w:val="0"/>
                <w:sz w:val="18"/>
                <w:szCs w:val="18"/>
              </w:rPr>
              <w:t>480</w:t>
            </w:r>
          </w:p>
        </w:tc>
        <w:tc>
          <w:tcPr>
            <w:tcW w:w="1000" w:type="dxa"/>
            <w:tcBorders>
              <w:top w:val="single" w:color="auto" w:sz="4" w:space="0"/>
              <w:left w:val="nil"/>
              <w:bottom w:val="single" w:color="auto" w:sz="4" w:space="0"/>
              <w:right w:val="single" w:color="auto" w:sz="4" w:space="0"/>
            </w:tcBorders>
            <w:shd w:val="clear" w:color="auto" w:fill="auto"/>
            <w:vAlign w:val="center"/>
          </w:tcPr>
          <w:p w14:paraId="532A2494">
            <w:pPr>
              <w:widowControl/>
              <w:jc w:val="center"/>
              <w:rPr>
                <w:rFonts w:ascii="Arial" w:hAnsi="Arial" w:cs="Arial"/>
                <w:color w:val="000000"/>
                <w:kern w:val="0"/>
                <w:sz w:val="18"/>
                <w:szCs w:val="18"/>
              </w:rPr>
            </w:pPr>
            <w:r>
              <w:rPr>
                <w:rFonts w:hint="eastAsia" w:ascii="Arial" w:hAnsi="Arial" w:cs="Arial"/>
                <w:color w:val="000000"/>
                <w:kern w:val="0"/>
                <w:sz w:val="18"/>
                <w:szCs w:val="18"/>
              </w:rPr>
              <w:t>2</w:t>
            </w:r>
            <w:r>
              <w:rPr>
                <w:rFonts w:ascii="Arial" w:hAnsi="Arial" w:cs="Arial"/>
                <w:color w:val="000000"/>
                <w:kern w:val="0"/>
                <w:sz w:val="18"/>
                <w:szCs w:val="18"/>
              </w:rPr>
              <w:t>600</w:t>
            </w:r>
          </w:p>
        </w:tc>
        <w:tc>
          <w:tcPr>
            <w:tcW w:w="1360" w:type="dxa"/>
            <w:tcBorders>
              <w:top w:val="nil"/>
              <w:left w:val="nil"/>
              <w:bottom w:val="single" w:color="auto" w:sz="4" w:space="0"/>
              <w:right w:val="single" w:color="auto" w:sz="4" w:space="0"/>
            </w:tcBorders>
            <w:shd w:val="clear" w:color="auto" w:fill="auto"/>
            <w:vAlign w:val="center"/>
          </w:tcPr>
          <w:p w14:paraId="7F1AF71F">
            <w:pPr>
              <w:widowControl/>
              <w:jc w:val="center"/>
              <w:rPr>
                <w:rFonts w:ascii="Arial" w:hAnsi="Arial" w:cs="Arial"/>
                <w:color w:val="000000"/>
                <w:kern w:val="0"/>
                <w:sz w:val="18"/>
                <w:szCs w:val="18"/>
              </w:rPr>
            </w:pPr>
            <w:r>
              <w:rPr>
                <w:rFonts w:hint="eastAsia" w:ascii="Arial" w:hAnsi="Arial" w:cs="Arial"/>
                <w:color w:val="000000"/>
                <w:kern w:val="0"/>
                <w:sz w:val="18"/>
                <w:szCs w:val="18"/>
              </w:rPr>
              <w:t>2</w:t>
            </w:r>
            <w:r>
              <w:rPr>
                <w:rFonts w:ascii="Arial" w:hAnsi="Arial" w:cs="Arial"/>
                <w:color w:val="000000"/>
                <w:kern w:val="0"/>
                <w:sz w:val="18"/>
                <w:szCs w:val="18"/>
              </w:rPr>
              <w:t>640</w:t>
            </w:r>
          </w:p>
        </w:tc>
      </w:tr>
      <w:tr w14:paraId="26CB791F">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vAlign w:val="center"/>
          </w:tcPr>
          <w:p w14:paraId="250FBD50">
            <w:pPr>
              <w:widowControl/>
              <w:jc w:val="center"/>
              <w:rPr>
                <w:rFonts w:ascii="Arial" w:hAnsi="Arial" w:cs="Arial"/>
                <w:color w:val="000000"/>
                <w:kern w:val="0"/>
                <w:sz w:val="18"/>
                <w:szCs w:val="18"/>
              </w:rPr>
            </w:pPr>
            <w:r>
              <w:rPr>
                <w:rFonts w:hint="eastAsia" w:ascii="Arial" w:hAnsi="Arial" w:cs="Arial"/>
                <w:color w:val="000000"/>
                <w:kern w:val="0"/>
                <w:sz w:val="18"/>
                <w:szCs w:val="18"/>
              </w:rPr>
              <w:t>9</w:t>
            </w:r>
          </w:p>
        </w:tc>
        <w:tc>
          <w:tcPr>
            <w:tcW w:w="1835" w:type="dxa"/>
            <w:tcBorders>
              <w:top w:val="nil"/>
              <w:left w:val="nil"/>
              <w:bottom w:val="single" w:color="auto" w:sz="4" w:space="0"/>
              <w:right w:val="single" w:color="auto" w:sz="4" w:space="0"/>
            </w:tcBorders>
            <w:shd w:val="clear" w:color="auto" w:fill="auto"/>
            <w:vAlign w:val="center"/>
          </w:tcPr>
          <w:p w14:paraId="0B0403FE">
            <w:pPr>
              <w:widowControl/>
              <w:jc w:val="center"/>
              <w:rPr>
                <w:rFonts w:ascii="宋体" w:hAnsi="宋体" w:cs="宋体"/>
                <w:color w:val="000000"/>
                <w:kern w:val="0"/>
                <w:sz w:val="18"/>
                <w:szCs w:val="18"/>
              </w:rPr>
            </w:pPr>
            <w:r>
              <w:rPr>
                <w:rFonts w:hint="eastAsia" w:ascii="宋体" w:hAnsi="宋体" w:cs="宋体"/>
                <w:color w:val="000000"/>
                <w:kern w:val="0"/>
                <w:sz w:val="18"/>
                <w:szCs w:val="18"/>
              </w:rPr>
              <w:t>怠速r</w:t>
            </w:r>
            <w:r>
              <w:rPr>
                <w:rFonts w:ascii="宋体" w:hAnsi="宋体" w:cs="宋体"/>
                <w:color w:val="000000"/>
                <w:kern w:val="0"/>
                <w:sz w:val="18"/>
                <w:szCs w:val="18"/>
              </w:rPr>
              <w:t>pm</w:t>
            </w:r>
          </w:p>
        </w:tc>
        <w:tc>
          <w:tcPr>
            <w:tcW w:w="1095" w:type="dxa"/>
            <w:tcBorders>
              <w:top w:val="single" w:color="auto" w:sz="4" w:space="0"/>
              <w:left w:val="nil"/>
              <w:bottom w:val="single" w:color="auto" w:sz="4" w:space="0"/>
              <w:right w:val="single" w:color="auto" w:sz="4" w:space="0"/>
            </w:tcBorders>
            <w:shd w:val="clear" w:color="auto" w:fill="auto"/>
            <w:vAlign w:val="center"/>
          </w:tcPr>
          <w:p w14:paraId="375473FD">
            <w:pPr>
              <w:widowControl/>
              <w:jc w:val="center"/>
              <w:rPr>
                <w:rFonts w:ascii="Arial" w:hAnsi="Arial" w:cs="Arial"/>
                <w:color w:val="000000"/>
                <w:kern w:val="0"/>
                <w:sz w:val="18"/>
                <w:szCs w:val="18"/>
              </w:rPr>
            </w:pPr>
            <w:r>
              <w:rPr>
                <w:rFonts w:hint="eastAsia" w:ascii="Arial" w:hAnsi="Arial" w:cs="Arial"/>
                <w:color w:val="000000"/>
                <w:kern w:val="0"/>
                <w:sz w:val="18"/>
                <w:szCs w:val="18"/>
              </w:rPr>
              <w:t>6</w:t>
            </w:r>
            <w:r>
              <w:rPr>
                <w:rFonts w:ascii="Arial" w:hAnsi="Arial" w:cs="Arial"/>
                <w:color w:val="000000"/>
                <w:kern w:val="0"/>
                <w:sz w:val="18"/>
                <w:szCs w:val="18"/>
              </w:rPr>
              <w:t>50</w:t>
            </w:r>
          </w:p>
        </w:tc>
        <w:tc>
          <w:tcPr>
            <w:tcW w:w="1270" w:type="dxa"/>
            <w:tcBorders>
              <w:top w:val="single" w:color="auto" w:sz="4" w:space="0"/>
              <w:left w:val="nil"/>
              <w:bottom w:val="single" w:color="auto" w:sz="4" w:space="0"/>
              <w:right w:val="single" w:color="auto" w:sz="4" w:space="0"/>
            </w:tcBorders>
            <w:shd w:val="clear" w:color="auto" w:fill="auto"/>
            <w:vAlign w:val="center"/>
          </w:tcPr>
          <w:p w14:paraId="53635482">
            <w:pPr>
              <w:widowControl/>
              <w:jc w:val="center"/>
              <w:rPr>
                <w:rFonts w:ascii="Arial" w:hAnsi="Arial" w:cs="Arial"/>
                <w:color w:val="000000"/>
                <w:kern w:val="0"/>
                <w:sz w:val="18"/>
                <w:szCs w:val="18"/>
              </w:rPr>
            </w:pPr>
            <w:r>
              <w:rPr>
                <w:rFonts w:hint="eastAsia" w:ascii="Arial" w:hAnsi="Arial" w:cs="Arial"/>
                <w:color w:val="000000"/>
                <w:kern w:val="0"/>
                <w:sz w:val="18"/>
                <w:szCs w:val="18"/>
              </w:rPr>
              <w:t>6</w:t>
            </w:r>
            <w:r>
              <w:rPr>
                <w:rFonts w:ascii="Arial" w:hAnsi="Arial" w:cs="Arial"/>
                <w:color w:val="000000"/>
                <w:kern w:val="0"/>
                <w:sz w:val="18"/>
                <w:szCs w:val="18"/>
              </w:rPr>
              <w:t>00</w:t>
            </w:r>
          </w:p>
        </w:tc>
        <w:tc>
          <w:tcPr>
            <w:tcW w:w="1000" w:type="dxa"/>
            <w:tcBorders>
              <w:top w:val="single" w:color="auto" w:sz="4" w:space="0"/>
              <w:left w:val="nil"/>
              <w:bottom w:val="single" w:color="auto" w:sz="4" w:space="0"/>
              <w:right w:val="single" w:color="auto" w:sz="4" w:space="0"/>
            </w:tcBorders>
            <w:shd w:val="clear" w:color="auto" w:fill="auto"/>
            <w:vAlign w:val="center"/>
          </w:tcPr>
          <w:p w14:paraId="23E9C348">
            <w:pPr>
              <w:widowControl/>
              <w:jc w:val="center"/>
              <w:rPr>
                <w:rFonts w:ascii="Arial" w:hAnsi="Arial" w:cs="Arial"/>
                <w:color w:val="000000"/>
                <w:kern w:val="0"/>
                <w:sz w:val="18"/>
                <w:szCs w:val="18"/>
              </w:rPr>
            </w:pPr>
            <w:r>
              <w:rPr>
                <w:rFonts w:hint="eastAsia" w:ascii="Arial" w:hAnsi="Arial" w:cs="Arial"/>
                <w:color w:val="000000"/>
                <w:kern w:val="0"/>
                <w:sz w:val="18"/>
                <w:szCs w:val="18"/>
              </w:rPr>
              <w:t>6</w:t>
            </w:r>
            <w:r>
              <w:rPr>
                <w:rFonts w:ascii="Arial" w:hAnsi="Arial" w:cs="Arial"/>
                <w:color w:val="000000"/>
                <w:kern w:val="0"/>
                <w:sz w:val="18"/>
                <w:szCs w:val="18"/>
              </w:rPr>
              <w:t>00</w:t>
            </w:r>
          </w:p>
        </w:tc>
        <w:tc>
          <w:tcPr>
            <w:tcW w:w="1000" w:type="dxa"/>
            <w:tcBorders>
              <w:top w:val="single" w:color="auto" w:sz="4" w:space="0"/>
              <w:left w:val="nil"/>
              <w:bottom w:val="single" w:color="auto" w:sz="4" w:space="0"/>
              <w:right w:val="single" w:color="auto" w:sz="4" w:space="0"/>
            </w:tcBorders>
            <w:shd w:val="clear" w:color="auto" w:fill="auto"/>
            <w:vAlign w:val="center"/>
          </w:tcPr>
          <w:p w14:paraId="6E69BE7F">
            <w:pPr>
              <w:widowControl/>
              <w:jc w:val="center"/>
              <w:rPr>
                <w:rFonts w:ascii="Arial" w:hAnsi="Arial" w:cs="Arial"/>
                <w:color w:val="000000"/>
                <w:kern w:val="0"/>
                <w:sz w:val="18"/>
                <w:szCs w:val="18"/>
              </w:rPr>
            </w:pPr>
            <w:r>
              <w:rPr>
                <w:rFonts w:hint="eastAsia" w:ascii="Arial" w:hAnsi="Arial" w:cs="Arial"/>
                <w:color w:val="000000"/>
                <w:kern w:val="0"/>
                <w:sz w:val="18"/>
                <w:szCs w:val="18"/>
              </w:rPr>
              <w:t>6</w:t>
            </w:r>
            <w:r>
              <w:rPr>
                <w:rFonts w:ascii="Arial" w:hAnsi="Arial" w:cs="Arial"/>
                <w:color w:val="000000"/>
                <w:kern w:val="0"/>
                <w:sz w:val="18"/>
                <w:szCs w:val="18"/>
              </w:rPr>
              <w:t>00</w:t>
            </w:r>
          </w:p>
        </w:tc>
        <w:tc>
          <w:tcPr>
            <w:tcW w:w="1360" w:type="dxa"/>
            <w:tcBorders>
              <w:top w:val="nil"/>
              <w:left w:val="nil"/>
              <w:bottom w:val="single" w:color="auto" w:sz="4" w:space="0"/>
              <w:right w:val="single" w:color="auto" w:sz="4" w:space="0"/>
            </w:tcBorders>
            <w:shd w:val="clear" w:color="auto" w:fill="auto"/>
            <w:vAlign w:val="center"/>
          </w:tcPr>
          <w:p w14:paraId="262A18A8">
            <w:pPr>
              <w:widowControl/>
              <w:jc w:val="center"/>
              <w:rPr>
                <w:rFonts w:ascii="Arial" w:hAnsi="Arial" w:cs="Arial"/>
                <w:color w:val="000000"/>
                <w:kern w:val="0"/>
                <w:sz w:val="18"/>
                <w:szCs w:val="18"/>
              </w:rPr>
            </w:pPr>
            <w:r>
              <w:rPr>
                <w:rFonts w:hint="eastAsia" w:ascii="Arial" w:hAnsi="Arial" w:cs="Arial"/>
                <w:color w:val="000000"/>
                <w:kern w:val="0"/>
                <w:sz w:val="18"/>
                <w:szCs w:val="18"/>
              </w:rPr>
              <w:t>7</w:t>
            </w:r>
            <w:r>
              <w:rPr>
                <w:rFonts w:ascii="Arial" w:hAnsi="Arial" w:cs="Arial"/>
                <w:color w:val="000000"/>
                <w:kern w:val="0"/>
                <w:sz w:val="18"/>
                <w:szCs w:val="18"/>
              </w:rPr>
              <w:t>00</w:t>
            </w:r>
          </w:p>
        </w:tc>
      </w:tr>
      <w:tr w14:paraId="24B2EDE7">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vAlign w:val="center"/>
          </w:tcPr>
          <w:p w14:paraId="4A454F1B">
            <w:pPr>
              <w:widowControl/>
              <w:jc w:val="center"/>
              <w:rPr>
                <w:rFonts w:ascii="Arial" w:hAnsi="Arial" w:cs="Arial"/>
                <w:color w:val="000000"/>
                <w:kern w:val="0"/>
                <w:sz w:val="18"/>
                <w:szCs w:val="18"/>
              </w:rPr>
            </w:pPr>
            <w:r>
              <w:rPr>
                <w:rFonts w:ascii="Arial" w:hAnsi="Arial" w:cs="Arial"/>
                <w:color w:val="000000"/>
                <w:kern w:val="0"/>
                <w:sz w:val="18"/>
                <w:szCs w:val="18"/>
              </w:rPr>
              <w:t>10</w:t>
            </w:r>
          </w:p>
        </w:tc>
        <w:tc>
          <w:tcPr>
            <w:tcW w:w="1835" w:type="dxa"/>
            <w:tcBorders>
              <w:top w:val="nil"/>
              <w:left w:val="nil"/>
              <w:bottom w:val="single" w:color="auto" w:sz="4" w:space="0"/>
              <w:right w:val="single" w:color="auto" w:sz="4" w:space="0"/>
            </w:tcBorders>
            <w:shd w:val="clear" w:color="auto" w:fill="auto"/>
            <w:vAlign w:val="center"/>
          </w:tcPr>
          <w:p w14:paraId="55F9AE69">
            <w:pPr>
              <w:widowControl/>
              <w:jc w:val="center"/>
              <w:rPr>
                <w:rFonts w:ascii="宋体" w:hAnsi="宋体" w:cs="宋体"/>
                <w:color w:val="000000"/>
                <w:kern w:val="0"/>
                <w:sz w:val="18"/>
                <w:szCs w:val="18"/>
              </w:rPr>
            </w:pPr>
            <w:r>
              <w:rPr>
                <w:rFonts w:hint="eastAsia" w:ascii="宋体" w:hAnsi="宋体" w:cs="宋体"/>
                <w:color w:val="000000"/>
                <w:kern w:val="0"/>
                <w:sz w:val="18"/>
                <w:szCs w:val="18"/>
              </w:rPr>
              <w:t>最高排温（℃）</w:t>
            </w:r>
          </w:p>
        </w:tc>
        <w:tc>
          <w:tcPr>
            <w:tcW w:w="2365" w:type="dxa"/>
            <w:gridSpan w:val="2"/>
            <w:tcBorders>
              <w:top w:val="single" w:color="auto" w:sz="4" w:space="0"/>
              <w:left w:val="nil"/>
              <w:bottom w:val="single" w:color="auto" w:sz="4" w:space="0"/>
              <w:right w:val="single" w:color="auto" w:sz="4" w:space="0"/>
            </w:tcBorders>
            <w:shd w:val="clear" w:color="auto" w:fill="auto"/>
            <w:vAlign w:val="center"/>
          </w:tcPr>
          <w:p w14:paraId="7FF633A7">
            <w:pPr>
              <w:widowControl/>
              <w:jc w:val="center"/>
              <w:rPr>
                <w:rFonts w:ascii="宋体" w:hAnsi="宋体" w:cs="宋体"/>
                <w:color w:val="000000"/>
                <w:kern w:val="0"/>
                <w:sz w:val="18"/>
                <w:szCs w:val="18"/>
              </w:rPr>
            </w:pPr>
            <w:r>
              <w:rPr>
                <w:rFonts w:hint="eastAsia" w:ascii="宋体" w:hAnsi="宋体" w:cs="宋体"/>
                <w:color w:val="000000"/>
                <w:kern w:val="0"/>
                <w:sz w:val="18"/>
                <w:szCs w:val="18"/>
              </w:rPr>
              <w:t>≤</w:t>
            </w:r>
            <w:r>
              <w:rPr>
                <w:rFonts w:ascii="Arial" w:hAnsi="Arial" w:cs="Arial"/>
                <w:color w:val="000000"/>
                <w:kern w:val="0"/>
                <w:sz w:val="18"/>
                <w:szCs w:val="18"/>
              </w:rPr>
              <w:t>600</w:t>
            </w:r>
          </w:p>
        </w:tc>
        <w:tc>
          <w:tcPr>
            <w:tcW w:w="2000" w:type="dxa"/>
            <w:gridSpan w:val="2"/>
            <w:tcBorders>
              <w:top w:val="single" w:color="auto" w:sz="4" w:space="0"/>
              <w:left w:val="nil"/>
              <w:bottom w:val="single" w:color="auto" w:sz="4" w:space="0"/>
              <w:right w:val="single" w:color="auto" w:sz="4" w:space="0"/>
            </w:tcBorders>
            <w:shd w:val="clear" w:color="auto" w:fill="auto"/>
            <w:vAlign w:val="center"/>
          </w:tcPr>
          <w:p w14:paraId="1B1944F2">
            <w:pPr>
              <w:widowControl/>
              <w:jc w:val="center"/>
              <w:rPr>
                <w:rFonts w:ascii="宋体" w:hAnsi="宋体" w:cs="宋体"/>
                <w:color w:val="000000"/>
                <w:kern w:val="0"/>
                <w:sz w:val="18"/>
                <w:szCs w:val="18"/>
              </w:rPr>
            </w:pPr>
            <w:r>
              <w:rPr>
                <w:rFonts w:hint="eastAsia" w:ascii="宋体" w:hAnsi="宋体" w:cs="宋体"/>
                <w:color w:val="000000"/>
                <w:kern w:val="0"/>
                <w:sz w:val="18"/>
                <w:szCs w:val="18"/>
              </w:rPr>
              <w:t>≤</w:t>
            </w:r>
            <w:r>
              <w:rPr>
                <w:rFonts w:ascii="Arial" w:hAnsi="Arial" w:cs="Arial"/>
                <w:color w:val="000000"/>
                <w:kern w:val="0"/>
                <w:sz w:val="18"/>
                <w:szCs w:val="18"/>
              </w:rPr>
              <w:t>600</w:t>
            </w:r>
          </w:p>
        </w:tc>
        <w:tc>
          <w:tcPr>
            <w:tcW w:w="1360" w:type="dxa"/>
            <w:tcBorders>
              <w:top w:val="nil"/>
              <w:left w:val="nil"/>
              <w:bottom w:val="single" w:color="auto" w:sz="4" w:space="0"/>
              <w:right w:val="single" w:color="auto" w:sz="4" w:space="0"/>
            </w:tcBorders>
            <w:shd w:val="clear" w:color="auto" w:fill="auto"/>
            <w:vAlign w:val="center"/>
          </w:tcPr>
          <w:p w14:paraId="725470E7">
            <w:pPr>
              <w:widowControl/>
              <w:jc w:val="center"/>
              <w:rPr>
                <w:rFonts w:ascii="宋体" w:hAnsi="宋体" w:cs="宋体"/>
                <w:color w:val="000000"/>
                <w:kern w:val="0"/>
                <w:sz w:val="18"/>
                <w:szCs w:val="18"/>
              </w:rPr>
            </w:pPr>
            <w:r>
              <w:rPr>
                <w:rFonts w:hint="eastAsia" w:ascii="宋体" w:hAnsi="宋体" w:cs="宋体"/>
                <w:color w:val="000000"/>
                <w:kern w:val="0"/>
                <w:sz w:val="18"/>
                <w:szCs w:val="18"/>
              </w:rPr>
              <w:t>≤</w:t>
            </w:r>
            <w:r>
              <w:rPr>
                <w:rFonts w:ascii="Arial" w:hAnsi="Arial" w:cs="Arial"/>
                <w:color w:val="000000"/>
                <w:kern w:val="0"/>
                <w:sz w:val="18"/>
                <w:szCs w:val="18"/>
              </w:rPr>
              <w:t>600</w:t>
            </w:r>
          </w:p>
        </w:tc>
      </w:tr>
    </w:tbl>
    <w:p w14:paraId="155BEAD0">
      <w:pPr>
        <w:spacing w:line="360" w:lineRule="auto"/>
        <w:ind w:left="-199" w:leftChars="-95" w:firstLine="679" w:firstLineChars="283"/>
        <w:rPr>
          <w:rFonts w:ascii="宋体"/>
          <w:sz w:val="24"/>
          <w:szCs w:val="24"/>
        </w:rPr>
      </w:pPr>
    </w:p>
    <w:p w14:paraId="08A70043">
      <w:pPr>
        <w:spacing w:line="360" w:lineRule="auto"/>
        <w:rPr>
          <w:rFonts w:ascii="宋体"/>
          <w:sz w:val="24"/>
          <w:szCs w:val="24"/>
        </w:rPr>
      </w:pPr>
      <w:r>
        <w:rPr>
          <w:rFonts w:ascii="宋体"/>
          <w:sz w:val="24"/>
          <w:szCs w:val="24"/>
        </w:rPr>
        <w:t>5. 发</w:t>
      </w:r>
      <w:r>
        <w:rPr>
          <w:rFonts w:hint="eastAsia" w:ascii="宋体"/>
          <w:sz w:val="24"/>
          <w:szCs w:val="24"/>
        </w:rPr>
        <w:t>动机</w:t>
      </w:r>
      <w:r>
        <w:rPr>
          <w:rFonts w:ascii="宋体"/>
          <w:sz w:val="24"/>
          <w:szCs w:val="24"/>
        </w:rPr>
        <w:t>出厂试验</w:t>
      </w:r>
      <w:r>
        <w:rPr>
          <w:rFonts w:hint="eastAsia" w:ascii="宋体"/>
          <w:sz w:val="24"/>
          <w:szCs w:val="24"/>
        </w:rPr>
        <w:t>工艺流程（见表</w:t>
      </w:r>
      <w:r>
        <w:rPr>
          <w:rFonts w:ascii="宋体"/>
          <w:sz w:val="24"/>
          <w:szCs w:val="24"/>
        </w:rPr>
        <w:t>4</w:t>
      </w:r>
      <w:r>
        <w:rPr>
          <w:rFonts w:hint="eastAsia" w:ascii="宋体"/>
          <w:sz w:val="24"/>
          <w:szCs w:val="24"/>
        </w:rPr>
        <w:t>）：</w:t>
      </w:r>
    </w:p>
    <w:p w14:paraId="77E08DBA">
      <w:pPr>
        <w:spacing w:line="360" w:lineRule="auto"/>
        <w:jc w:val="center"/>
        <w:rPr>
          <w:rFonts w:ascii="宋体"/>
          <w:sz w:val="24"/>
          <w:szCs w:val="24"/>
        </w:rPr>
      </w:pPr>
      <w:r>
        <w:rPr>
          <w:rFonts w:ascii="宋体"/>
          <w:sz w:val="24"/>
          <w:szCs w:val="24"/>
        </w:rPr>
        <w:t>表4  出厂试验</w:t>
      </w:r>
      <w:r>
        <w:rPr>
          <w:rFonts w:hint="eastAsia" w:ascii="宋体"/>
          <w:sz w:val="24"/>
          <w:szCs w:val="24"/>
        </w:rPr>
        <w:t>工艺流程</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3"/>
        <w:gridCol w:w="5885"/>
        <w:gridCol w:w="1275"/>
      </w:tblGrid>
      <w:tr w14:paraId="05704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Align w:val="center"/>
          </w:tcPr>
          <w:p w14:paraId="4343CFC4">
            <w:pPr>
              <w:spacing w:line="360" w:lineRule="auto"/>
              <w:jc w:val="center"/>
              <w:rPr>
                <w:rFonts w:ascii="宋体" w:hAnsi="宋体"/>
              </w:rPr>
            </w:pPr>
            <w:r>
              <w:rPr>
                <w:rFonts w:hint="eastAsia" w:ascii="宋体" w:hAnsi="宋体"/>
              </w:rPr>
              <w:t>序号</w:t>
            </w:r>
          </w:p>
        </w:tc>
        <w:tc>
          <w:tcPr>
            <w:tcW w:w="5885" w:type="dxa"/>
            <w:vAlign w:val="center"/>
          </w:tcPr>
          <w:p w14:paraId="7625E9A4">
            <w:pPr>
              <w:spacing w:line="360" w:lineRule="auto"/>
              <w:jc w:val="center"/>
              <w:rPr>
                <w:rFonts w:ascii="宋体" w:hAnsi="宋体"/>
              </w:rPr>
            </w:pPr>
            <w:r>
              <w:rPr>
                <w:rFonts w:hint="eastAsia" w:ascii="宋体" w:hAnsi="宋体"/>
              </w:rPr>
              <w:t>工序内容</w:t>
            </w:r>
          </w:p>
        </w:tc>
        <w:tc>
          <w:tcPr>
            <w:tcW w:w="1275" w:type="dxa"/>
            <w:vAlign w:val="center"/>
          </w:tcPr>
          <w:p w14:paraId="1ACD4AD3">
            <w:pPr>
              <w:spacing w:line="360" w:lineRule="auto"/>
              <w:jc w:val="center"/>
              <w:rPr>
                <w:rFonts w:ascii="宋体" w:hAnsi="宋体"/>
              </w:rPr>
            </w:pPr>
            <w:r>
              <w:rPr>
                <w:rFonts w:hint="eastAsia" w:ascii="宋体" w:hAnsi="宋体"/>
              </w:rPr>
              <w:t>备注</w:t>
            </w:r>
          </w:p>
        </w:tc>
      </w:tr>
      <w:tr w14:paraId="331C3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Align w:val="center"/>
          </w:tcPr>
          <w:p w14:paraId="2F58F241">
            <w:pPr>
              <w:spacing w:line="360" w:lineRule="auto"/>
              <w:jc w:val="center"/>
              <w:rPr>
                <w:rFonts w:ascii="宋体" w:hAnsi="宋体"/>
              </w:rPr>
            </w:pPr>
            <w:r>
              <w:rPr>
                <w:rFonts w:hint="eastAsia" w:ascii="宋体" w:hAnsi="宋体"/>
              </w:rPr>
              <w:t>1</w:t>
            </w:r>
          </w:p>
        </w:tc>
        <w:tc>
          <w:tcPr>
            <w:tcW w:w="5885" w:type="dxa"/>
            <w:vAlign w:val="center"/>
          </w:tcPr>
          <w:p w14:paraId="6FE41B6B">
            <w:pPr>
              <w:spacing w:line="360" w:lineRule="auto"/>
              <w:jc w:val="center"/>
              <w:rPr>
                <w:rFonts w:ascii="宋体" w:hAnsi="宋体"/>
              </w:rPr>
            </w:pPr>
            <w:r>
              <w:rPr>
                <w:rFonts w:hint="eastAsia" w:ascii="宋体" w:hAnsi="宋体"/>
              </w:rPr>
              <w:t>发动机与托盘作为整体，由A</w:t>
            </w:r>
            <w:r>
              <w:rPr>
                <w:rFonts w:ascii="宋体" w:hAnsi="宋体"/>
              </w:rPr>
              <w:t>GV输</w:t>
            </w:r>
            <w:r>
              <w:rPr>
                <w:rFonts w:hint="eastAsia" w:ascii="宋体" w:hAnsi="宋体"/>
              </w:rPr>
              <w:t>送至</w:t>
            </w:r>
            <w:r>
              <w:rPr>
                <w:rFonts w:ascii="宋体" w:hAnsi="宋体"/>
              </w:rPr>
              <w:t>台架门</w:t>
            </w:r>
            <w:r>
              <w:rPr>
                <w:rFonts w:hint="eastAsia" w:ascii="宋体" w:hAnsi="宋体"/>
              </w:rPr>
              <w:t>前移行机，由升降辊道送入台架内，升降辊道下降，托盘落至导轨上</w:t>
            </w:r>
          </w:p>
        </w:tc>
        <w:tc>
          <w:tcPr>
            <w:tcW w:w="1275" w:type="dxa"/>
            <w:vAlign w:val="center"/>
          </w:tcPr>
          <w:p w14:paraId="36901380">
            <w:pPr>
              <w:spacing w:line="360" w:lineRule="auto"/>
              <w:jc w:val="center"/>
              <w:rPr>
                <w:rFonts w:ascii="宋体" w:hAnsi="宋体"/>
              </w:rPr>
            </w:pPr>
          </w:p>
        </w:tc>
      </w:tr>
      <w:tr w14:paraId="1D239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Align w:val="center"/>
          </w:tcPr>
          <w:p w14:paraId="30EA0C2F">
            <w:pPr>
              <w:spacing w:line="360" w:lineRule="auto"/>
              <w:jc w:val="center"/>
              <w:rPr>
                <w:rFonts w:ascii="宋体" w:hAnsi="宋体"/>
              </w:rPr>
            </w:pPr>
            <w:r>
              <w:rPr>
                <w:rFonts w:hint="eastAsia" w:ascii="宋体" w:hAnsi="宋体"/>
              </w:rPr>
              <w:t>2</w:t>
            </w:r>
          </w:p>
        </w:tc>
        <w:tc>
          <w:tcPr>
            <w:tcW w:w="5885" w:type="dxa"/>
            <w:vAlign w:val="center"/>
          </w:tcPr>
          <w:p w14:paraId="713ED294">
            <w:pPr>
              <w:spacing w:line="360" w:lineRule="auto"/>
              <w:jc w:val="center"/>
              <w:rPr>
                <w:rFonts w:ascii="宋体" w:hAnsi="宋体"/>
              </w:rPr>
            </w:pPr>
            <w:r>
              <w:rPr>
                <w:rFonts w:hint="eastAsia" w:ascii="宋体" w:hAnsi="宋体"/>
              </w:rPr>
              <w:t>由</w:t>
            </w:r>
            <w:r>
              <w:rPr>
                <w:rFonts w:ascii="宋体" w:hAnsi="宋体"/>
              </w:rPr>
              <w:t>油</w:t>
            </w:r>
            <w:r>
              <w:rPr>
                <w:rFonts w:hint="eastAsia" w:ascii="宋体" w:hAnsi="宋体"/>
              </w:rPr>
              <w:t>缸</w:t>
            </w:r>
            <w:r>
              <w:rPr>
                <w:rFonts w:ascii="宋体" w:hAnsi="宋体"/>
              </w:rPr>
              <w:t>将</w:t>
            </w:r>
            <w:r>
              <w:rPr>
                <w:rFonts w:hint="eastAsia" w:ascii="宋体" w:hAnsi="宋体"/>
              </w:rPr>
              <w:t>托盘拉进到位，夹紧</w:t>
            </w:r>
          </w:p>
        </w:tc>
        <w:tc>
          <w:tcPr>
            <w:tcW w:w="1275" w:type="dxa"/>
            <w:vAlign w:val="center"/>
          </w:tcPr>
          <w:p w14:paraId="0A3DA41D">
            <w:pPr>
              <w:spacing w:line="360" w:lineRule="auto"/>
              <w:jc w:val="center"/>
              <w:rPr>
                <w:rFonts w:ascii="宋体" w:hAnsi="宋体"/>
              </w:rPr>
            </w:pPr>
          </w:p>
        </w:tc>
      </w:tr>
      <w:tr w14:paraId="55254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Align w:val="center"/>
          </w:tcPr>
          <w:p w14:paraId="67352706">
            <w:pPr>
              <w:spacing w:line="360" w:lineRule="auto"/>
              <w:jc w:val="center"/>
              <w:rPr>
                <w:rFonts w:ascii="宋体" w:hAnsi="宋体"/>
              </w:rPr>
            </w:pPr>
            <w:r>
              <w:rPr>
                <w:rFonts w:hint="eastAsia" w:ascii="宋体" w:hAnsi="宋体"/>
              </w:rPr>
              <w:t>3</w:t>
            </w:r>
          </w:p>
        </w:tc>
        <w:tc>
          <w:tcPr>
            <w:tcW w:w="5885" w:type="dxa"/>
            <w:vAlign w:val="center"/>
          </w:tcPr>
          <w:p w14:paraId="12C2C5B3">
            <w:pPr>
              <w:spacing w:line="360" w:lineRule="auto"/>
              <w:jc w:val="center"/>
              <w:rPr>
                <w:rFonts w:ascii="宋体" w:hAnsi="宋体"/>
              </w:rPr>
            </w:pPr>
            <w:r>
              <w:rPr>
                <w:rFonts w:hint="eastAsia" w:ascii="宋体" w:hAnsi="宋体"/>
              </w:rPr>
              <w:t>连接中冷器管路、排气管路、柴油管路等</w:t>
            </w:r>
          </w:p>
        </w:tc>
        <w:tc>
          <w:tcPr>
            <w:tcW w:w="1275" w:type="dxa"/>
            <w:vAlign w:val="center"/>
          </w:tcPr>
          <w:p w14:paraId="258BEB69">
            <w:pPr>
              <w:spacing w:line="360" w:lineRule="auto"/>
              <w:jc w:val="center"/>
              <w:rPr>
                <w:rFonts w:ascii="宋体" w:hAnsi="宋体"/>
              </w:rPr>
            </w:pPr>
          </w:p>
        </w:tc>
      </w:tr>
      <w:tr w14:paraId="37253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Align w:val="center"/>
          </w:tcPr>
          <w:p w14:paraId="753C3110">
            <w:pPr>
              <w:spacing w:line="360" w:lineRule="auto"/>
              <w:jc w:val="center"/>
              <w:rPr>
                <w:rFonts w:ascii="宋体" w:hAnsi="宋体"/>
              </w:rPr>
            </w:pPr>
            <w:r>
              <w:rPr>
                <w:rFonts w:hint="eastAsia" w:ascii="宋体" w:hAnsi="宋体"/>
              </w:rPr>
              <w:t>4</w:t>
            </w:r>
          </w:p>
        </w:tc>
        <w:tc>
          <w:tcPr>
            <w:tcW w:w="5885" w:type="dxa"/>
            <w:vAlign w:val="center"/>
          </w:tcPr>
          <w:p w14:paraId="6A71B1DE">
            <w:pPr>
              <w:spacing w:line="360" w:lineRule="auto"/>
              <w:jc w:val="center"/>
              <w:rPr>
                <w:rFonts w:ascii="宋体" w:hAnsi="宋体"/>
              </w:rPr>
            </w:pPr>
            <w:r>
              <w:rPr>
                <w:rFonts w:hint="eastAsia" w:ascii="宋体" w:hAnsi="宋体"/>
              </w:rPr>
              <w:t>连接工艺线束（共轨泵）、油门拉杆（机械泵）</w:t>
            </w:r>
          </w:p>
        </w:tc>
        <w:tc>
          <w:tcPr>
            <w:tcW w:w="1275" w:type="dxa"/>
            <w:vAlign w:val="center"/>
          </w:tcPr>
          <w:p w14:paraId="58FB0AAD">
            <w:pPr>
              <w:spacing w:line="360" w:lineRule="auto"/>
              <w:jc w:val="center"/>
              <w:rPr>
                <w:rFonts w:ascii="宋体" w:hAnsi="宋体"/>
              </w:rPr>
            </w:pPr>
          </w:p>
        </w:tc>
      </w:tr>
      <w:tr w14:paraId="15224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Align w:val="center"/>
          </w:tcPr>
          <w:p w14:paraId="59F27C1E">
            <w:pPr>
              <w:spacing w:line="360" w:lineRule="auto"/>
              <w:jc w:val="center"/>
              <w:rPr>
                <w:rFonts w:ascii="宋体" w:hAnsi="宋体"/>
              </w:rPr>
            </w:pPr>
            <w:r>
              <w:rPr>
                <w:rFonts w:hint="eastAsia" w:ascii="宋体" w:hAnsi="宋体"/>
              </w:rPr>
              <w:t>5</w:t>
            </w:r>
          </w:p>
        </w:tc>
        <w:tc>
          <w:tcPr>
            <w:tcW w:w="5885" w:type="dxa"/>
            <w:vAlign w:val="center"/>
          </w:tcPr>
          <w:p w14:paraId="5CF79907">
            <w:pPr>
              <w:spacing w:line="360" w:lineRule="auto"/>
              <w:jc w:val="center"/>
              <w:rPr>
                <w:rFonts w:ascii="宋体" w:hAnsi="宋体"/>
              </w:rPr>
            </w:pPr>
            <w:r>
              <w:rPr>
                <w:rFonts w:ascii="宋体" w:hAnsi="宋体"/>
              </w:rPr>
              <w:t>加</w:t>
            </w:r>
            <w:r>
              <w:rPr>
                <w:rFonts w:hint="eastAsia" w:ascii="宋体" w:hAnsi="宋体"/>
              </w:rPr>
              <w:t>注防冻液</w:t>
            </w:r>
          </w:p>
        </w:tc>
        <w:tc>
          <w:tcPr>
            <w:tcW w:w="1275" w:type="dxa"/>
            <w:vAlign w:val="center"/>
          </w:tcPr>
          <w:p w14:paraId="6AA93BC8">
            <w:pPr>
              <w:spacing w:line="360" w:lineRule="auto"/>
              <w:jc w:val="center"/>
              <w:rPr>
                <w:rFonts w:ascii="宋体" w:hAnsi="宋体"/>
              </w:rPr>
            </w:pPr>
          </w:p>
        </w:tc>
      </w:tr>
      <w:tr w14:paraId="06412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Align w:val="center"/>
          </w:tcPr>
          <w:p w14:paraId="056E4855">
            <w:pPr>
              <w:spacing w:line="360" w:lineRule="auto"/>
              <w:jc w:val="center"/>
              <w:rPr>
                <w:rFonts w:ascii="宋体" w:hAnsi="宋体"/>
              </w:rPr>
            </w:pPr>
            <w:r>
              <w:rPr>
                <w:rFonts w:hint="eastAsia" w:ascii="宋体" w:hAnsi="宋体"/>
              </w:rPr>
              <w:t>6</w:t>
            </w:r>
          </w:p>
        </w:tc>
        <w:tc>
          <w:tcPr>
            <w:tcW w:w="5885" w:type="dxa"/>
            <w:vAlign w:val="center"/>
          </w:tcPr>
          <w:p w14:paraId="47493272">
            <w:pPr>
              <w:spacing w:line="360" w:lineRule="auto"/>
              <w:jc w:val="center"/>
              <w:rPr>
                <w:rFonts w:ascii="宋体" w:hAnsi="宋体"/>
              </w:rPr>
            </w:pPr>
            <w:r>
              <w:rPr>
                <w:rFonts w:hint="eastAsia" w:ascii="宋体" w:hAnsi="宋体"/>
              </w:rPr>
              <w:t>进行发动机出厂试验</w:t>
            </w:r>
          </w:p>
        </w:tc>
        <w:tc>
          <w:tcPr>
            <w:tcW w:w="1275" w:type="dxa"/>
            <w:vAlign w:val="center"/>
          </w:tcPr>
          <w:p w14:paraId="2A6135CA">
            <w:pPr>
              <w:spacing w:line="360" w:lineRule="auto"/>
              <w:jc w:val="center"/>
              <w:rPr>
                <w:rFonts w:ascii="宋体" w:hAnsi="宋体"/>
              </w:rPr>
            </w:pPr>
          </w:p>
        </w:tc>
      </w:tr>
      <w:tr w14:paraId="37167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Align w:val="center"/>
          </w:tcPr>
          <w:p w14:paraId="0048E064">
            <w:pPr>
              <w:spacing w:line="360" w:lineRule="auto"/>
              <w:jc w:val="center"/>
              <w:rPr>
                <w:rFonts w:ascii="宋体" w:hAnsi="宋体"/>
              </w:rPr>
            </w:pPr>
            <w:r>
              <w:rPr>
                <w:rFonts w:hint="eastAsia" w:ascii="宋体" w:hAnsi="宋体"/>
              </w:rPr>
              <w:t>7</w:t>
            </w:r>
          </w:p>
        </w:tc>
        <w:tc>
          <w:tcPr>
            <w:tcW w:w="5885" w:type="dxa"/>
            <w:vAlign w:val="center"/>
          </w:tcPr>
          <w:p w14:paraId="16EBE49A">
            <w:pPr>
              <w:spacing w:line="360" w:lineRule="auto"/>
              <w:jc w:val="center"/>
              <w:rPr>
                <w:rFonts w:ascii="宋体" w:hAnsi="宋体"/>
              </w:rPr>
            </w:pPr>
            <w:r>
              <w:rPr>
                <w:rFonts w:hint="eastAsia" w:ascii="宋体" w:hAnsi="宋体"/>
              </w:rPr>
              <w:t>试验结束后，脱开工艺线束或油门拉杆</w:t>
            </w:r>
          </w:p>
        </w:tc>
        <w:tc>
          <w:tcPr>
            <w:tcW w:w="1275" w:type="dxa"/>
            <w:vAlign w:val="center"/>
          </w:tcPr>
          <w:p w14:paraId="1E12E8DE">
            <w:pPr>
              <w:spacing w:line="360" w:lineRule="auto"/>
              <w:jc w:val="center"/>
              <w:rPr>
                <w:rFonts w:ascii="宋体" w:hAnsi="宋体"/>
              </w:rPr>
            </w:pPr>
          </w:p>
        </w:tc>
      </w:tr>
      <w:tr w14:paraId="0E383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Align w:val="center"/>
          </w:tcPr>
          <w:p w14:paraId="0B8F4677">
            <w:pPr>
              <w:spacing w:line="360" w:lineRule="auto"/>
              <w:jc w:val="center"/>
              <w:rPr>
                <w:rFonts w:ascii="宋体" w:hAnsi="宋体"/>
              </w:rPr>
            </w:pPr>
            <w:r>
              <w:rPr>
                <w:rFonts w:hint="eastAsia" w:ascii="宋体" w:hAnsi="宋体"/>
              </w:rPr>
              <w:t>8</w:t>
            </w:r>
          </w:p>
        </w:tc>
        <w:tc>
          <w:tcPr>
            <w:tcW w:w="5885" w:type="dxa"/>
            <w:vAlign w:val="center"/>
          </w:tcPr>
          <w:p w14:paraId="75A0F043">
            <w:pPr>
              <w:spacing w:line="360" w:lineRule="auto"/>
              <w:jc w:val="center"/>
              <w:rPr>
                <w:rFonts w:ascii="宋体" w:hAnsi="宋体"/>
              </w:rPr>
            </w:pPr>
            <w:r>
              <w:rPr>
                <w:rFonts w:hint="eastAsia" w:ascii="宋体" w:hAnsi="宋体"/>
              </w:rPr>
              <w:t>抽冷却液，脱开所有管路</w:t>
            </w:r>
          </w:p>
        </w:tc>
        <w:tc>
          <w:tcPr>
            <w:tcW w:w="1275" w:type="dxa"/>
            <w:vAlign w:val="center"/>
          </w:tcPr>
          <w:p w14:paraId="37AB1295">
            <w:pPr>
              <w:spacing w:line="360" w:lineRule="auto"/>
              <w:jc w:val="center"/>
              <w:rPr>
                <w:rFonts w:ascii="宋体" w:hAnsi="宋体"/>
              </w:rPr>
            </w:pPr>
          </w:p>
        </w:tc>
      </w:tr>
      <w:tr w14:paraId="51541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Align w:val="center"/>
          </w:tcPr>
          <w:p w14:paraId="24F74F52">
            <w:pPr>
              <w:spacing w:line="360" w:lineRule="auto"/>
              <w:jc w:val="center"/>
              <w:rPr>
                <w:rFonts w:ascii="宋体" w:hAnsi="宋体"/>
              </w:rPr>
            </w:pPr>
            <w:r>
              <w:rPr>
                <w:rFonts w:hint="eastAsia" w:ascii="宋体" w:hAnsi="宋体"/>
              </w:rPr>
              <w:t>9</w:t>
            </w:r>
          </w:p>
        </w:tc>
        <w:tc>
          <w:tcPr>
            <w:tcW w:w="5885" w:type="dxa"/>
            <w:vAlign w:val="center"/>
          </w:tcPr>
          <w:p w14:paraId="09C6ED4C">
            <w:pPr>
              <w:spacing w:line="360" w:lineRule="auto"/>
              <w:jc w:val="center"/>
              <w:rPr>
                <w:rFonts w:ascii="宋体" w:hAnsi="宋体"/>
              </w:rPr>
            </w:pPr>
            <w:r>
              <w:rPr>
                <w:rFonts w:hint="eastAsia" w:ascii="宋体" w:hAnsi="宋体"/>
              </w:rPr>
              <w:t>发动机托盘退出台架，待A</w:t>
            </w:r>
            <w:r>
              <w:rPr>
                <w:rFonts w:ascii="宋体" w:hAnsi="宋体"/>
              </w:rPr>
              <w:t>GV转</w:t>
            </w:r>
            <w:r>
              <w:rPr>
                <w:rFonts w:hint="eastAsia" w:ascii="宋体" w:hAnsi="宋体"/>
              </w:rPr>
              <w:t>运</w:t>
            </w:r>
          </w:p>
        </w:tc>
        <w:tc>
          <w:tcPr>
            <w:tcW w:w="1275" w:type="dxa"/>
            <w:vAlign w:val="center"/>
          </w:tcPr>
          <w:p w14:paraId="16F08521">
            <w:pPr>
              <w:spacing w:line="360" w:lineRule="auto"/>
              <w:jc w:val="center"/>
              <w:rPr>
                <w:rFonts w:ascii="宋体" w:hAnsi="宋体"/>
              </w:rPr>
            </w:pPr>
          </w:p>
        </w:tc>
      </w:tr>
    </w:tbl>
    <w:p w14:paraId="492F95F6">
      <w:pPr>
        <w:spacing w:line="360" w:lineRule="auto"/>
        <w:rPr>
          <w:rFonts w:ascii="宋体"/>
          <w:sz w:val="24"/>
        </w:rPr>
      </w:pPr>
    </w:p>
    <w:p w14:paraId="724047DE">
      <w:pPr>
        <w:rPr>
          <w:b/>
          <w:sz w:val="24"/>
          <w:szCs w:val="24"/>
        </w:rPr>
      </w:pPr>
      <w:r>
        <w:rPr>
          <w:rFonts w:hint="eastAsia"/>
          <w:b/>
          <w:sz w:val="24"/>
          <w:szCs w:val="24"/>
        </w:rPr>
        <w:t>四、方案及设备主要技术规格</w:t>
      </w:r>
    </w:p>
    <w:p w14:paraId="6CCF16AE">
      <w:pPr>
        <w:spacing w:line="360" w:lineRule="auto"/>
        <w:rPr>
          <w:rFonts w:ascii="宋体"/>
          <w:b/>
          <w:sz w:val="24"/>
        </w:rPr>
      </w:pPr>
      <w:r>
        <w:rPr>
          <w:rFonts w:ascii="宋体"/>
          <w:b/>
          <w:sz w:val="24"/>
        </w:rPr>
        <w:t>第</w:t>
      </w:r>
      <w:r>
        <w:rPr>
          <w:rFonts w:hint="eastAsia" w:ascii="宋体"/>
          <w:b/>
          <w:sz w:val="24"/>
        </w:rPr>
        <w:t>一</w:t>
      </w:r>
      <w:r>
        <w:rPr>
          <w:rFonts w:ascii="宋体"/>
          <w:b/>
          <w:sz w:val="24"/>
        </w:rPr>
        <w:t>部分：工</w:t>
      </w:r>
      <w:r>
        <w:rPr>
          <w:rFonts w:hint="eastAsia" w:ascii="宋体"/>
          <w:b/>
          <w:sz w:val="24"/>
        </w:rPr>
        <w:t>艺</w:t>
      </w:r>
      <w:r>
        <w:rPr>
          <w:rFonts w:ascii="宋体"/>
          <w:b/>
          <w:sz w:val="24"/>
        </w:rPr>
        <w:t>要求</w:t>
      </w:r>
    </w:p>
    <w:p w14:paraId="23FF1C55">
      <w:pPr>
        <w:spacing w:line="360" w:lineRule="auto"/>
        <w:ind w:firstLine="566" w:firstLineChars="236"/>
        <w:rPr>
          <w:rFonts w:ascii="宋体"/>
          <w:sz w:val="24"/>
        </w:rPr>
      </w:pPr>
      <w:r>
        <w:rPr>
          <w:rFonts w:ascii="宋体"/>
          <w:sz w:val="24"/>
        </w:rPr>
        <w:t>本项</w:t>
      </w:r>
      <w:r>
        <w:rPr>
          <w:rFonts w:hint="eastAsia" w:ascii="宋体"/>
          <w:sz w:val="24"/>
        </w:rPr>
        <w:t>目为在</w:t>
      </w:r>
      <w:r>
        <w:rPr>
          <w:rFonts w:ascii="宋体"/>
          <w:sz w:val="24"/>
        </w:rPr>
        <w:t>现有台架上进行</w:t>
      </w:r>
      <w:r>
        <w:rPr>
          <w:rFonts w:hint="eastAsia" w:ascii="宋体"/>
          <w:sz w:val="24"/>
        </w:rPr>
        <w:t>更新改造</w:t>
      </w:r>
      <w:r>
        <w:rPr>
          <w:rFonts w:ascii="宋体"/>
          <w:sz w:val="24"/>
        </w:rPr>
        <w:t>，实现通过系统</w:t>
      </w:r>
      <w:r>
        <w:rPr>
          <w:rFonts w:hint="eastAsia" w:ascii="宋体"/>
          <w:sz w:val="24"/>
        </w:rPr>
        <w:t>向A</w:t>
      </w:r>
      <w:r>
        <w:rPr>
          <w:rFonts w:ascii="宋体"/>
          <w:sz w:val="24"/>
        </w:rPr>
        <w:t>GV呼</w:t>
      </w:r>
      <w:r>
        <w:rPr>
          <w:rFonts w:hint="eastAsia" w:ascii="宋体"/>
          <w:sz w:val="24"/>
        </w:rPr>
        <w:t>叫</w:t>
      </w:r>
      <w:r>
        <w:rPr>
          <w:rFonts w:ascii="宋体"/>
          <w:sz w:val="24"/>
        </w:rPr>
        <w:t>”要</w:t>
      </w:r>
      <w:r>
        <w:rPr>
          <w:rFonts w:hint="eastAsia" w:ascii="宋体"/>
          <w:sz w:val="24"/>
        </w:rPr>
        <w:t>车“或”出车”，发动机可实现一键上台架，按试车规范自动磨合，可实现发动机的冷却液、柴油、中冷恒温控制。增程器台架另需实现电机冷却液的恒温、压力、流量控制。</w:t>
      </w:r>
    </w:p>
    <w:p w14:paraId="15C80DFD">
      <w:pPr>
        <w:spacing w:line="360" w:lineRule="auto"/>
        <w:ind w:firstLine="566" w:firstLineChars="236"/>
        <w:rPr>
          <w:rFonts w:ascii="宋体"/>
          <w:sz w:val="24"/>
        </w:rPr>
      </w:pPr>
      <w:r>
        <w:rPr>
          <w:rFonts w:ascii="宋体"/>
          <w:sz w:val="24"/>
        </w:rPr>
        <w:t>通过</w:t>
      </w:r>
      <w:r>
        <w:rPr>
          <w:rFonts w:hint="eastAsia" w:ascii="宋体"/>
          <w:sz w:val="24"/>
        </w:rPr>
        <w:t>电力测功机和增程电机</w:t>
      </w:r>
      <w:r>
        <w:rPr>
          <w:rFonts w:ascii="宋体"/>
          <w:sz w:val="24"/>
        </w:rPr>
        <w:t>实现试验</w:t>
      </w:r>
      <w:r>
        <w:rPr>
          <w:rFonts w:hint="eastAsia" w:ascii="宋体"/>
          <w:sz w:val="24"/>
        </w:rPr>
        <w:t>过程中的机械能回收，发电馈网。</w:t>
      </w:r>
    </w:p>
    <w:p w14:paraId="54BC636A">
      <w:pPr>
        <w:spacing w:line="360" w:lineRule="auto"/>
        <w:rPr>
          <w:rFonts w:ascii="宋体"/>
          <w:sz w:val="24"/>
        </w:rPr>
      </w:pPr>
    </w:p>
    <w:p w14:paraId="43ACA569">
      <w:pPr>
        <w:spacing w:line="360" w:lineRule="auto"/>
        <w:rPr>
          <w:rFonts w:ascii="宋体"/>
          <w:b/>
          <w:sz w:val="24"/>
        </w:rPr>
      </w:pPr>
      <w:r>
        <w:rPr>
          <w:rFonts w:ascii="宋体"/>
          <w:b/>
          <w:sz w:val="24"/>
        </w:rPr>
        <w:t>第</w:t>
      </w:r>
      <w:r>
        <w:rPr>
          <w:rFonts w:hint="eastAsia" w:ascii="宋体"/>
          <w:b/>
          <w:sz w:val="24"/>
        </w:rPr>
        <w:t>二</w:t>
      </w:r>
      <w:r>
        <w:rPr>
          <w:rFonts w:ascii="宋体"/>
          <w:b/>
          <w:sz w:val="24"/>
        </w:rPr>
        <w:t>部分：</w:t>
      </w:r>
      <w:r>
        <w:rPr>
          <w:rFonts w:hint="eastAsia" w:ascii="宋体"/>
          <w:b/>
          <w:sz w:val="24"/>
        </w:rPr>
        <w:t>设备的技术</w:t>
      </w:r>
      <w:r>
        <w:rPr>
          <w:rFonts w:ascii="宋体"/>
          <w:b/>
          <w:sz w:val="24"/>
        </w:rPr>
        <w:t>参数</w:t>
      </w:r>
    </w:p>
    <w:p w14:paraId="1181EAE9">
      <w:pPr>
        <w:spacing w:line="360" w:lineRule="auto"/>
        <w:rPr>
          <w:rFonts w:ascii="宋体"/>
          <w:b/>
          <w:sz w:val="24"/>
        </w:rPr>
      </w:pPr>
      <w:r>
        <w:rPr>
          <w:rFonts w:hint="eastAsia" w:ascii="宋体"/>
          <w:b/>
          <w:sz w:val="24"/>
        </w:rPr>
        <w:t>1、台架整体要求</w:t>
      </w:r>
    </w:p>
    <w:p w14:paraId="50B5F240">
      <w:pPr>
        <w:spacing w:line="360" w:lineRule="auto"/>
        <w:ind w:left="105" w:leftChars="50"/>
        <w:rPr>
          <w:rFonts w:ascii="宋体"/>
          <w:sz w:val="24"/>
        </w:rPr>
      </w:pPr>
      <w:r>
        <w:rPr>
          <w:rFonts w:hint="eastAsia" w:ascii="宋体"/>
          <w:sz w:val="24"/>
        </w:rPr>
        <w:t>1.</w:t>
      </w:r>
      <w:r>
        <w:rPr>
          <w:rFonts w:ascii="宋体"/>
          <w:sz w:val="24"/>
        </w:rPr>
        <w:t>1本</w:t>
      </w:r>
      <w:r>
        <w:rPr>
          <w:rFonts w:hint="eastAsia" w:ascii="宋体"/>
          <w:sz w:val="24"/>
        </w:rPr>
        <w:t>次改造的</w:t>
      </w:r>
      <w:r>
        <w:rPr>
          <w:rFonts w:ascii="宋体"/>
          <w:sz w:val="24"/>
        </w:rPr>
        <w:t>出厂</w:t>
      </w:r>
      <w:r>
        <w:rPr>
          <w:rFonts w:hint="eastAsia" w:ascii="宋体"/>
          <w:sz w:val="24"/>
        </w:rPr>
        <w:t>试验台架主要用于招标方各类型发动机的出厂试验和少部分可靠性试验，实行混线生产。台架应具备柔性化、智能化、模块化等基本要求。投标方在方案中应对此进行详细论述和体现。</w:t>
      </w:r>
    </w:p>
    <w:p w14:paraId="32AF3037">
      <w:pPr>
        <w:spacing w:line="360" w:lineRule="auto"/>
        <w:rPr>
          <w:rFonts w:ascii="宋体"/>
          <w:sz w:val="24"/>
        </w:rPr>
      </w:pPr>
      <w:r>
        <w:rPr>
          <w:rFonts w:hint="eastAsia" w:ascii="宋体"/>
          <w:sz w:val="24"/>
        </w:rPr>
        <w:t>1</w:t>
      </w:r>
      <w:r>
        <w:rPr>
          <w:rFonts w:ascii="宋体"/>
          <w:sz w:val="24"/>
        </w:rPr>
        <w:t>.2</w:t>
      </w:r>
      <w:r>
        <w:rPr>
          <w:rFonts w:hint="eastAsia" w:ascii="宋体"/>
          <w:sz w:val="24"/>
        </w:rPr>
        <w:t>台架内部具有环保、隔振、通风、进气、吸音降噪、排气、给水、供油、排污、供电、照明等功能。投标方应在方案中注明品牌、选材及规格。</w:t>
      </w:r>
    </w:p>
    <w:p w14:paraId="6579EAEE">
      <w:pPr>
        <w:spacing w:line="360" w:lineRule="auto"/>
        <w:rPr>
          <w:rFonts w:ascii="宋体"/>
          <w:color w:val="000000"/>
          <w:sz w:val="24"/>
        </w:rPr>
      </w:pPr>
      <w:r>
        <w:rPr>
          <w:rFonts w:hint="eastAsia" w:ascii="宋体"/>
          <w:color w:val="000000"/>
          <w:sz w:val="24"/>
        </w:rPr>
        <w:t>1.</w:t>
      </w:r>
      <w:r>
        <w:rPr>
          <w:rFonts w:ascii="宋体"/>
          <w:color w:val="000000"/>
          <w:sz w:val="24"/>
        </w:rPr>
        <w:t>3</w:t>
      </w:r>
      <w:r>
        <w:rPr>
          <w:rFonts w:hint="eastAsia" w:ascii="宋体"/>
          <w:color w:val="000000"/>
          <w:sz w:val="24"/>
        </w:rPr>
        <w:t>在背景噪声≤45dB(A)，台架辅助设备打开，各门关闭的状态下，发动机在额定工况下运行时，保证台架外部地面四周任何位置距台架外1m处噪声≤80dB(A)。</w:t>
      </w:r>
    </w:p>
    <w:p w14:paraId="4C07F17B">
      <w:pPr>
        <w:spacing w:line="360" w:lineRule="auto"/>
        <w:rPr>
          <w:rFonts w:ascii="宋体"/>
          <w:color w:val="000000"/>
          <w:sz w:val="24"/>
        </w:rPr>
      </w:pPr>
      <w:r>
        <w:rPr>
          <w:rFonts w:ascii="宋体"/>
          <w:color w:val="000000"/>
          <w:sz w:val="24"/>
        </w:rPr>
        <w:t>1.4</w:t>
      </w:r>
      <w:r>
        <w:rPr>
          <w:rFonts w:hint="eastAsia" w:ascii="宋体"/>
          <w:color w:val="000000"/>
          <w:sz w:val="24"/>
        </w:rPr>
        <w:t>投标方吸音降噪要统一考虑出厂试验台架要求。</w:t>
      </w:r>
    </w:p>
    <w:p w14:paraId="2588FAA8">
      <w:pPr>
        <w:spacing w:line="360" w:lineRule="auto"/>
        <w:rPr>
          <w:rFonts w:ascii="宋体" w:hAnsi="宋体"/>
          <w:sz w:val="24"/>
        </w:rPr>
      </w:pPr>
      <w:r>
        <w:rPr>
          <w:rFonts w:hint="eastAsia" w:ascii="宋体"/>
          <w:sz w:val="24"/>
        </w:rPr>
        <w:t>1.</w:t>
      </w:r>
      <w:r>
        <w:rPr>
          <w:rFonts w:ascii="宋体"/>
          <w:sz w:val="24"/>
        </w:rPr>
        <w:t>5</w:t>
      </w:r>
      <w:r>
        <w:rPr>
          <w:rFonts w:hint="eastAsia" w:ascii="宋体"/>
          <w:sz w:val="24"/>
        </w:rPr>
        <w:t>台架间、控制间和设备间及二层平台的所有设备布局合理，具有足够维保空间</w:t>
      </w:r>
      <w:r>
        <w:rPr>
          <w:rFonts w:hint="eastAsia" w:ascii="宋体" w:hAnsi="宋体"/>
          <w:sz w:val="24"/>
        </w:rPr>
        <w:t>和安全防护措施。</w:t>
      </w:r>
    </w:p>
    <w:p w14:paraId="5A21E573">
      <w:pPr>
        <w:spacing w:line="360" w:lineRule="auto"/>
        <w:rPr>
          <w:rFonts w:ascii="宋体"/>
          <w:sz w:val="24"/>
        </w:rPr>
      </w:pPr>
      <w:r>
        <w:rPr>
          <w:rFonts w:hint="eastAsia" w:ascii="宋体"/>
          <w:sz w:val="24"/>
        </w:rPr>
        <w:t>1.</w:t>
      </w:r>
      <w:r>
        <w:rPr>
          <w:rFonts w:ascii="宋体"/>
          <w:sz w:val="24"/>
        </w:rPr>
        <w:t>6</w:t>
      </w:r>
      <w:r>
        <w:rPr>
          <w:rFonts w:hint="eastAsia" w:ascii="宋体"/>
          <w:sz w:val="24"/>
        </w:rPr>
        <w:t>安全方面需满足使用柴油的作业环境要求，其中三个台架应同时满足使用天然气的作业环境要求，包含消防方面。</w:t>
      </w:r>
    </w:p>
    <w:p w14:paraId="1F178F97">
      <w:pPr>
        <w:spacing w:line="360" w:lineRule="auto"/>
        <w:rPr>
          <w:rFonts w:ascii="宋体"/>
          <w:sz w:val="24"/>
        </w:rPr>
      </w:pPr>
      <w:r>
        <w:rPr>
          <w:rFonts w:hint="eastAsia" w:ascii="宋体"/>
          <w:sz w:val="24"/>
        </w:rPr>
        <w:t>1</w:t>
      </w:r>
      <w:r>
        <w:rPr>
          <w:rFonts w:ascii="宋体"/>
          <w:sz w:val="24"/>
        </w:rPr>
        <w:t>.7原则</w:t>
      </w:r>
      <w:r>
        <w:rPr>
          <w:rFonts w:hint="eastAsia" w:ascii="宋体"/>
          <w:sz w:val="24"/>
        </w:rPr>
        <w:t>上</w:t>
      </w:r>
      <w:r>
        <w:rPr>
          <w:rFonts w:ascii="宋体"/>
          <w:sz w:val="24"/>
        </w:rPr>
        <w:t>，本</w:t>
      </w:r>
      <w:r>
        <w:rPr>
          <w:rFonts w:hint="eastAsia" w:ascii="宋体"/>
          <w:sz w:val="24"/>
        </w:rPr>
        <w:t>项目中</w:t>
      </w:r>
      <w:r>
        <w:rPr>
          <w:rFonts w:ascii="宋体"/>
          <w:sz w:val="24"/>
        </w:rPr>
        <w:t>电机（不</w:t>
      </w:r>
      <w:r>
        <w:rPr>
          <w:rFonts w:hint="eastAsia" w:ascii="宋体"/>
          <w:sz w:val="24"/>
        </w:rPr>
        <w:t>含电力测功机，下同）</w:t>
      </w:r>
      <w:r>
        <w:rPr>
          <w:rFonts w:ascii="宋体"/>
          <w:sz w:val="24"/>
        </w:rPr>
        <w:t>功率</w:t>
      </w:r>
      <w:r>
        <w:rPr>
          <w:rFonts w:ascii="Arial" w:hAnsi="Arial" w:cs="Arial"/>
          <w:sz w:val="24"/>
        </w:rPr>
        <w:t>&gt;</w:t>
      </w:r>
      <w:r>
        <w:rPr>
          <w:rFonts w:ascii="宋体"/>
          <w:sz w:val="24"/>
        </w:rPr>
        <w:t>7.5kW时，必</w:t>
      </w:r>
      <w:r>
        <w:rPr>
          <w:rFonts w:hint="eastAsia" w:ascii="宋体"/>
          <w:sz w:val="24"/>
        </w:rPr>
        <w:t>须</w:t>
      </w:r>
      <w:r>
        <w:rPr>
          <w:rFonts w:ascii="宋体"/>
          <w:sz w:val="24"/>
        </w:rPr>
        <w:t>选</w:t>
      </w:r>
      <w:r>
        <w:rPr>
          <w:rFonts w:hint="eastAsia" w:ascii="宋体"/>
          <w:sz w:val="24"/>
        </w:rPr>
        <w:t>用一级能效</w:t>
      </w:r>
      <w:r>
        <w:rPr>
          <w:rFonts w:ascii="宋体"/>
          <w:sz w:val="24"/>
        </w:rPr>
        <w:t>。电机</w:t>
      </w:r>
      <w:r>
        <w:rPr>
          <w:rFonts w:hint="eastAsia" w:ascii="宋体"/>
          <w:sz w:val="24"/>
        </w:rPr>
        <w:t>功率</w:t>
      </w:r>
      <w:r>
        <w:rPr>
          <w:rFonts w:ascii="Arial" w:hAnsi="Arial" w:cs="Arial"/>
          <w:sz w:val="24"/>
        </w:rPr>
        <w:t>&lt;</w:t>
      </w:r>
      <w:r>
        <w:rPr>
          <w:rFonts w:ascii="宋体"/>
          <w:sz w:val="24"/>
        </w:rPr>
        <w:t>7.5kW时，优</w:t>
      </w:r>
      <w:r>
        <w:rPr>
          <w:rFonts w:hint="eastAsia" w:ascii="宋体"/>
          <w:sz w:val="24"/>
        </w:rPr>
        <w:t>先选用一级能效</w:t>
      </w:r>
      <w:r>
        <w:rPr>
          <w:rFonts w:ascii="宋体"/>
          <w:sz w:val="24"/>
        </w:rPr>
        <w:t>。</w:t>
      </w:r>
    </w:p>
    <w:p w14:paraId="0440518D">
      <w:pPr>
        <w:spacing w:line="360" w:lineRule="auto"/>
        <w:rPr>
          <w:rFonts w:ascii="宋体"/>
          <w:sz w:val="24"/>
        </w:rPr>
      </w:pPr>
      <w:r>
        <w:rPr>
          <w:rFonts w:hint="eastAsia" w:ascii="宋体"/>
          <w:sz w:val="24"/>
        </w:rPr>
        <w:t>1</w:t>
      </w:r>
      <w:r>
        <w:rPr>
          <w:rFonts w:ascii="宋体"/>
          <w:sz w:val="24"/>
        </w:rPr>
        <w:t>.8本</w:t>
      </w:r>
      <w:r>
        <w:rPr>
          <w:rFonts w:hint="eastAsia" w:ascii="宋体"/>
          <w:sz w:val="24"/>
        </w:rPr>
        <w:t>标书描述的台架间内的前、后、左、右方位为：人位于测功机端，面向发动机风扇端，左手侧为左，右手侧为右，发动机风扇端为前，测功机端为后。</w:t>
      </w:r>
    </w:p>
    <w:p w14:paraId="45CBCF71">
      <w:pPr>
        <w:spacing w:line="360" w:lineRule="auto"/>
        <w:rPr>
          <w:rFonts w:ascii="宋体"/>
          <w:b/>
          <w:sz w:val="24"/>
        </w:rPr>
      </w:pPr>
      <w:r>
        <w:rPr>
          <w:rFonts w:hint="eastAsia" w:ascii="宋体"/>
          <w:b/>
          <w:sz w:val="24"/>
        </w:rPr>
        <w:t>2、交流电力测功系统要求</w:t>
      </w:r>
    </w:p>
    <w:p w14:paraId="7B7ADD20">
      <w:pPr>
        <w:spacing w:line="360" w:lineRule="auto"/>
        <w:rPr>
          <w:rFonts w:ascii="宋体"/>
          <w:i/>
          <w:sz w:val="24"/>
        </w:rPr>
      </w:pPr>
      <w:r>
        <w:rPr>
          <w:rFonts w:ascii="宋体"/>
          <w:sz w:val="24"/>
        </w:rPr>
        <w:t>*</w:t>
      </w:r>
      <w:r>
        <w:rPr>
          <w:rFonts w:hint="eastAsia" w:ascii="宋体"/>
          <w:sz w:val="24"/>
        </w:rPr>
        <w:t>2.1测功机</w:t>
      </w:r>
    </w:p>
    <w:p w14:paraId="4961FB9A">
      <w:pPr>
        <w:numPr>
          <w:ilvl w:val="0"/>
          <w:numId w:val="11"/>
        </w:numPr>
        <w:suppressAutoHyphens w:val="0"/>
        <w:overflowPunct/>
        <w:spacing w:line="360" w:lineRule="auto"/>
        <w:jc w:val="both"/>
        <w:rPr>
          <w:rFonts w:ascii="宋体"/>
          <w:sz w:val="24"/>
        </w:rPr>
      </w:pPr>
      <w:r>
        <w:rPr>
          <w:rFonts w:hint="eastAsia" w:ascii="宋体"/>
          <w:sz w:val="24"/>
        </w:rPr>
        <w:t>测功机电机选用西门子原装伺服控制电机1</w:t>
      </w:r>
      <w:r>
        <w:rPr>
          <w:rFonts w:ascii="宋体"/>
          <w:sz w:val="24"/>
        </w:rPr>
        <w:t>PH8286型</w:t>
      </w:r>
      <w:r>
        <w:rPr>
          <w:rFonts w:hint="eastAsia" w:ascii="宋体"/>
          <w:sz w:val="24"/>
        </w:rPr>
        <w:t>；</w:t>
      </w:r>
    </w:p>
    <w:p w14:paraId="32F0E542">
      <w:pPr>
        <w:numPr>
          <w:ilvl w:val="0"/>
          <w:numId w:val="11"/>
        </w:numPr>
        <w:suppressAutoHyphens w:val="0"/>
        <w:overflowPunct/>
        <w:spacing w:line="360" w:lineRule="auto"/>
        <w:jc w:val="both"/>
        <w:rPr>
          <w:rFonts w:ascii="宋体"/>
          <w:sz w:val="24"/>
        </w:rPr>
      </w:pPr>
      <w:r>
        <w:rPr>
          <w:rFonts w:hint="eastAsia" w:ascii="宋体"/>
          <w:sz w:val="24"/>
        </w:rPr>
        <w:t>额定吸收功率：≥</w:t>
      </w:r>
      <w:r>
        <w:rPr>
          <w:rFonts w:ascii="宋体"/>
          <w:sz w:val="24"/>
        </w:rPr>
        <w:t>445</w:t>
      </w:r>
      <w:r>
        <w:rPr>
          <w:rFonts w:hint="eastAsia" w:ascii="宋体"/>
          <w:sz w:val="24"/>
        </w:rPr>
        <w:t>kW；</w:t>
      </w:r>
    </w:p>
    <w:p w14:paraId="3F8F8EEE">
      <w:pPr>
        <w:numPr>
          <w:ilvl w:val="0"/>
          <w:numId w:val="11"/>
        </w:numPr>
        <w:suppressAutoHyphens w:val="0"/>
        <w:overflowPunct/>
        <w:spacing w:line="360" w:lineRule="auto"/>
        <w:jc w:val="both"/>
        <w:rPr>
          <w:rFonts w:ascii="宋体"/>
          <w:sz w:val="24"/>
        </w:rPr>
      </w:pPr>
      <w:r>
        <w:rPr>
          <w:rFonts w:hint="eastAsia" w:ascii="宋体"/>
          <w:sz w:val="24"/>
        </w:rPr>
        <w:t>最大吸收扭矩：≥</w:t>
      </w:r>
      <w:r>
        <w:rPr>
          <w:rFonts w:ascii="宋体"/>
          <w:sz w:val="24"/>
        </w:rPr>
        <w:t>2429</w:t>
      </w:r>
      <w:r>
        <w:rPr>
          <w:rFonts w:hint="eastAsia" w:ascii="宋体"/>
          <w:sz w:val="24"/>
        </w:rPr>
        <w:t>Nm；</w:t>
      </w:r>
    </w:p>
    <w:p w14:paraId="00033578">
      <w:pPr>
        <w:numPr>
          <w:ilvl w:val="0"/>
          <w:numId w:val="11"/>
        </w:numPr>
        <w:suppressAutoHyphens w:val="0"/>
        <w:overflowPunct/>
        <w:spacing w:line="360" w:lineRule="auto"/>
        <w:jc w:val="both"/>
        <w:rPr>
          <w:rFonts w:ascii="宋体"/>
          <w:sz w:val="24"/>
        </w:rPr>
      </w:pPr>
      <w:r>
        <w:rPr>
          <w:rFonts w:hint="eastAsia" w:ascii="宋体"/>
          <w:sz w:val="24"/>
        </w:rPr>
        <w:t>电机最高转速：≥3300r/min；</w:t>
      </w:r>
    </w:p>
    <w:p w14:paraId="0008633B">
      <w:pPr>
        <w:numPr>
          <w:ilvl w:val="0"/>
          <w:numId w:val="11"/>
        </w:numPr>
        <w:suppressAutoHyphens w:val="0"/>
        <w:overflowPunct/>
        <w:spacing w:line="360" w:lineRule="auto"/>
        <w:jc w:val="both"/>
        <w:rPr>
          <w:rFonts w:ascii="宋体"/>
          <w:sz w:val="24"/>
        </w:rPr>
      </w:pPr>
      <w:r>
        <w:rPr>
          <w:rFonts w:hint="eastAsia" w:ascii="宋体"/>
          <w:sz w:val="24"/>
        </w:rPr>
        <w:t>测功机支撑座，保证测功机轴心与招标方已有的发动机曲轴中心相同；</w:t>
      </w:r>
    </w:p>
    <w:p w14:paraId="4D2EE4C3">
      <w:pPr>
        <w:numPr>
          <w:ilvl w:val="0"/>
          <w:numId w:val="11"/>
        </w:numPr>
        <w:suppressAutoHyphens w:val="0"/>
        <w:overflowPunct/>
        <w:spacing w:line="360" w:lineRule="auto"/>
        <w:jc w:val="both"/>
        <w:rPr>
          <w:rFonts w:ascii="宋体"/>
          <w:sz w:val="24"/>
        </w:rPr>
      </w:pPr>
      <w:r>
        <w:rPr>
          <w:rFonts w:hint="eastAsia" w:ascii="宋体"/>
          <w:sz w:val="24"/>
        </w:rPr>
        <w:t>扭矩控制精度≤0.2% F.S</w:t>
      </w:r>
      <w:r>
        <w:rPr>
          <w:rFonts w:ascii="宋体"/>
          <w:sz w:val="24"/>
        </w:rPr>
        <w:t>.</w:t>
      </w:r>
      <w:r>
        <w:rPr>
          <w:rFonts w:hint="eastAsia" w:ascii="宋体"/>
          <w:sz w:val="24"/>
        </w:rPr>
        <w:t>（F.S</w:t>
      </w:r>
      <w:r>
        <w:rPr>
          <w:rFonts w:ascii="宋体"/>
          <w:sz w:val="24"/>
        </w:rPr>
        <w:t>.</w:t>
      </w:r>
      <w:r>
        <w:rPr>
          <w:rFonts w:hint="eastAsia" w:ascii="宋体"/>
          <w:sz w:val="24"/>
        </w:rPr>
        <w:t>是指满量程，以下同）；</w:t>
      </w:r>
    </w:p>
    <w:p w14:paraId="02969434">
      <w:pPr>
        <w:numPr>
          <w:ilvl w:val="0"/>
          <w:numId w:val="11"/>
        </w:numPr>
        <w:suppressAutoHyphens w:val="0"/>
        <w:overflowPunct/>
        <w:spacing w:line="360" w:lineRule="auto"/>
        <w:jc w:val="both"/>
        <w:rPr>
          <w:rFonts w:ascii="宋体"/>
          <w:sz w:val="24"/>
        </w:rPr>
      </w:pPr>
      <w:r>
        <w:rPr>
          <w:rFonts w:hint="eastAsia" w:ascii="宋体"/>
          <w:sz w:val="24"/>
        </w:rPr>
        <w:t>轴端扭矩响应时间: 0到100%扭矩≤ 5</w:t>
      </w:r>
      <w:r>
        <w:rPr>
          <w:rFonts w:ascii="宋体"/>
          <w:sz w:val="24"/>
        </w:rPr>
        <w:t>3</w:t>
      </w:r>
      <w:r>
        <w:rPr>
          <w:rFonts w:hint="eastAsia" w:ascii="宋体"/>
          <w:sz w:val="24"/>
        </w:rPr>
        <w:t>ms；</w:t>
      </w:r>
    </w:p>
    <w:p w14:paraId="24452871">
      <w:pPr>
        <w:numPr>
          <w:ilvl w:val="0"/>
          <w:numId w:val="11"/>
        </w:numPr>
        <w:suppressAutoHyphens w:val="0"/>
        <w:overflowPunct/>
        <w:spacing w:line="360" w:lineRule="auto"/>
        <w:jc w:val="both"/>
        <w:rPr>
          <w:rFonts w:ascii="宋体"/>
          <w:sz w:val="24"/>
        </w:rPr>
      </w:pPr>
      <w:r>
        <w:rPr>
          <w:rFonts w:ascii="宋体"/>
          <w:sz w:val="24"/>
        </w:rPr>
        <w:t>转速响应时间</w:t>
      </w:r>
      <w:r>
        <w:rPr>
          <w:rFonts w:hint="eastAsia" w:ascii="宋体"/>
          <w:sz w:val="24"/>
        </w:rPr>
        <w:t>：0至100%转速≤0.5s；</w:t>
      </w:r>
    </w:p>
    <w:p w14:paraId="3250CD32">
      <w:pPr>
        <w:numPr>
          <w:ilvl w:val="0"/>
          <w:numId w:val="11"/>
        </w:numPr>
        <w:suppressAutoHyphens w:val="0"/>
        <w:overflowPunct/>
        <w:spacing w:line="360" w:lineRule="auto"/>
        <w:jc w:val="both"/>
        <w:rPr>
          <w:rFonts w:ascii="宋体"/>
          <w:sz w:val="24"/>
        </w:rPr>
      </w:pPr>
      <w:r>
        <w:rPr>
          <w:rFonts w:hint="eastAsia" w:ascii="宋体"/>
          <w:sz w:val="24"/>
        </w:rPr>
        <w:t>转速控制精度：±2</w:t>
      </w:r>
      <w:r>
        <w:rPr>
          <w:rFonts w:ascii="宋体"/>
          <w:sz w:val="24"/>
        </w:rPr>
        <w:t xml:space="preserve"> </w:t>
      </w:r>
      <w:r>
        <w:rPr>
          <w:rFonts w:hint="eastAsia" w:ascii="宋体"/>
          <w:sz w:val="24"/>
        </w:rPr>
        <w:t>r；</w:t>
      </w:r>
    </w:p>
    <w:p w14:paraId="55DB891B">
      <w:pPr>
        <w:numPr>
          <w:ilvl w:val="0"/>
          <w:numId w:val="11"/>
        </w:numPr>
        <w:suppressAutoHyphens w:val="0"/>
        <w:overflowPunct/>
        <w:spacing w:line="360" w:lineRule="auto"/>
        <w:jc w:val="both"/>
        <w:rPr>
          <w:rFonts w:ascii="宋体"/>
          <w:sz w:val="24"/>
        </w:rPr>
      </w:pPr>
      <w:r>
        <w:rPr>
          <w:rFonts w:hint="eastAsia" w:ascii="宋体"/>
          <w:sz w:val="24"/>
        </w:rPr>
        <w:t>扭矩测量准确度：±</w:t>
      </w:r>
      <w:r>
        <w:rPr>
          <w:rFonts w:ascii="宋体"/>
          <w:sz w:val="24"/>
        </w:rPr>
        <w:t>0.</w:t>
      </w:r>
      <w:r>
        <w:rPr>
          <w:rFonts w:hint="eastAsia" w:ascii="宋体"/>
          <w:sz w:val="24"/>
        </w:rPr>
        <w:t>2</w:t>
      </w:r>
      <w:r>
        <w:rPr>
          <w:rFonts w:ascii="宋体"/>
          <w:sz w:val="24"/>
        </w:rPr>
        <w:t>%F.S.</w:t>
      </w:r>
      <w:r>
        <w:rPr>
          <w:rFonts w:hint="eastAsia" w:ascii="宋体"/>
          <w:sz w:val="24"/>
        </w:rPr>
        <w:t>；</w:t>
      </w:r>
    </w:p>
    <w:p w14:paraId="42BB015F">
      <w:pPr>
        <w:numPr>
          <w:ilvl w:val="0"/>
          <w:numId w:val="11"/>
        </w:numPr>
        <w:suppressAutoHyphens w:val="0"/>
        <w:overflowPunct/>
        <w:spacing w:line="360" w:lineRule="auto"/>
        <w:jc w:val="both"/>
        <w:rPr>
          <w:rFonts w:ascii="宋体"/>
          <w:sz w:val="24"/>
        </w:rPr>
      </w:pPr>
      <w:r>
        <w:rPr>
          <w:rFonts w:hint="eastAsia" w:ascii="宋体"/>
          <w:sz w:val="24"/>
        </w:rPr>
        <w:t>转速测量准确度：±</w:t>
      </w:r>
      <w:r>
        <w:rPr>
          <w:rFonts w:ascii="宋体"/>
          <w:sz w:val="24"/>
        </w:rPr>
        <w:t xml:space="preserve">1 </w:t>
      </w:r>
      <w:r>
        <w:rPr>
          <w:rFonts w:hint="eastAsia" w:ascii="宋体"/>
          <w:sz w:val="24"/>
        </w:rPr>
        <w:t>r。</w:t>
      </w:r>
    </w:p>
    <w:p w14:paraId="1DD1BFC9">
      <w:pPr>
        <w:spacing w:line="360" w:lineRule="auto"/>
        <w:ind w:firstLine="566" w:firstLineChars="236"/>
        <w:rPr>
          <w:rFonts w:ascii="宋体"/>
          <w:sz w:val="24"/>
        </w:rPr>
      </w:pPr>
      <w:r>
        <w:rPr>
          <w:rFonts w:ascii="宋体"/>
          <w:sz w:val="24"/>
        </w:rPr>
        <w:t>电</w:t>
      </w:r>
      <w:r>
        <w:rPr>
          <w:rFonts w:hint="eastAsia" w:ascii="宋体"/>
          <w:sz w:val="24"/>
        </w:rPr>
        <w:t>力测功机</w:t>
      </w:r>
      <w:r>
        <w:rPr>
          <w:rFonts w:ascii="宋体"/>
          <w:sz w:val="24"/>
        </w:rPr>
        <w:t>电</w:t>
      </w:r>
      <w:r>
        <w:rPr>
          <w:rFonts w:hint="eastAsia" w:ascii="宋体"/>
          <w:sz w:val="24"/>
        </w:rPr>
        <w:t>缆</w:t>
      </w:r>
      <w:r>
        <w:rPr>
          <w:rFonts w:ascii="宋体"/>
          <w:sz w:val="24"/>
        </w:rPr>
        <w:t>接</w:t>
      </w:r>
      <w:r>
        <w:rPr>
          <w:rFonts w:hint="eastAsia" w:ascii="宋体"/>
          <w:sz w:val="24"/>
        </w:rPr>
        <w:t>线</w:t>
      </w:r>
      <w:r>
        <w:rPr>
          <w:rFonts w:ascii="宋体"/>
          <w:sz w:val="24"/>
        </w:rPr>
        <w:t>盒置</w:t>
      </w:r>
      <w:r>
        <w:rPr>
          <w:rFonts w:hint="eastAsia" w:ascii="宋体"/>
          <w:sz w:val="24"/>
        </w:rPr>
        <w:t>于左侧</w:t>
      </w:r>
      <w:r>
        <w:rPr>
          <w:rFonts w:ascii="宋体"/>
          <w:sz w:val="24"/>
        </w:rPr>
        <w:t>。</w:t>
      </w:r>
    </w:p>
    <w:p w14:paraId="7ACAEAD8">
      <w:pPr>
        <w:spacing w:line="360" w:lineRule="auto"/>
        <w:rPr>
          <w:rFonts w:ascii="宋体"/>
          <w:sz w:val="24"/>
        </w:rPr>
      </w:pPr>
      <w:r>
        <w:rPr>
          <w:rFonts w:ascii="宋体"/>
          <w:sz w:val="24"/>
        </w:rPr>
        <w:t>2.2电</w:t>
      </w:r>
      <w:r>
        <w:rPr>
          <w:rFonts w:hint="eastAsia" w:ascii="宋体"/>
          <w:sz w:val="24"/>
        </w:rPr>
        <w:t>机底座</w:t>
      </w:r>
    </w:p>
    <w:p w14:paraId="04C2FB73">
      <w:pPr>
        <w:spacing w:line="360" w:lineRule="auto"/>
        <w:ind w:firstLine="480" w:firstLineChars="200"/>
        <w:rPr>
          <w:rFonts w:ascii="宋体"/>
          <w:sz w:val="24"/>
        </w:rPr>
      </w:pPr>
      <w:r>
        <w:rPr>
          <w:rFonts w:ascii="宋体"/>
          <w:sz w:val="24"/>
        </w:rPr>
        <w:t>电</w:t>
      </w:r>
      <w:r>
        <w:rPr>
          <w:rFonts w:hint="eastAsia" w:ascii="宋体"/>
          <w:sz w:val="24"/>
        </w:rPr>
        <w:t>机底座用于安装测功电机，采用钢板焊接而成，去应力后再加工，避免后期变形。底座靠发动机端支承防护罩的部分应通过螺栓连接方式安装到底座本体，便于后期检修拆卸。</w:t>
      </w:r>
    </w:p>
    <w:p w14:paraId="53915230">
      <w:pPr>
        <w:spacing w:line="360" w:lineRule="auto"/>
        <w:rPr>
          <w:rFonts w:ascii="宋体"/>
          <w:sz w:val="24"/>
        </w:rPr>
      </w:pPr>
      <w:r>
        <w:rPr>
          <w:rFonts w:hint="eastAsia" w:ascii="宋体"/>
          <w:sz w:val="24"/>
        </w:rPr>
        <w:t>2</w:t>
      </w:r>
      <w:r>
        <w:rPr>
          <w:rFonts w:ascii="宋体"/>
          <w:sz w:val="24"/>
        </w:rPr>
        <w:t>.3变</w:t>
      </w:r>
      <w:r>
        <w:rPr>
          <w:rFonts w:hint="eastAsia" w:ascii="宋体"/>
          <w:sz w:val="24"/>
        </w:rPr>
        <w:t>频柜的要求</w:t>
      </w:r>
    </w:p>
    <w:p w14:paraId="4ADAA41B">
      <w:pPr>
        <w:spacing w:line="360" w:lineRule="auto"/>
        <w:rPr>
          <w:rFonts w:ascii="宋体"/>
          <w:sz w:val="24"/>
        </w:rPr>
      </w:pPr>
      <w:r>
        <w:rPr>
          <w:rFonts w:hint="eastAsia" w:ascii="宋体"/>
          <w:sz w:val="24"/>
        </w:rPr>
        <w:t>*2.</w:t>
      </w:r>
      <w:r>
        <w:rPr>
          <w:rFonts w:ascii="宋体"/>
          <w:sz w:val="24"/>
        </w:rPr>
        <w:t>3.1</w:t>
      </w:r>
      <w:r>
        <w:rPr>
          <w:rFonts w:hint="eastAsia" w:ascii="宋体"/>
          <w:sz w:val="24"/>
        </w:rPr>
        <w:t>变频柜选用西门子品牌</w:t>
      </w:r>
      <w:r>
        <w:rPr>
          <w:rFonts w:ascii="宋体"/>
          <w:sz w:val="24"/>
        </w:rPr>
        <w:t>S120原装柜</w:t>
      </w:r>
      <w:r>
        <w:rPr>
          <w:rFonts w:hint="eastAsia" w:ascii="宋体"/>
          <w:sz w:val="24"/>
        </w:rPr>
        <w:t>，参数满足电机性能需要，</w:t>
      </w:r>
      <w:r>
        <w:rPr>
          <w:rFonts w:hint="eastAsia" w:ascii="宋体"/>
          <w:b/>
          <w:sz w:val="24"/>
        </w:rPr>
        <w:t>足额</w:t>
      </w:r>
      <w:r>
        <w:rPr>
          <w:rFonts w:hint="eastAsia" w:ascii="宋体"/>
          <w:sz w:val="24"/>
        </w:rPr>
        <w:t>匹配电机最大电力要求。实现测功器吸收功率反馈到电网回收。</w:t>
      </w:r>
    </w:p>
    <w:p w14:paraId="2BAE7961">
      <w:pPr>
        <w:numPr>
          <w:ilvl w:val="0"/>
          <w:numId w:val="12"/>
        </w:numPr>
        <w:suppressAutoHyphens w:val="0"/>
        <w:overflowPunct/>
        <w:spacing w:line="360" w:lineRule="auto"/>
        <w:jc w:val="both"/>
        <w:rPr>
          <w:rFonts w:ascii="宋体"/>
          <w:sz w:val="24"/>
        </w:rPr>
      </w:pPr>
      <w:r>
        <w:rPr>
          <w:rFonts w:hint="eastAsia" w:ascii="宋体"/>
          <w:sz w:val="24"/>
        </w:rPr>
        <w:t>投标方充分考虑变频柜等电器柜的安装环境，要有防尘、降温措施，变频柜应带有可拆卸和维护的进气滤网。</w:t>
      </w:r>
    </w:p>
    <w:p w14:paraId="0926DAA9">
      <w:pPr>
        <w:numPr>
          <w:ilvl w:val="0"/>
          <w:numId w:val="12"/>
        </w:numPr>
        <w:suppressAutoHyphens w:val="0"/>
        <w:overflowPunct/>
        <w:spacing w:line="360" w:lineRule="auto"/>
        <w:jc w:val="both"/>
        <w:rPr>
          <w:rFonts w:ascii="宋体"/>
          <w:sz w:val="24"/>
        </w:rPr>
      </w:pPr>
      <w:r>
        <w:rPr>
          <w:rFonts w:hint="eastAsia" w:ascii="宋体"/>
          <w:sz w:val="24"/>
        </w:rPr>
        <w:t>电气系统性能可靠，能满足机械上一切互锁要求，有足够的安全防护，</w:t>
      </w:r>
      <w:r>
        <w:rPr>
          <w:rFonts w:hint="eastAsia"/>
          <w:sz w:val="23"/>
          <w:szCs w:val="23"/>
        </w:rPr>
        <w:t>根据运转情况自动实施电机保护功能，包括电机过流、过热保护，过压保护，欠压保护，超速保护，转矩超限保护，断电保护，电机堵转保护，电缆接地短路保护和空转等故障保护，急停后电机完全不带电，</w:t>
      </w:r>
      <w:r>
        <w:rPr>
          <w:rFonts w:hint="eastAsia" w:ascii="宋体"/>
          <w:sz w:val="24"/>
        </w:rPr>
        <w:t>保证设备及人身安全。</w:t>
      </w:r>
    </w:p>
    <w:p w14:paraId="09C4B878">
      <w:pPr>
        <w:numPr>
          <w:ilvl w:val="0"/>
          <w:numId w:val="12"/>
        </w:numPr>
        <w:suppressAutoHyphens w:val="0"/>
        <w:overflowPunct/>
        <w:spacing w:line="360" w:lineRule="auto"/>
        <w:jc w:val="both"/>
        <w:rPr>
          <w:rFonts w:ascii="宋体"/>
          <w:sz w:val="24"/>
        </w:rPr>
      </w:pPr>
      <w:r>
        <w:rPr>
          <w:rFonts w:hint="eastAsia" w:ascii="宋体"/>
          <w:sz w:val="24"/>
        </w:rPr>
        <w:t>具有故障自诊断功能，便于维护，界面显示报警提示。</w:t>
      </w:r>
    </w:p>
    <w:p w14:paraId="661AF25C">
      <w:pPr>
        <w:spacing w:line="360" w:lineRule="auto"/>
        <w:rPr>
          <w:rFonts w:ascii="宋体"/>
          <w:sz w:val="24"/>
        </w:rPr>
      </w:pPr>
      <w:r>
        <w:rPr>
          <w:rFonts w:hint="eastAsia" w:ascii="宋体"/>
          <w:sz w:val="24"/>
        </w:rPr>
        <w:t>2</w:t>
      </w:r>
      <w:r>
        <w:rPr>
          <w:rFonts w:ascii="宋体"/>
          <w:sz w:val="24"/>
        </w:rPr>
        <w:t>.3.2</w:t>
      </w:r>
      <w:r>
        <w:rPr>
          <w:rFonts w:hint="eastAsia" w:ascii="宋体"/>
          <w:sz w:val="24"/>
        </w:rPr>
        <w:t>变频柜反馈电网的品质要满足我国电网要求，馈送电不应对电网造成干扰，馈送电源:3 相 AC380V,50Hz，主要技术参数要求如下：</w:t>
      </w:r>
    </w:p>
    <w:p w14:paraId="5A5516E9">
      <w:pPr>
        <w:numPr>
          <w:ilvl w:val="0"/>
          <w:numId w:val="12"/>
        </w:numPr>
        <w:suppressAutoHyphens w:val="0"/>
        <w:overflowPunct/>
        <w:spacing w:line="360" w:lineRule="auto"/>
        <w:jc w:val="both"/>
        <w:rPr>
          <w:rFonts w:ascii="宋体"/>
          <w:sz w:val="24"/>
        </w:rPr>
      </w:pPr>
      <w:r>
        <w:rPr>
          <w:rFonts w:hint="eastAsia" w:ascii="宋体"/>
          <w:sz w:val="24"/>
        </w:rPr>
        <w:t>采用</w:t>
      </w:r>
      <w:r>
        <w:rPr>
          <w:rFonts w:hint="eastAsia" w:ascii="宋体" w:hAnsi="宋体" w:cs="宋体"/>
          <w:color w:val="000000"/>
          <w:sz w:val="24"/>
        </w:rPr>
        <w:t>有源整流回馈单元ALM</w:t>
      </w:r>
      <w:r>
        <w:rPr>
          <w:rFonts w:hint="eastAsia" w:ascii="宋体"/>
          <w:sz w:val="24"/>
        </w:rPr>
        <w:t>。</w:t>
      </w:r>
    </w:p>
    <w:p w14:paraId="1695E1A0">
      <w:pPr>
        <w:numPr>
          <w:ilvl w:val="0"/>
          <w:numId w:val="12"/>
        </w:numPr>
        <w:suppressAutoHyphens w:val="0"/>
        <w:overflowPunct/>
        <w:spacing w:line="360" w:lineRule="auto"/>
        <w:jc w:val="both"/>
        <w:rPr>
          <w:rFonts w:ascii="宋体"/>
          <w:sz w:val="24"/>
        </w:rPr>
      </w:pPr>
      <w:r>
        <w:rPr>
          <w:rFonts w:hint="eastAsia" w:ascii="宋体"/>
          <w:sz w:val="24"/>
        </w:rPr>
        <w:t>谐波电压：＜2%。</w:t>
      </w:r>
    </w:p>
    <w:p w14:paraId="54F87B42">
      <w:pPr>
        <w:numPr>
          <w:ilvl w:val="0"/>
          <w:numId w:val="12"/>
        </w:numPr>
        <w:suppressAutoHyphens w:val="0"/>
        <w:overflowPunct/>
        <w:spacing w:line="360" w:lineRule="auto"/>
        <w:jc w:val="both"/>
        <w:rPr>
          <w:rFonts w:ascii="宋体"/>
          <w:sz w:val="24"/>
        </w:rPr>
      </w:pPr>
      <w:r>
        <w:rPr>
          <w:rFonts w:hint="eastAsia" w:ascii="宋体"/>
          <w:sz w:val="24"/>
        </w:rPr>
        <w:t>谐波电流：＜4</w:t>
      </w:r>
      <w:r>
        <w:rPr>
          <w:rFonts w:ascii="宋体"/>
          <w:sz w:val="24"/>
        </w:rPr>
        <w:t>.5</w:t>
      </w:r>
      <w:r>
        <w:rPr>
          <w:rFonts w:hint="eastAsia" w:ascii="宋体"/>
          <w:sz w:val="24"/>
        </w:rPr>
        <w:t>%，谐波主要是由于大容量整流导致电流波形畸变造成的，通过变频器内置的独立滤波器过滤实现；</w:t>
      </w:r>
    </w:p>
    <w:p w14:paraId="162DF49B">
      <w:pPr>
        <w:numPr>
          <w:ilvl w:val="0"/>
          <w:numId w:val="12"/>
        </w:numPr>
        <w:suppressAutoHyphens w:val="0"/>
        <w:overflowPunct/>
        <w:spacing w:line="360" w:lineRule="auto"/>
        <w:jc w:val="both"/>
        <w:rPr>
          <w:rFonts w:ascii="宋体"/>
          <w:sz w:val="24"/>
        </w:rPr>
      </w:pPr>
      <w:r>
        <w:rPr>
          <w:rFonts w:hint="eastAsia" w:ascii="宋体"/>
          <w:sz w:val="24"/>
        </w:rPr>
        <w:t>在变频柜端配江苏斯菲尔</w:t>
      </w:r>
      <w:r>
        <w:rPr>
          <w:rFonts w:ascii="宋体"/>
          <w:sz w:val="24"/>
        </w:rPr>
        <w:t>PD194Z-2SY</w:t>
      </w:r>
      <w:r>
        <w:rPr>
          <w:rFonts w:hint="eastAsia" w:ascii="宋体"/>
          <w:sz w:val="24"/>
        </w:rPr>
        <w:t>双向计量电能表（及其附件），电能表具有通信功能，需把电能表的耗电量和馈电量等信息集成到台架主控系统中，实时显示和累计显示耗电量和馈电量，能与发动机运行数据同步记录；</w:t>
      </w:r>
    </w:p>
    <w:p w14:paraId="0BFC0226">
      <w:pPr>
        <w:numPr>
          <w:ilvl w:val="0"/>
          <w:numId w:val="12"/>
        </w:numPr>
        <w:suppressAutoHyphens w:val="0"/>
        <w:overflowPunct/>
        <w:spacing w:line="360" w:lineRule="auto"/>
        <w:jc w:val="both"/>
        <w:rPr>
          <w:rFonts w:ascii="宋体"/>
          <w:sz w:val="24"/>
        </w:rPr>
      </w:pPr>
      <w:r>
        <w:rPr>
          <w:rFonts w:hint="eastAsia" w:ascii="宋体"/>
          <w:sz w:val="24"/>
        </w:rPr>
        <w:t>工作方式：满足长时间连续工作需求。</w:t>
      </w:r>
    </w:p>
    <w:p w14:paraId="703986B1">
      <w:pPr>
        <w:spacing w:line="360" w:lineRule="auto"/>
        <w:rPr>
          <w:rFonts w:ascii="宋体"/>
          <w:sz w:val="24"/>
        </w:rPr>
      </w:pPr>
      <w:r>
        <w:rPr>
          <w:rFonts w:hint="eastAsia" w:ascii="宋体"/>
          <w:sz w:val="24"/>
        </w:rPr>
        <w:t>2</w:t>
      </w:r>
      <w:r>
        <w:rPr>
          <w:rFonts w:ascii="宋体"/>
          <w:sz w:val="24"/>
        </w:rPr>
        <w:t>.3.3</w:t>
      </w:r>
      <w:r>
        <w:rPr>
          <w:rFonts w:hint="eastAsia"/>
          <w:sz w:val="23"/>
          <w:szCs w:val="23"/>
        </w:rPr>
        <w:t>采用屏蔽电缆，每相采用三根</w:t>
      </w:r>
      <w:r>
        <w:rPr>
          <w:sz w:val="23"/>
          <w:szCs w:val="23"/>
        </w:rPr>
        <w:t>120mm</w:t>
      </w:r>
      <w:r>
        <w:rPr>
          <w:sz w:val="23"/>
          <w:szCs w:val="23"/>
          <w:vertAlign w:val="superscript"/>
        </w:rPr>
        <w:t>2</w:t>
      </w:r>
      <w:r>
        <w:rPr>
          <w:sz w:val="23"/>
          <w:szCs w:val="23"/>
        </w:rPr>
        <w:t>电缆，地</w:t>
      </w:r>
      <w:r>
        <w:rPr>
          <w:rFonts w:hint="eastAsia"/>
          <w:sz w:val="23"/>
          <w:szCs w:val="23"/>
        </w:rPr>
        <w:t>线为单根1</w:t>
      </w:r>
      <w:r>
        <w:rPr>
          <w:sz w:val="23"/>
          <w:szCs w:val="23"/>
        </w:rPr>
        <w:t>20mm</w:t>
      </w:r>
      <w:r>
        <w:rPr>
          <w:sz w:val="23"/>
          <w:szCs w:val="23"/>
          <w:vertAlign w:val="superscript"/>
        </w:rPr>
        <w:t>2</w:t>
      </w:r>
      <w:r>
        <w:rPr>
          <w:sz w:val="23"/>
          <w:szCs w:val="23"/>
        </w:rPr>
        <w:t>，</w:t>
      </w:r>
      <w:r>
        <w:rPr>
          <w:rFonts w:hint="eastAsia"/>
          <w:sz w:val="23"/>
          <w:szCs w:val="23"/>
        </w:rPr>
        <w:t>连接测功电机与变频驱动柜，电缆品牌为无锡浦槽、宜兴远东或无锡上上。</w:t>
      </w:r>
    </w:p>
    <w:p w14:paraId="4ED1DDBB">
      <w:pPr>
        <w:spacing w:line="360" w:lineRule="auto"/>
        <w:rPr>
          <w:rFonts w:ascii="宋体"/>
          <w:sz w:val="24"/>
        </w:rPr>
      </w:pPr>
      <w:r>
        <w:rPr>
          <w:rFonts w:ascii="宋体"/>
          <w:sz w:val="24"/>
        </w:rPr>
        <w:t>*</w:t>
      </w:r>
      <w:r>
        <w:rPr>
          <w:rFonts w:hint="eastAsia" w:ascii="宋体"/>
          <w:sz w:val="24"/>
        </w:rPr>
        <w:t>2.4扭矩传感器选用德国HBM公司</w:t>
      </w:r>
      <w:r>
        <w:rPr>
          <w:rFonts w:ascii="宋体"/>
          <w:sz w:val="24"/>
        </w:rPr>
        <w:t>T40B型</w:t>
      </w:r>
      <w:r>
        <w:rPr>
          <w:rFonts w:hint="eastAsia" w:ascii="宋体"/>
          <w:sz w:val="24"/>
        </w:rPr>
        <w:t>，额定扭矩为5</w:t>
      </w:r>
      <w:r>
        <w:rPr>
          <w:rFonts w:ascii="宋体"/>
          <w:sz w:val="24"/>
        </w:rPr>
        <w:t>000N.m</w:t>
      </w:r>
      <w:r>
        <w:rPr>
          <w:rFonts w:hint="eastAsia" w:ascii="宋体"/>
          <w:sz w:val="24"/>
        </w:rPr>
        <w:t>。扭矩测量系统有环境温度补偿，能消除摩擦阻尼影响。</w:t>
      </w:r>
    </w:p>
    <w:p w14:paraId="6FC66397">
      <w:pPr>
        <w:numPr>
          <w:ilvl w:val="0"/>
          <w:numId w:val="12"/>
        </w:numPr>
        <w:suppressAutoHyphens w:val="0"/>
        <w:overflowPunct/>
        <w:spacing w:line="360" w:lineRule="auto"/>
        <w:jc w:val="both"/>
        <w:rPr>
          <w:rFonts w:ascii="宋体"/>
          <w:sz w:val="24"/>
        </w:rPr>
      </w:pPr>
      <w:r>
        <w:rPr>
          <w:rFonts w:hint="eastAsia" w:ascii="宋体"/>
          <w:sz w:val="24"/>
        </w:rPr>
        <w:t>额定扭矩矩5</w:t>
      </w:r>
      <w:r>
        <w:rPr>
          <w:rFonts w:ascii="宋体"/>
          <w:sz w:val="24"/>
        </w:rPr>
        <w:t>000N.m；</w:t>
      </w:r>
    </w:p>
    <w:p w14:paraId="5613F652">
      <w:pPr>
        <w:numPr>
          <w:ilvl w:val="0"/>
          <w:numId w:val="12"/>
        </w:numPr>
        <w:suppressAutoHyphens w:val="0"/>
        <w:overflowPunct/>
        <w:spacing w:line="360" w:lineRule="auto"/>
        <w:jc w:val="both"/>
        <w:rPr>
          <w:rFonts w:ascii="宋体"/>
          <w:sz w:val="24"/>
        </w:rPr>
      </w:pPr>
      <w:r>
        <w:rPr>
          <w:rFonts w:ascii="宋体"/>
          <w:sz w:val="24"/>
        </w:rPr>
        <w:t>最</w:t>
      </w:r>
      <w:r>
        <w:rPr>
          <w:rFonts w:hint="eastAsia" w:ascii="宋体"/>
          <w:sz w:val="24"/>
        </w:rPr>
        <w:t>高</w:t>
      </w:r>
      <w:r>
        <w:rPr>
          <w:rFonts w:ascii="宋体"/>
          <w:sz w:val="24"/>
        </w:rPr>
        <w:t>转</w:t>
      </w:r>
      <w:r>
        <w:rPr>
          <w:rFonts w:hint="eastAsia" w:ascii="宋体"/>
          <w:sz w:val="24"/>
        </w:rPr>
        <w:t>速1</w:t>
      </w:r>
      <w:r>
        <w:rPr>
          <w:rFonts w:ascii="宋体"/>
          <w:sz w:val="24"/>
        </w:rPr>
        <w:t>2000r/min；</w:t>
      </w:r>
    </w:p>
    <w:p w14:paraId="56157493">
      <w:pPr>
        <w:numPr>
          <w:ilvl w:val="0"/>
          <w:numId w:val="12"/>
        </w:numPr>
        <w:suppressAutoHyphens w:val="0"/>
        <w:overflowPunct/>
        <w:spacing w:line="360" w:lineRule="auto"/>
        <w:jc w:val="both"/>
        <w:rPr>
          <w:rFonts w:ascii="宋体"/>
          <w:sz w:val="24"/>
        </w:rPr>
      </w:pPr>
      <w:r>
        <w:rPr>
          <w:rFonts w:ascii="宋体"/>
          <w:sz w:val="24"/>
        </w:rPr>
        <w:t>测</w:t>
      </w:r>
      <w:r>
        <w:rPr>
          <w:rFonts w:hint="eastAsia" w:ascii="宋体"/>
          <w:sz w:val="24"/>
        </w:rPr>
        <w:t>量精度：±</w:t>
      </w:r>
      <w:r>
        <w:rPr>
          <w:rFonts w:ascii="宋体"/>
          <w:sz w:val="24"/>
        </w:rPr>
        <w:t>0.05</w:t>
      </w:r>
      <w:r>
        <w:rPr>
          <w:rFonts w:hint="eastAsia" w:ascii="宋体"/>
          <w:sz w:val="24"/>
        </w:rPr>
        <w:t>%</w:t>
      </w:r>
      <w:r>
        <w:rPr>
          <w:rFonts w:ascii="宋体"/>
          <w:sz w:val="24"/>
        </w:rPr>
        <w:t>F.S.；</w:t>
      </w:r>
    </w:p>
    <w:p w14:paraId="7A7F690B">
      <w:pPr>
        <w:numPr>
          <w:ilvl w:val="0"/>
          <w:numId w:val="12"/>
        </w:numPr>
        <w:suppressAutoHyphens w:val="0"/>
        <w:overflowPunct/>
        <w:spacing w:line="360" w:lineRule="auto"/>
        <w:jc w:val="both"/>
        <w:rPr>
          <w:rFonts w:ascii="宋体"/>
          <w:sz w:val="24"/>
        </w:rPr>
      </w:pPr>
      <w:r>
        <w:rPr>
          <w:rFonts w:ascii="宋体"/>
          <w:sz w:val="24"/>
        </w:rPr>
        <w:t>线</w:t>
      </w:r>
      <w:r>
        <w:rPr>
          <w:rFonts w:hint="eastAsia" w:ascii="宋体"/>
          <w:sz w:val="24"/>
        </w:rPr>
        <w:t>性误差</w:t>
      </w:r>
      <w:r>
        <w:rPr>
          <w:rFonts w:ascii="宋体"/>
          <w:sz w:val="24"/>
        </w:rPr>
        <w:t>：</w:t>
      </w:r>
      <w:r>
        <w:rPr>
          <w:rFonts w:hint="eastAsia" w:ascii="宋体"/>
          <w:sz w:val="24"/>
        </w:rPr>
        <w:t>≤±0</w:t>
      </w:r>
      <w:r>
        <w:rPr>
          <w:rFonts w:ascii="宋体"/>
          <w:sz w:val="24"/>
        </w:rPr>
        <w:t>.05%；</w:t>
      </w:r>
    </w:p>
    <w:p w14:paraId="29DAB288">
      <w:pPr>
        <w:numPr>
          <w:ilvl w:val="0"/>
          <w:numId w:val="12"/>
        </w:numPr>
        <w:suppressAutoHyphens w:val="0"/>
        <w:overflowPunct/>
        <w:spacing w:line="360" w:lineRule="auto"/>
        <w:jc w:val="both"/>
        <w:rPr>
          <w:rFonts w:ascii="宋体"/>
          <w:sz w:val="24"/>
        </w:rPr>
      </w:pPr>
      <w:r>
        <w:rPr>
          <w:rFonts w:ascii="宋体"/>
          <w:sz w:val="24"/>
        </w:rPr>
        <w:t>响</w:t>
      </w:r>
      <w:r>
        <w:rPr>
          <w:rFonts w:hint="eastAsia" w:ascii="宋体"/>
          <w:sz w:val="24"/>
        </w:rPr>
        <w:t>应频率：≥1</w:t>
      </w:r>
      <w:r>
        <w:rPr>
          <w:rFonts w:ascii="宋体"/>
          <w:sz w:val="24"/>
        </w:rPr>
        <w:t>0KHz</w:t>
      </w:r>
      <w:r>
        <w:rPr>
          <w:rFonts w:hint="eastAsia" w:ascii="宋体"/>
          <w:sz w:val="24"/>
        </w:rPr>
        <w:t>。</w:t>
      </w:r>
    </w:p>
    <w:p w14:paraId="2FDC621A">
      <w:pPr>
        <w:spacing w:line="360" w:lineRule="auto"/>
        <w:rPr>
          <w:rFonts w:ascii="宋体"/>
          <w:sz w:val="24"/>
        </w:rPr>
      </w:pPr>
      <w:r>
        <w:rPr>
          <w:rFonts w:hint="eastAsia" w:ascii="宋体"/>
          <w:sz w:val="24"/>
        </w:rPr>
        <w:t>2.5投标方提供测功机静态校正装置</w:t>
      </w:r>
      <w:r>
        <w:rPr>
          <w:rFonts w:ascii="宋体"/>
          <w:sz w:val="24"/>
        </w:rPr>
        <w:t>1</w:t>
      </w:r>
      <w:r>
        <w:rPr>
          <w:rFonts w:hint="eastAsia" w:ascii="宋体"/>
          <w:sz w:val="24"/>
        </w:rPr>
        <w:t>套。应能配套使用招标方已有的2</w:t>
      </w:r>
      <w:r>
        <w:rPr>
          <w:rFonts w:ascii="宋体"/>
          <w:sz w:val="24"/>
        </w:rPr>
        <w:t>0kg</w:t>
      </w:r>
      <w:r>
        <w:rPr>
          <w:rFonts w:hint="eastAsia" w:ascii="宋体"/>
          <w:sz w:val="24"/>
        </w:rPr>
        <w:t>砝码块（直径3</w:t>
      </w:r>
      <w:r>
        <w:rPr>
          <w:rFonts w:ascii="宋体"/>
          <w:sz w:val="24"/>
        </w:rPr>
        <w:t>10mm，厚38mm，开</w:t>
      </w:r>
      <w:r>
        <w:rPr>
          <w:rFonts w:hint="eastAsia" w:ascii="宋体"/>
          <w:sz w:val="24"/>
        </w:rPr>
        <w:t>槽宽2</w:t>
      </w:r>
      <w:r>
        <w:rPr>
          <w:rFonts w:ascii="宋体"/>
          <w:sz w:val="24"/>
        </w:rPr>
        <w:t>0mm）</w:t>
      </w:r>
      <w:r>
        <w:rPr>
          <w:rFonts w:hint="eastAsia" w:ascii="宋体"/>
          <w:sz w:val="24"/>
        </w:rPr>
        <w:t>。并在投标文件中说明标定方法和标定精度保证方法。</w:t>
      </w:r>
    </w:p>
    <w:p w14:paraId="626B9C99">
      <w:pPr>
        <w:spacing w:line="360" w:lineRule="auto"/>
        <w:rPr>
          <w:rFonts w:ascii="宋体"/>
          <w:sz w:val="24"/>
        </w:rPr>
      </w:pPr>
      <w:r>
        <w:rPr>
          <w:rFonts w:hint="eastAsia" w:ascii="宋体"/>
          <w:sz w:val="24"/>
        </w:rPr>
        <w:t>2.</w:t>
      </w:r>
      <w:r>
        <w:rPr>
          <w:rFonts w:ascii="宋体"/>
          <w:sz w:val="24"/>
        </w:rPr>
        <w:t>6主</w:t>
      </w:r>
      <w:r>
        <w:rPr>
          <w:rFonts w:hint="eastAsia" w:ascii="宋体"/>
          <w:sz w:val="24"/>
        </w:rPr>
        <w:t>轴对接及传动装</w:t>
      </w:r>
      <w:r>
        <w:rPr>
          <w:rFonts w:ascii="宋体"/>
          <w:sz w:val="24"/>
        </w:rPr>
        <w:t>置</w:t>
      </w:r>
    </w:p>
    <w:p w14:paraId="62677AC4">
      <w:pPr>
        <w:spacing w:line="360" w:lineRule="auto"/>
        <w:ind w:firstLine="480" w:firstLineChars="200"/>
        <w:rPr>
          <w:rFonts w:ascii="宋体"/>
          <w:sz w:val="24"/>
        </w:rPr>
      </w:pPr>
      <w:r>
        <w:rPr>
          <w:rFonts w:hint="eastAsia" w:ascii="宋体"/>
          <w:sz w:val="24"/>
        </w:rPr>
        <w:t>主轴对接及传动装置应由挠性轴、高弹性连轴器、辅助支承（过渡轴）和防护罩等组成。轴系部件满足最大扭矩≥3000Nm，转速≥3300r/min。对接轴需与招标方已有的飞轮联接盘花键孔对接，保证同心度要求，对接机构需设有防顶齿功能，保证对接一次成功率大于9</w:t>
      </w:r>
      <w:r>
        <w:rPr>
          <w:rFonts w:ascii="宋体"/>
          <w:sz w:val="24"/>
        </w:rPr>
        <w:t>8%。招</w:t>
      </w:r>
      <w:r>
        <w:rPr>
          <w:rFonts w:hint="eastAsia" w:ascii="宋体"/>
          <w:sz w:val="24"/>
        </w:rPr>
        <w:t>标方的</w:t>
      </w:r>
      <w:r>
        <w:rPr>
          <w:rFonts w:ascii="宋体"/>
          <w:sz w:val="24"/>
        </w:rPr>
        <w:t>飞</w:t>
      </w:r>
      <w:r>
        <w:rPr>
          <w:rFonts w:hint="eastAsia" w:ascii="宋体"/>
          <w:sz w:val="24"/>
        </w:rPr>
        <w:t>轮</w:t>
      </w:r>
      <w:r>
        <w:rPr>
          <w:rFonts w:ascii="宋体"/>
          <w:sz w:val="24"/>
        </w:rPr>
        <w:t>联</w:t>
      </w:r>
      <w:r>
        <w:rPr>
          <w:rFonts w:hint="eastAsia" w:ascii="宋体"/>
          <w:sz w:val="24"/>
        </w:rPr>
        <w:t>接盘上已配有一件C</w:t>
      </w:r>
      <w:r>
        <w:rPr>
          <w:rFonts w:ascii="宋体"/>
          <w:sz w:val="24"/>
        </w:rPr>
        <w:t>ENTA CF-A-250型</w:t>
      </w:r>
      <w:r>
        <w:rPr>
          <w:rFonts w:hint="eastAsia" w:ascii="宋体"/>
          <w:sz w:val="24"/>
        </w:rPr>
        <w:t>高弹性联轴器，投标方应根据招标方的机型特点，进行扭振计算，布置相应的联轴器，高弹性联轴器选用德国C</w:t>
      </w:r>
      <w:r>
        <w:rPr>
          <w:rFonts w:ascii="宋体"/>
          <w:sz w:val="24"/>
        </w:rPr>
        <w:t>ENTA品</w:t>
      </w:r>
      <w:r>
        <w:rPr>
          <w:rFonts w:hint="eastAsia" w:ascii="宋体"/>
          <w:sz w:val="24"/>
        </w:rPr>
        <w:t>牌。提供连接轴、弹性联轴器扭震设计相应的计算文件和连接轴与相配的弹性联轴器的动平衡试验结果。</w:t>
      </w:r>
    </w:p>
    <w:p w14:paraId="2E54F12E">
      <w:pPr>
        <w:spacing w:line="360" w:lineRule="auto"/>
        <w:ind w:firstLine="480" w:firstLineChars="200"/>
        <w:rPr>
          <w:rFonts w:ascii="宋体"/>
          <w:sz w:val="24"/>
        </w:rPr>
      </w:pPr>
      <w:r>
        <w:rPr>
          <w:rFonts w:hint="eastAsia" w:ascii="宋体"/>
          <w:sz w:val="24"/>
        </w:rPr>
        <w:t>辅助支撑（中间轴）应有足够的强度，维护方便，与底座间采用平键定位，前后轴承处安装温度传感器，监控轴承温升情况，异常时报警。辅助支撑的传动轴与后端轴系的若有键连接应采用花键形式。</w:t>
      </w:r>
    </w:p>
    <w:p w14:paraId="0B81EE3E">
      <w:pPr>
        <w:spacing w:line="360" w:lineRule="auto"/>
        <w:ind w:firstLine="480" w:firstLineChars="200"/>
        <w:rPr>
          <w:rFonts w:ascii="宋体"/>
          <w:sz w:val="24"/>
        </w:rPr>
      </w:pPr>
      <w:r>
        <w:rPr>
          <w:rFonts w:ascii="宋体"/>
          <w:sz w:val="24"/>
        </w:rPr>
        <w:t>轴</w:t>
      </w:r>
      <w:r>
        <w:rPr>
          <w:rFonts w:hint="eastAsia" w:ascii="宋体"/>
          <w:sz w:val="24"/>
        </w:rPr>
        <w:t>系配置</w:t>
      </w:r>
      <w:r>
        <w:rPr>
          <w:rFonts w:ascii="宋体"/>
          <w:sz w:val="24"/>
        </w:rPr>
        <w:t>一</w:t>
      </w:r>
      <w:r>
        <w:rPr>
          <w:rFonts w:hint="eastAsia" w:ascii="宋体"/>
          <w:sz w:val="24"/>
        </w:rPr>
        <w:t>套</w:t>
      </w:r>
      <w:r>
        <w:rPr>
          <w:sz w:val="23"/>
          <w:szCs w:val="23"/>
        </w:rPr>
        <w:t>IFM VTV122</w:t>
      </w:r>
      <w:r>
        <w:rPr>
          <w:rFonts w:hint="eastAsia" w:ascii="宋体" w:cs="宋体"/>
          <w:sz w:val="23"/>
          <w:szCs w:val="23"/>
        </w:rPr>
        <w:t>振动传感器，用于台架运行工况振动监测，并与测控系统通讯，异常时报警。</w:t>
      </w:r>
    </w:p>
    <w:p w14:paraId="66B6E024">
      <w:pPr>
        <w:spacing w:line="360" w:lineRule="auto"/>
        <w:ind w:firstLine="480" w:firstLineChars="200"/>
        <w:rPr>
          <w:rFonts w:ascii="宋体"/>
          <w:sz w:val="24"/>
        </w:rPr>
      </w:pPr>
      <w:r>
        <w:rPr>
          <w:rFonts w:hint="eastAsia" w:ascii="宋体"/>
          <w:sz w:val="24"/>
        </w:rPr>
        <w:t>外露旋转轴处必须加装安全防护罩。发动机飞轮与辅助支撑之间的防护罩应开、合方便，锁紧可靠，与不同机型均不干涉，配有行程开关，防护罩未至位时不能起动电机和发动机。</w:t>
      </w:r>
    </w:p>
    <w:p w14:paraId="511332CE">
      <w:pPr>
        <w:spacing w:line="360" w:lineRule="auto"/>
        <w:ind w:firstLine="480" w:firstLineChars="200"/>
        <w:rPr>
          <w:rFonts w:ascii="宋体"/>
          <w:sz w:val="24"/>
        </w:rPr>
      </w:pPr>
    </w:p>
    <w:p w14:paraId="6104AAF8">
      <w:pPr>
        <w:spacing w:line="360" w:lineRule="auto"/>
        <w:rPr>
          <w:rFonts w:ascii="宋体"/>
          <w:b/>
          <w:sz w:val="24"/>
        </w:rPr>
      </w:pPr>
      <w:r>
        <w:rPr>
          <w:rFonts w:hint="eastAsia" w:ascii="宋体"/>
          <w:b/>
          <w:sz w:val="24"/>
        </w:rPr>
        <w:t>3</w:t>
      </w:r>
      <w:r>
        <w:rPr>
          <w:rFonts w:ascii="宋体"/>
          <w:b/>
          <w:sz w:val="24"/>
        </w:rPr>
        <w:t>.天</w:t>
      </w:r>
      <w:r>
        <w:rPr>
          <w:rFonts w:hint="eastAsia" w:ascii="宋体"/>
          <w:b/>
          <w:sz w:val="24"/>
        </w:rPr>
        <w:t>然气</w:t>
      </w:r>
      <w:r>
        <w:rPr>
          <w:rFonts w:ascii="宋体"/>
          <w:b/>
          <w:sz w:val="24"/>
        </w:rPr>
        <w:t>台架测</w:t>
      </w:r>
      <w:r>
        <w:rPr>
          <w:rFonts w:hint="eastAsia" w:ascii="宋体"/>
          <w:b/>
          <w:sz w:val="24"/>
        </w:rPr>
        <w:t>功机防</w:t>
      </w:r>
      <w:r>
        <w:rPr>
          <w:rFonts w:ascii="宋体"/>
          <w:b/>
          <w:sz w:val="24"/>
        </w:rPr>
        <w:t>爆要求</w:t>
      </w:r>
    </w:p>
    <w:p w14:paraId="1D565451">
      <w:pPr>
        <w:spacing w:line="360" w:lineRule="auto"/>
        <w:rPr>
          <w:rFonts w:ascii="宋体"/>
          <w:sz w:val="24"/>
        </w:rPr>
      </w:pPr>
      <w:r>
        <w:rPr>
          <w:rFonts w:hint="eastAsia" w:ascii="宋体"/>
          <w:sz w:val="24"/>
        </w:rPr>
        <w:t>3.1本次改造时其中2</w:t>
      </w:r>
      <w:r>
        <w:rPr>
          <w:rFonts w:ascii="宋体"/>
          <w:sz w:val="24"/>
        </w:rPr>
        <w:t>0#、24#台</w:t>
      </w:r>
      <w:r>
        <w:rPr>
          <w:rFonts w:hint="eastAsia" w:ascii="宋体"/>
          <w:sz w:val="24"/>
        </w:rPr>
        <w:t>架</w:t>
      </w:r>
      <w:r>
        <w:rPr>
          <w:rFonts w:ascii="宋体"/>
          <w:sz w:val="24"/>
        </w:rPr>
        <w:t>需同时测</w:t>
      </w:r>
      <w:r>
        <w:rPr>
          <w:rFonts w:hint="eastAsia" w:ascii="宋体"/>
          <w:sz w:val="24"/>
        </w:rPr>
        <w:t>试天然气发动机，在台架间内其它电器采用防爆型基础上，电力测功机及扭矩传感器亦需进行防爆设计，或采用防爆型产品，以满足危险区域分类为2区的台架间工作要求。</w:t>
      </w:r>
    </w:p>
    <w:p w14:paraId="33B92AF8">
      <w:pPr>
        <w:spacing w:line="360" w:lineRule="auto"/>
        <w:rPr>
          <w:rFonts w:ascii="宋体"/>
          <w:sz w:val="24"/>
        </w:rPr>
      </w:pPr>
      <w:r>
        <w:rPr>
          <w:rFonts w:hint="eastAsia" w:ascii="宋体"/>
          <w:sz w:val="24"/>
        </w:rPr>
        <w:t>3</w:t>
      </w:r>
      <w:r>
        <w:rPr>
          <w:rFonts w:ascii="宋体"/>
          <w:sz w:val="24"/>
        </w:rPr>
        <w:t>.2投</w:t>
      </w:r>
      <w:r>
        <w:rPr>
          <w:rFonts w:hint="eastAsia" w:ascii="宋体"/>
          <w:sz w:val="24"/>
        </w:rPr>
        <w:t>标方应</w:t>
      </w:r>
      <w:r>
        <w:rPr>
          <w:rFonts w:ascii="宋体"/>
          <w:sz w:val="24"/>
        </w:rPr>
        <w:t>阐</w:t>
      </w:r>
      <w:r>
        <w:rPr>
          <w:rFonts w:hint="eastAsia" w:ascii="宋体"/>
          <w:sz w:val="24"/>
        </w:rPr>
        <w:t>明</w:t>
      </w:r>
      <w:r>
        <w:rPr>
          <w:rFonts w:ascii="宋体"/>
          <w:sz w:val="24"/>
        </w:rPr>
        <w:t>实现防</w:t>
      </w:r>
      <w:r>
        <w:rPr>
          <w:rFonts w:hint="eastAsia" w:ascii="宋体"/>
          <w:sz w:val="24"/>
        </w:rPr>
        <w:t>爆的</w:t>
      </w:r>
      <w:r>
        <w:rPr>
          <w:rFonts w:ascii="宋体"/>
          <w:sz w:val="24"/>
        </w:rPr>
        <w:t>具体</w:t>
      </w:r>
      <w:r>
        <w:rPr>
          <w:rFonts w:hint="eastAsia" w:ascii="宋体"/>
          <w:sz w:val="24"/>
        </w:rPr>
        <w:t>设计方案。</w:t>
      </w:r>
    </w:p>
    <w:p w14:paraId="1765AA2F">
      <w:pPr>
        <w:spacing w:line="360" w:lineRule="auto"/>
        <w:ind w:firstLine="480" w:firstLineChars="200"/>
        <w:rPr>
          <w:rFonts w:ascii="宋体"/>
          <w:sz w:val="24"/>
        </w:rPr>
      </w:pPr>
    </w:p>
    <w:p w14:paraId="2C8139D2">
      <w:pPr>
        <w:spacing w:line="360" w:lineRule="auto"/>
        <w:rPr>
          <w:rFonts w:ascii="宋体"/>
          <w:b/>
          <w:sz w:val="24"/>
        </w:rPr>
      </w:pPr>
      <w:r>
        <w:rPr>
          <w:rFonts w:ascii="宋体"/>
          <w:b/>
          <w:sz w:val="24"/>
        </w:rPr>
        <w:t>4.</w:t>
      </w:r>
      <w:r>
        <w:rPr>
          <w:rFonts w:hint="eastAsia" w:ascii="宋体"/>
          <w:b/>
          <w:sz w:val="24"/>
        </w:rPr>
        <w:t>增程器台架要求</w:t>
      </w:r>
    </w:p>
    <w:p w14:paraId="1961017F">
      <w:pPr>
        <w:spacing w:line="360" w:lineRule="auto"/>
        <w:rPr>
          <w:rFonts w:ascii="宋体"/>
          <w:sz w:val="24"/>
        </w:rPr>
      </w:pPr>
      <w:r>
        <w:rPr>
          <w:rFonts w:ascii="宋体"/>
          <w:sz w:val="24"/>
        </w:rPr>
        <w:t>4</w:t>
      </w:r>
      <w:r>
        <w:rPr>
          <w:rFonts w:hint="eastAsia" w:ascii="宋体"/>
          <w:sz w:val="24"/>
        </w:rPr>
        <w:t>.1本次改造2</w:t>
      </w:r>
      <w:r>
        <w:rPr>
          <w:rFonts w:ascii="宋体"/>
          <w:sz w:val="24"/>
        </w:rPr>
        <w:t>6#台</w:t>
      </w:r>
      <w:r>
        <w:rPr>
          <w:rFonts w:hint="eastAsia" w:ascii="宋体"/>
          <w:sz w:val="24"/>
        </w:rPr>
        <w:t>架为增程器</w:t>
      </w:r>
      <w:r>
        <w:rPr>
          <w:rFonts w:ascii="宋体"/>
          <w:sz w:val="24"/>
        </w:rPr>
        <w:t>出厂试验专</w:t>
      </w:r>
      <w:r>
        <w:rPr>
          <w:rFonts w:hint="eastAsia" w:ascii="宋体"/>
          <w:sz w:val="24"/>
        </w:rPr>
        <w:t>用</w:t>
      </w:r>
      <w:r>
        <w:rPr>
          <w:rFonts w:ascii="宋体"/>
          <w:sz w:val="24"/>
        </w:rPr>
        <w:t>台架</w:t>
      </w:r>
      <w:r>
        <w:rPr>
          <w:rFonts w:hint="eastAsia" w:ascii="宋体"/>
          <w:sz w:val="24"/>
        </w:rPr>
        <w:t>，与其它台架相比，取消电力测功机及变频柜、传动部分、电机底座，增加双向直流电源、电机及控制器冷却装置等。</w:t>
      </w:r>
    </w:p>
    <w:p w14:paraId="7745BF17">
      <w:pPr>
        <w:spacing w:line="360" w:lineRule="auto"/>
        <w:rPr>
          <w:rFonts w:ascii="宋体"/>
          <w:sz w:val="24"/>
        </w:rPr>
      </w:pPr>
      <w:r>
        <w:rPr>
          <w:rFonts w:ascii="宋体"/>
          <w:sz w:val="24"/>
        </w:rPr>
        <w:t>4.2增</w:t>
      </w:r>
      <w:r>
        <w:rPr>
          <w:rFonts w:hint="eastAsia" w:ascii="宋体"/>
          <w:sz w:val="24"/>
        </w:rPr>
        <w:t>程器主要</w:t>
      </w:r>
      <w:r>
        <w:rPr>
          <w:rFonts w:ascii="宋体"/>
          <w:sz w:val="24"/>
        </w:rPr>
        <w:t>技</w:t>
      </w:r>
      <w:r>
        <w:rPr>
          <w:rFonts w:hint="eastAsia" w:ascii="宋体"/>
          <w:sz w:val="24"/>
        </w:rPr>
        <w:t>术</w:t>
      </w:r>
      <w:r>
        <w:rPr>
          <w:rFonts w:ascii="宋体"/>
          <w:sz w:val="24"/>
        </w:rPr>
        <w:t>参数见</w:t>
      </w:r>
      <w:r>
        <w:rPr>
          <w:rFonts w:hint="eastAsia" w:ascii="宋体"/>
          <w:sz w:val="24"/>
        </w:rPr>
        <w:t>表</w:t>
      </w:r>
      <w:r>
        <w:rPr>
          <w:rFonts w:ascii="宋体"/>
          <w:sz w:val="24"/>
        </w:rPr>
        <w:t>5</w:t>
      </w:r>
      <w:r>
        <w:rPr>
          <w:rFonts w:hint="eastAsia" w:ascii="宋体"/>
          <w:sz w:val="24"/>
        </w:rPr>
        <w:t>：</w:t>
      </w:r>
    </w:p>
    <w:p w14:paraId="3DBF74C0">
      <w:pPr>
        <w:spacing w:line="360" w:lineRule="auto"/>
        <w:jc w:val="center"/>
        <w:rPr>
          <w:rFonts w:ascii="宋体"/>
          <w:sz w:val="24"/>
        </w:rPr>
      </w:pPr>
      <w:r>
        <w:rPr>
          <w:rFonts w:hint="eastAsia" w:ascii="宋体"/>
          <w:sz w:val="24"/>
        </w:rPr>
        <w:t>表</w:t>
      </w:r>
      <w:r>
        <w:rPr>
          <w:rFonts w:ascii="宋体"/>
          <w:sz w:val="24"/>
        </w:rPr>
        <w:t>5  发</w:t>
      </w:r>
      <w:r>
        <w:rPr>
          <w:rFonts w:hint="eastAsia" w:ascii="宋体"/>
          <w:sz w:val="24"/>
        </w:rPr>
        <w:t>电机控制</w:t>
      </w:r>
      <w:r>
        <w:rPr>
          <w:rFonts w:ascii="宋体"/>
          <w:sz w:val="24"/>
        </w:rPr>
        <w:t>器参数</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51"/>
        <w:gridCol w:w="5382"/>
      </w:tblGrid>
      <w:tr w14:paraId="35D1F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51" w:type="dxa"/>
            <w:shd w:val="clear" w:color="auto" w:fill="auto"/>
            <w:vAlign w:val="center"/>
          </w:tcPr>
          <w:p w14:paraId="49F5DA9D">
            <w:pPr>
              <w:jc w:val="center"/>
              <w:rPr>
                <w:rFonts w:ascii="宋体" w:hAnsi="宋体"/>
                <w:b/>
                <w:szCs w:val="21"/>
              </w:rPr>
            </w:pPr>
            <w:r>
              <w:rPr>
                <w:rFonts w:hint="eastAsia" w:ascii="宋体" w:hAnsi="宋体"/>
                <w:b/>
                <w:szCs w:val="21"/>
              </w:rPr>
              <w:t>项目</w:t>
            </w:r>
          </w:p>
        </w:tc>
        <w:tc>
          <w:tcPr>
            <w:tcW w:w="5382" w:type="dxa"/>
            <w:shd w:val="clear" w:color="auto" w:fill="auto"/>
            <w:vAlign w:val="center"/>
          </w:tcPr>
          <w:p w14:paraId="0A4502AC">
            <w:pPr>
              <w:widowControl/>
              <w:ind w:firstLine="29" w:firstLineChars="14"/>
              <w:jc w:val="center"/>
              <w:rPr>
                <w:rFonts w:ascii="宋体" w:hAnsi="宋体" w:cs="宋体"/>
                <w:b/>
                <w:color w:val="FFFFFF"/>
                <w:kern w:val="0"/>
                <w:szCs w:val="21"/>
              </w:rPr>
            </w:pPr>
            <w:r>
              <w:rPr>
                <w:rFonts w:hint="eastAsia" w:ascii="宋体" w:hAnsi="宋体" w:cs="宋体"/>
                <w:b/>
                <w:kern w:val="0"/>
                <w:szCs w:val="21"/>
              </w:rPr>
              <w:t>详细规格</w:t>
            </w:r>
          </w:p>
        </w:tc>
      </w:tr>
      <w:tr w14:paraId="7F3D2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51" w:type="dxa"/>
            <w:vAlign w:val="center"/>
          </w:tcPr>
          <w:p w14:paraId="7DFA386A">
            <w:pPr>
              <w:widowControl/>
              <w:ind w:firstLine="29"/>
              <w:jc w:val="center"/>
              <w:rPr>
                <w:rFonts w:ascii="宋体" w:hAnsi="宋体"/>
                <w:kern w:val="0"/>
                <w:szCs w:val="21"/>
              </w:rPr>
            </w:pPr>
            <w:r>
              <w:rPr>
                <w:rFonts w:ascii="宋体" w:hAnsi="宋体"/>
                <w:kern w:val="0"/>
                <w:szCs w:val="21"/>
              </w:rPr>
              <w:t>额定电压</w:t>
            </w:r>
          </w:p>
        </w:tc>
        <w:tc>
          <w:tcPr>
            <w:tcW w:w="5382" w:type="dxa"/>
            <w:vAlign w:val="center"/>
          </w:tcPr>
          <w:p w14:paraId="03F795D6">
            <w:pPr>
              <w:widowControl/>
              <w:ind w:firstLine="29" w:firstLineChars="14"/>
              <w:jc w:val="center"/>
              <w:rPr>
                <w:rFonts w:ascii="宋体" w:hAnsi="宋体"/>
                <w:kern w:val="0"/>
                <w:szCs w:val="21"/>
              </w:rPr>
            </w:pPr>
            <w:r>
              <w:rPr>
                <w:rFonts w:ascii="宋体" w:hAnsi="宋体"/>
                <w:kern w:val="0"/>
                <w:szCs w:val="21"/>
              </w:rPr>
              <w:t>630 DVC</w:t>
            </w:r>
          </w:p>
        </w:tc>
      </w:tr>
      <w:tr w14:paraId="76DC2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51" w:type="dxa"/>
            <w:vAlign w:val="center"/>
          </w:tcPr>
          <w:p w14:paraId="662ECFAA">
            <w:pPr>
              <w:widowControl/>
              <w:ind w:firstLine="29"/>
              <w:jc w:val="center"/>
              <w:rPr>
                <w:rFonts w:ascii="宋体" w:hAnsi="宋体"/>
                <w:kern w:val="0"/>
                <w:szCs w:val="21"/>
              </w:rPr>
            </w:pPr>
            <w:r>
              <w:rPr>
                <w:rFonts w:ascii="宋体" w:hAnsi="宋体"/>
                <w:color w:val="000000"/>
                <w:kern w:val="0"/>
                <w:szCs w:val="21"/>
              </w:rPr>
              <w:t>额定容量</w:t>
            </w:r>
          </w:p>
        </w:tc>
        <w:tc>
          <w:tcPr>
            <w:tcW w:w="5382" w:type="dxa"/>
            <w:vAlign w:val="center"/>
          </w:tcPr>
          <w:p w14:paraId="3FDB84F8">
            <w:pPr>
              <w:widowControl/>
              <w:ind w:firstLine="29" w:firstLineChars="14"/>
              <w:jc w:val="center"/>
              <w:rPr>
                <w:rFonts w:ascii="宋体" w:hAnsi="宋体"/>
                <w:kern w:val="0"/>
                <w:szCs w:val="21"/>
              </w:rPr>
            </w:pPr>
            <w:r>
              <w:rPr>
                <w:rFonts w:ascii="宋体" w:hAnsi="宋体"/>
                <w:kern w:val="0"/>
                <w:szCs w:val="21"/>
              </w:rPr>
              <w:t>156kVA</w:t>
            </w:r>
          </w:p>
        </w:tc>
      </w:tr>
      <w:tr w14:paraId="24166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51" w:type="dxa"/>
            <w:vAlign w:val="center"/>
          </w:tcPr>
          <w:p w14:paraId="769F5EAE">
            <w:pPr>
              <w:widowControl/>
              <w:ind w:firstLine="29"/>
              <w:jc w:val="center"/>
              <w:rPr>
                <w:rFonts w:ascii="宋体" w:hAnsi="宋体"/>
                <w:kern w:val="0"/>
                <w:szCs w:val="21"/>
              </w:rPr>
            </w:pPr>
            <w:r>
              <w:rPr>
                <w:rFonts w:ascii="宋体" w:hAnsi="宋体"/>
                <w:color w:val="000000"/>
                <w:kern w:val="0"/>
                <w:szCs w:val="21"/>
              </w:rPr>
              <w:t>峰值容量</w:t>
            </w:r>
          </w:p>
        </w:tc>
        <w:tc>
          <w:tcPr>
            <w:tcW w:w="5382" w:type="dxa"/>
            <w:vAlign w:val="center"/>
          </w:tcPr>
          <w:p w14:paraId="2281DF39">
            <w:pPr>
              <w:widowControl/>
              <w:ind w:firstLine="29" w:firstLineChars="14"/>
              <w:jc w:val="center"/>
              <w:rPr>
                <w:rFonts w:ascii="宋体" w:hAnsi="宋体"/>
                <w:kern w:val="0"/>
                <w:szCs w:val="21"/>
              </w:rPr>
            </w:pPr>
            <w:r>
              <w:rPr>
                <w:rFonts w:ascii="宋体" w:hAnsi="宋体"/>
                <w:kern w:val="0"/>
                <w:szCs w:val="21"/>
              </w:rPr>
              <w:t>285kVA</w:t>
            </w:r>
          </w:p>
        </w:tc>
      </w:tr>
      <w:tr w14:paraId="7348D4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51" w:type="dxa"/>
            <w:vAlign w:val="center"/>
          </w:tcPr>
          <w:p w14:paraId="2D5670E1">
            <w:pPr>
              <w:widowControl/>
              <w:ind w:firstLine="29"/>
              <w:jc w:val="center"/>
              <w:rPr>
                <w:rFonts w:ascii="宋体" w:hAnsi="宋体"/>
                <w:kern w:val="0"/>
                <w:szCs w:val="21"/>
              </w:rPr>
            </w:pPr>
            <w:r>
              <w:rPr>
                <w:rFonts w:ascii="宋体" w:hAnsi="宋体"/>
                <w:kern w:val="0"/>
                <w:szCs w:val="21"/>
              </w:rPr>
              <w:t>额定输出电流</w:t>
            </w:r>
          </w:p>
        </w:tc>
        <w:tc>
          <w:tcPr>
            <w:tcW w:w="5382" w:type="dxa"/>
            <w:vAlign w:val="center"/>
          </w:tcPr>
          <w:p w14:paraId="54BCA434">
            <w:pPr>
              <w:widowControl/>
              <w:ind w:firstLine="29" w:firstLineChars="14"/>
              <w:jc w:val="center"/>
              <w:rPr>
                <w:rFonts w:ascii="宋体" w:hAnsi="宋体"/>
                <w:kern w:val="0"/>
                <w:szCs w:val="21"/>
                <w:highlight w:val="yellow"/>
              </w:rPr>
            </w:pPr>
            <w:r>
              <w:rPr>
                <w:rFonts w:ascii="宋体" w:hAnsi="宋体"/>
                <w:color w:val="000000"/>
                <w:kern w:val="0"/>
                <w:szCs w:val="21"/>
              </w:rPr>
              <w:t>280 Arms</w:t>
            </w:r>
          </w:p>
        </w:tc>
      </w:tr>
      <w:tr w14:paraId="292FA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51" w:type="dxa"/>
            <w:vAlign w:val="center"/>
          </w:tcPr>
          <w:p w14:paraId="19DC0801">
            <w:pPr>
              <w:widowControl/>
              <w:ind w:firstLine="29"/>
              <w:jc w:val="center"/>
              <w:rPr>
                <w:rFonts w:ascii="宋体" w:hAnsi="宋体"/>
                <w:kern w:val="0"/>
                <w:szCs w:val="21"/>
              </w:rPr>
            </w:pPr>
            <w:r>
              <w:rPr>
                <w:rFonts w:ascii="宋体" w:hAnsi="宋体"/>
                <w:kern w:val="0"/>
                <w:szCs w:val="21"/>
              </w:rPr>
              <w:t>峰值输出电流</w:t>
            </w:r>
          </w:p>
        </w:tc>
        <w:tc>
          <w:tcPr>
            <w:tcW w:w="5382" w:type="dxa"/>
            <w:vAlign w:val="center"/>
          </w:tcPr>
          <w:p w14:paraId="2804D891">
            <w:pPr>
              <w:widowControl/>
              <w:ind w:firstLine="29" w:firstLineChars="14"/>
              <w:jc w:val="center"/>
              <w:rPr>
                <w:rFonts w:ascii="宋体" w:hAnsi="宋体"/>
                <w:kern w:val="0"/>
                <w:szCs w:val="21"/>
              </w:rPr>
            </w:pPr>
            <w:r>
              <w:rPr>
                <w:rFonts w:ascii="宋体" w:hAnsi="宋体"/>
                <w:kern w:val="0"/>
                <w:szCs w:val="21"/>
              </w:rPr>
              <w:t>5</w:t>
            </w:r>
            <w:r>
              <w:rPr>
                <w:rFonts w:hint="eastAsia" w:ascii="宋体" w:hAnsi="宋体"/>
                <w:kern w:val="0"/>
                <w:szCs w:val="21"/>
              </w:rPr>
              <w:t>70</w:t>
            </w:r>
            <w:r>
              <w:rPr>
                <w:rFonts w:ascii="宋体" w:hAnsi="宋体"/>
                <w:kern w:val="0"/>
                <w:szCs w:val="21"/>
              </w:rPr>
              <w:t xml:space="preserve"> Arms/60s</w:t>
            </w:r>
          </w:p>
        </w:tc>
      </w:tr>
      <w:tr w14:paraId="4E1DF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51" w:type="dxa"/>
            <w:vAlign w:val="center"/>
          </w:tcPr>
          <w:p w14:paraId="61300116">
            <w:pPr>
              <w:widowControl/>
              <w:ind w:firstLine="29"/>
              <w:jc w:val="center"/>
              <w:rPr>
                <w:rFonts w:ascii="宋体" w:hAnsi="宋体"/>
                <w:kern w:val="0"/>
                <w:szCs w:val="21"/>
              </w:rPr>
            </w:pPr>
            <w:r>
              <w:rPr>
                <w:rFonts w:hint="eastAsia" w:ascii="宋体" w:hAnsi="宋体" w:cs="宋体"/>
                <w:color w:val="000000"/>
                <w:kern w:val="0"/>
                <w:szCs w:val="21"/>
              </w:rPr>
              <w:t>峰值功率（</w:t>
            </w:r>
            <w:r>
              <w:rPr>
                <w:rFonts w:ascii="宋体" w:hAnsi="宋体" w:cs="Arial"/>
                <w:color w:val="000000"/>
                <w:kern w:val="0"/>
                <w:szCs w:val="21"/>
              </w:rPr>
              <w:t>kW</w:t>
            </w:r>
            <w:r>
              <w:rPr>
                <w:rFonts w:hint="eastAsia" w:ascii="宋体" w:hAnsi="宋体" w:cs="宋体"/>
                <w:color w:val="000000"/>
                <w:kern w:val="0"/>
                <w:szCs w:val="21"/>
              </w:rPr>
              <w:t>）</w:t>
            </w:r>
          </w:p>
        </w:tc>
        <w:tc>
          <w:tcPr>
            <w:tcW w:w="5382" w:type="dxa"/>
            <w:vAlign w:val="center"/>
          </w:tcPr>
          <w:p w14:paraId="2398825B">
            <w:pPr>
              <w:widowControl/>
              <w:ind w:firstLine="29" w:firstLineChars="14"/>
              <w:jc w:val="center"/>
              <w:rPr>
                <w:rFonts w:ascii="宋体" w:hAnsi="宋体"/>
                <w:kern w:val="0"/>
                <w:szCs w:val="21"/>
              </w:rPr>
            </w:pPr>
            <w:r>
              <w:rPr>
                <w:rFonts w:hint="eastAsia" w:ascii="宋体" w:hAnsi="宋体" w:cs="Arial"/>
                <w:color w:val="000000"/>
                <w:kern w:val="0"/>
                <w:szCs w:val="21"/>
              </w:rPr>
              <w:t>2</w:t>
            </w:r>
            <w:r>
              <w:rPr>
                <w:rFonts w:ascii="宋体" w:hAnsi="宋体" w:cs="Arial"/>
                <w:color w:val="000000"/>
                <w:kern w:val="0"/>
                <w:szCs w:val="21"/>
              </w:rPr>
              <w:t>50kW</w:t>
            </w:r>
          </w:p>
        </w:tc>
      </w:tr>
      <w:tr w14:paraId="4B4D9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0" w:hRule="atLeast"/>
          <w:jc w:val="center"/>
        </w:trPr>
        <w:tc>
          <w:tcPr>
            <w:tcW w:w="2551" w:type="dxa"/>
            <w:vAlign w:val="center"/>
          </w:tcPr>
          <w:p w14:paraId="66682597">
            <w:pPr>
              <w:ind w:firstLine="480"/>
              <w:jc w:val="center"/>
              <w:rPr>
                <w:rFonts w:ascii="宋体" w:hAnsi="宋体" w:cs="等线"/>
                <w:kern w:val="0"/>
                <w:szCs w:val="21"/>
              </w:rPr>
            </w:pPr>
            <w:r>
              <w:rPr>
                <w:rFonts w:ascii="宋体" w:hAnsi="宋体" w:cs="等线"/>
                <w:kern w:val="0"/>
                <w:szCs w:val="21"/>
              </w:rPr>
              <w:t>备</w:t>
            </w:r>
            <w:r>
              <w:rPr>
                <w:rFonts w:hint="eastAsia" w:ascii="宋体" w:hAnsi="宋体" w:cs="等线"/>
                <w:kern w:val="0"/>
                <w:szCs w:val="21"/>
              </w:rPr>
              <w:t>注</w:t>
            </w:r>
          </w:p>
        </w:tc>
        <w:tc>
          <w:tcPr>
            <w:tcW w:w="5382" w:type="dxa"/>
            <w:vAlign w:val="center"/>
          </w:tcPr>
          <w:p w14:paraId="093CF3B1">
            <w:pPr>
              <w:rPr>
                <w:rFonts w:ascii="宋体" w:hAnsi="宋体"/>
                <w:kern w:val="0"/>
                <w:szCs w:val="21"/>
              </w:rPr>
            </w:pPr>
            <w:r>
              <w:rPr>
                <w:rFonts w:hint="eastAsia" w:ascii="宋体" w:hAnsi="宋体"/>
                <w:kern w:val="0"/>
                <w:szCs w:val="21"/>
              </w:rPr>
              <w:t>电机发电时，电机控制器认为此时的扭矩为负值，转速为正值；</w:t>
            </w:r>
          </w:p>
          <w:p w14:paraId="2702FD7D">
            <w:pPr>
              <w:rPr>
                <w:rFonts w:ascii="宋体" w:hAnsi="宋体" w:cs="等线"/>
                <w:kern w:val="0"/>
                <w:szCs w:val="21"/>
              </w:rPr>
            </w:pPr>
            <w:r>
              <w:rPr>
                <w:rFonts w:hint="eastAsia" w:ascii="宋体" w:hAnsi="宋体"/>
                <w:kern w:val="0"/>
                <w:szCs w:val="21"/>
              </w:rPr>
              <w:t>电机驱动时（如起动发动机），电机控制器认为此时的扭矩为正值，转速为正值。</w:t>
            </w:r>
          </w:p>
        </w:tc>
      </w:tr>
    </w:tbl>
    <w:p w14:paraId="67824052">
      <w:pPr>
        <w:spacing w:line="360" w:lineRule="auto"/>
        <w:ind w:firstLine="480" w:firstLineChars="200"/>
        <w:rPr>
          <w:rFonts w:ascii="宋体"/>
          <w:sz w:val="24"/>
        </w:rPr>
      </w:pPr>
    </w:p>
    <w:p w14:paraId="326D550A">
      <w:pPr>
        <w:spacing w:line="360" w:lineRule="auto"/>
        <w:rPr>
          <w:rFonts w:ascii="宋体"/>
          <w:sz w:val="24"/>
        </w:rPr>
      </w:pPr>
      <w:r>
        <w:rPr>
          <w:rFonts w:ascii="宋体"/>
          <w:sz w:val="24"/>
        </w:rPr>
        <w:t>4.3增</w:t>
      </w:r>
      <w:r>
        <w:rPr>
          <w:rFonts w:hint="eastAsia" w:ascii="宋体"/>
          <w:sz w:val="24"/>
        </w:rPr>
        <w:t>程器出厂试验工艺流程与普通发动机相比，略有不同（见表</w:t>
      </w:r>
      <w:r>
        <w:rPr>
          <w:rFonts w:ascii="宋体"/>
          <w:sz w:val="24"/>
        </w:rPr>
        <w:t>6）：</w:t>
      </w:r>
    </w:p>
    <w:p w14:paraId="57045652">
      <w:pPr>
        <w:spacing w:line="360" w:lineRule="auto"/>
        <w:jc w:val="center"/>
        <w:rPr>
          <w:sz w:val="24"/>
        </w:rPr>
      </w:pPr>
      <w:r>
        <w:rPr>
          <w:rFonts w:hint="eastAsia"/>
          <w:bCs/>
          <w:sz w:val="24"/>
          <w:szCs w:val="21"/>
        </w:rPr>
        <w:t>表</w:t>
      </w:r>
      <w:r>
        <w:rPr>
          <w:bCs/>
          <w:sz w:val="24"/>
          <w:szCs w:val="21"/>
        </w:rPr>
        <w:t>6  增</w:t>
      </w:r>
      <w:r>
        <w:rPr>
          <w:rFonts w:hint="eastAsia"/>
          <w:bCs/>
          <w:sz w:val="24"/>
          <w:szCs w:val="21"/>
        </w:rPr>
        <w:t>程器出厂</w:t>
      </w:r>
      <w:r>
        <w:rPr>
          <w:rFonts w:hint="eastAsia"/>
          <w:sz w:val="24"/>
        </w:rPr>
        <w:t>试验工艺流程</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3"/>
        <w:gridCol w:w="5885"/>
        <w:gridCol w:w="1275"/>
      </w:tblGrid>
      <w:tr w14:paraId="54376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Align w:val="center"/>
          </w:tcPr>
          <w:p w14:paraId="56703FB9">
            <w:pPr>
              <w:spacing w:line="360" w:lineRule="auto"/>
              <w:jc w:val="center"/>
              <w:rPr>
                <w:rFonts w:ascii="宋体" w:hAnsi="宋体"/>
              </w:rPr>
            </w:pPr>
            <w:r>
              <w:rPr>
                <w:rFonts w:hint="eastAsia" w:ascii="宋体" w:hAnsi="宋体"/>
              </w:rPr>
              <w:t>序号</w:t>
            </w:r>
          </w:p>
        </w:tc>
        <w:tc>
          <w:tcPr>
            <w:tcW w:w="5885" w:type="dxa"/>
            <w:vAlign w:val="center"/>
          </w:tcPr>
          <w:p w14:paraId="021C64BA">
            <w:pPr>
              <w:spacing w:line="360" w:lineRule="auto"/>
              <w:jc w:val="center"/>
              <w:rPr>
                <w:rFonts w:ascii="宋体" w:hAnsi="宋体"/>
              </w:rPr>
            </w:pPr>
            <w:r>
              <w:rPr>
                <w:rFonts w:hint="eastAsia" w:ascii="宋体" w:hAnsi="宋体"/>
              </w:rPr>
              <w:t>工序内容</w:t>
            </w:r>
          </w:p>
        </w:tc>
        <w:tc>
          <w:tcPr>
            <w:tcW w:w="1275" w:type="dxa"/>
            <w:vAlign w:val="center"/>
          </w:tcPr>
          <w:p w14:paraId="74A3CE66">
            <w:pPr>
              <w:spacing w:line="360" w:lineRule="auto"/>
              <w:jc w:val="center"/>
              <w:rPr>
                <w:rFonts w:ascii="宋体" w:hAnsi="宋体"/>
              </w:rPr>
            </w:pPr>
            <w:r>
              <w:rPr>
                <w:rFonts w:hint="eastAsia" w:ascii="宋体" w:hAnsi="宋体"/>
              </w:rPr>
              <w:t>备注</w:t>
            </w:r>
          </w:p>
        </w:tc>
      </w:tr>
      <w:tr w14:paraId="7A996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Align w:val="center"/>
          </w:tcPr>
          <w:p w14:paraId="2A57C6C4">
            <w:pPr>
              <w:spacing w:line="360" w:lineRule="auto"/>
              <w:jc w:val="center"/>
              <w:rPr>
                <w:rFonts w:ascii="宋体" w:hAnsi="宋体"/>
              </w:rPr>
            </w:pPr>
            <w:r>
              <w:rPr>
                <w:rFonts w:hint="eastAsia" w:ascii="宋体" w:hAnsi="宋体"/>
              </w:rPr>
              <w:t>1</w:t>
            </w:r>
          </w:p>
        </w:tc>
        <w:tc>
          <w:tcPr>
            <w:tcW w:w="5885" w:type="dxa"/>
            <w:vAlign w:val="center"/>
          </w:tcPr>
          <w:p w14:paraId="7914DAF9">
            <w:pPr>
              <w:spacing w:line="360" w:lineRule="auto"/>
              <w:jc w:val="center"/>
              <w:rPr>
                <w:rFonts w:ascii="宋体" w:hAnsi="宋体"/>
              </w:rPr>
            </w:pPr>
            <w:r>
              <w:rPr>
                <w:rFonts w:hint="eastAsia" w:ascii="宋体" w:hAnsi="宋体"/>
              </w:rPr>
              <w:t>增程器总成与托盘作为整体，由A</w:t>
            </w:r>
            <w:r>
              <w:rPr>
                <w:rFonts w:ascii="宋体" w:hAnsi="宋体"/>
              </w:rPr>
              <w:t>GV输</w:t>
            </w:r>
            <w:r>
              <w:rPr>
                <w:rFonts w:hint="eastAsia" w:ascii="宋体" w:hAnsi="宋体"/>
              </w:rPr>
              <w:t>送至2</w:t>
            </w:r>
            <w:r>
              <w:rPr>
                <w:rFonts w:ascii="宋体" w:hAnsi="宋体"/>
              </w:rPr>
              <w:t>6#台架门</w:t>
            </w:r>
            <w:r>
              <w:rPr>
                <w:rFonts w:hint="eastAsia" w:ascii="宋体" w:hAnsi="宋体"/>
              </w:rPr>
              <w:t>前移行机，由升降辊道送入台架内，升降辊道下降，托盘落至导轨上</w:t>
            </w:r>
          </w:p>
        </w:tc>
        <w:tc>
          <w:tcPr>
            <w:tcW w:w="1275" w:type="dxa"/>
            <w:vAlign w:val="center"/>
          </w:tcPr>
          <w:p w14:paraId="6BC0F528">
            <w:pPr>
              <w:spacing w:line="360" w:lineRule="auto"/>
              <w:jc w:val="center"/>
              <w:rPr>
                <w:rFonts w:ascii="宋体" w:hAnsi="宋体"/>
              </w:rPr>
            </w:pPr>
          </w:p>
        </w:tc>
      </w:tr>
      <w:tr w14:paraId="1F688E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Align w:val="center"/>
          </w:tcPr>
          <w:p w14:paraId="4E44EC6A">
            <w:pPr>
              <w:spacing w:line="360" w:lineRule="auto"/>
              <w:jc w:val="center"/>
              <w:rPr>
                <w:rFonts w:ascii="宋体" w:hAnsi="宋体"/>
              </w:rPr>
            </w:pPr>
            <w:r>
              <w:rPr>
                <w:rFonts w:hint="eastAsia" w:ascii="宋体" w:hAnsi="宋体"/>
              </w:rPr>
              <w:t>2</w:t>
            </w:r>
          </w:p>
        </w:tc>
        <w:tc>
          <w:tcPr>
            <w:tcW w:w="5885" w:type="dxa"/>
            <w:vAlign w:val="center"/>
          </w:tcPr>
          <w:p w14:paraId="2A8B1E07">
            <w:pPr>
              <w:spacing w:line="360" w:lineRule="auto"/>
              <w:jc w:val="center"/>
              <w:rPr>
                <w:rFonts w:ascii="宋体" w:hAnsi="宋体"/>
              </w:rPr>
            </w:pPr>
            <w:r>
              <w:rPr>
                <w:rFonts w:hint="eastAsia" w:ascii="宋体" w:hAnsi="宋体"/>
              </w:rPr>
              <w:t>由</w:t>
            </w:r>
            <w:r>
              <w:rPr>
                <w:rFonts w:ascii="宋体" w:hAnsi="宋体"/>
              </w:rPr>
              <w:t>油</w:t>
            </w:r>
            <w:r>
              <w:rPr>
                <w:rFonts w:hint="eastAsia" w:ascii="宋体" w:hAnsi="宋体"/>
              </w:rPr>
              <w:t>缸</w:t>
            </w:r>
            <w:r>
              <w:rPr>
                <w:rFonts w:ascii="宋体" w:hAnsi="宋体"/>
              </w:rPr>
              <w:t>将</w:t>
            </w:r>
            <w:r>
              <w:rPr>
                <w:rFonts w:hint="eastAsia" w:ascii="宋体" w:hAnsi="宋体"/>
              </w:rPr>
              <w:t>托盘拉进到位，夹紧</w:t>
            </w:r>
          </w:p>
        </w:tc>
        <w:tc>
          <w:tcPr>
            <w:tcW w:w="1275" w:type="dxa"/>
            <w:vAlign w:val="center"/>
          </w:tcPr>
          <w:p w14:paraId="6B0644F6">
            <w:pPr>
              <w:spacing w:line="360" w:lineRule="auto"/>
              <w:jc w:val="center"/>
              <w:rPr>
                <w:rFonts w:ascii="宋体" w:hAnsi="宋体"/>
              </w:rPr>
            </w:pPr>
          </w:p>
        </w:tc>
      </w:tr>
      <w:tr w14:paraId="7C94D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Align w:val="center"/>
          </w:tcPr>
          <w:p w14:paraId="0FCD5487">
            <w:pPr>
              <w:spacing w:line="360" w:lineRule="auto"/>
              <w:jc w:val="center"/>
              <w:rPr>
                <w:rFonts w:ascii="宋体" w:hAnsi="宋体"/>
              </w:rPr>
            </w:pPr>
            <w:r>
              <w:rPr>
                <w:rFonts w:hint="eastAsia" w:ascii="宋体" w:hAnsi="宋体"/>
              </w:rPr>
              <w:t>3</w:t>
            </w:r>
          </w:p>
        </w:tc>
        <w:tc>
          <w:tcPr>
            <w:tcW w:w="5885" w:type="dxa"/>
            <w:vAlign w:val="center"/>
          </w:tcPr>
          <w:p w14:paraId="123CB10B">
            <w:pPr>
              <w:spacing w:line="360" w:lineRule="auto"/>
              <w:jc w:val="center"/>
              <w:rPr>
                <w:rFonts w:ascii="宋体" w:hAnsi="宋体"/>
              </w:rPr>
            </w:pPr>
            <w:r>
              <w:rPr>
                <w:rFonts w:hint="eastAsia" w:ascii="宋体" w:hAnsi="宋体"/>
              </w:rPr>
              <w:t>连接电机、控制器冷却液管路，加冷却液；连接中冷器管路、排气管路</w:t>
            </w:r>
          </w:p>
        </w:tc>
        <w:tc>
          <w:tcPr>
            <w:tcW w:w="1275" w:type="dxa"/>
            <w:vAlign w:val="center"/>
          </w:tcPr>
          <w:p w14:paraId="55B10A7F">
            <w:pPr>
              <w:spacing w:line="360" w:lineRule="auto"/>
              <w:jc w:val="center"/>
              <w:rPr>
                <w:rFonts w:ascii="宋体" w:hAnsi="宋体"/>
              </w:rPr>
            </w:pPr>
          </w:p>
        </w:tc>
      </w:tr>
      <w:tr w14:paraId="41A28D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Align w:val="center"/>
          </w:tcPr>
          <w:p w14:paraId="7ADDE2DC">
            <w:pPr>
              <w:spacing w:line="360" w:lineRule="auto"/>
              <w:jc w:val="center"/>
              <w:rPr>
                <w:rFonts w:ascii="宋体" w:hAnsi="宋体"/>
              </w:rPr>
            </w:pPr>
            <w:r>
              <w:rPr>
                <w:rFonts w:hint="eastAsia" w:ascii="宋体" w:hAnsi="宋体"/>
              </w:rPr>
              <w:t>4</w:t>
            </w:r>
          </w:p>
        </w:tc>
        <w:tc>
          <w:tcPr>
            <w:tcW w:w="5885" w:type="dxa"/>
            <w:vAlign w:val="center"/>
          </w:tcPr>
          <w:p w14:paraId="5F8FDE88">
            <w:pPr>
              <w:spacing w:line="360" w:lineRule="auto"/>
              <w:jc w:val="center"/>
              <w:rPr>
                <w:rFonts w:ascii="宋体" w:hAnsi="宋体"/>
              </w:rPr>
            </w:pPr>
            <w:r>
              <w:rPr>
                <w:rFonts w:hint="eastAsia" w:ascii="宋体" w:hAnsi="宋体"/>
              </w:rPr>
              <w:t>连接电机U</w:t>
            </w:r>
            <w:r>
              <w:rPr>
                <w:rFonts w:ascii="宋体" w:hAnsi="宋体"/>
              </w:rPr>
              <w:t xml:space="preserve"> V W</w:t>
            </w:r>
            <w:r>
              <w:rPr>
                <w:rFonts w:hint="eastAsia" w:ascii="宋体" w:hAnsi="宋体"/>
              </w:rPr>
              <w:t>，连接控制器 +</w:t>
            </w:r>
            <w:r>
              <w:rPr>
                <w:rFonts w:ascii="宋体" w:hAnsi="宋体"/>
              </w:rPr>
              <w:t xml:space="preserve"> - </w:t>
            </w:r>
            <w:r>
              <w:rPr>
                <w:rFonts w:hint="eastAsia" w:ascii="宋体" w:hAnsi="宋体"/>
              </w:rPr>
              <w:t>动力电缆</w:t>
            </w:r>
          </w:p>
        </w:tc>
        <w:tc>
          <w:tcPr>
            <w:tcW w:w="1275" w:type="dxa"/>
            <w:vAlign w:val="center"/>
          </w:tcPr>
          <w:p w14:paraId="2AD33138">
            <w:pPr>
              <w:spacing w:line="360" w:lineRule="auto"/>
              <w:jc w:val="center"/>
              <w:rPr>
                <w:rFonts w:ascii="宋体" w:hAnsi="宋体"/>
              </w:rPr>
            </w:pPr>
          </w:p>
        </w:tc>
      </w:tr>
      <w:tr w14:paraId="4B0CE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Align w:val="center"/>
          </w:tcPr>
          <w:p w14:paraId="3FECF901">
            <w:pPr>
              <w:spacing w:line="360" w:lineRule="auto"/>
              <w:jc w:val="center"/>
              <w:rPr>
                <w:rFonts w:ascii="宋体" w:hAnsi="宋体"/>
              </w:rPr>
            </w:pPr>
            <w:r>
              <w:rPr>
                <w:rFonts w:hint="eastAsia" w:ascii="宋体" w:hAnsi="宋体"/>
              </w:rPr>
              <w:t>5</w:t>
            </w:r>
          </w:p>
        </w:tc>
        <w:tc>
          <w:tcPr>
            <w:tcW w:w="5885" w:type="dxa"/>
            <w:vAlign w:val="center"/>
          </w:tcPr>
          <w:p w14:paraId="3A2EFA8F">
            <w:pPr>
              <w:spacing w:line="360" w:lineRule="auto"/>
              <w:jc w:val="center"/>
              <w:rPr>
                <w:rFonts w:ascii="宋体" w:hAnsi="宋体"/>
              </w:rPr>
            </w:pPr>
            <w:r>
              <w:rPr>
                <w:rFonts w:hint="eastAsia" w:ascii="宋体" w:hAnsi="宋体"/>
              </w:rPr>
              <w:t>连接E</w:t>
            </w:r>
            <w:r>
              <w:rPr>
                <w:rFonts w:ascii="宋体" w:hAnsi="宋体"/>
              </w:rPr>
              <w:t>CU、</w:t>
            </w:r>
            <w:r>
              <w:rPr>
                <w:rFonts w:hint="eastAsia" w:ascii="宋体" w:hAnsi="宋体"/>
              </w:rPr>
              <w:t>G</w:t>
            </w:r>
            <w:r>
              <w:rPr>
                <w:rFonts w:ascii="宋体" w:hAnsi="宋体"/>
              </w:rPr>
              <w:t>CU等</w:t>
            </w:r>
            <w:r>
              <w:rPr>
                <w:rFonts w:hint="eastAsia" w:ascii="宋体" w:hAnsi="宋体"/>
              </w:rPr>
              <w:t>工艺线束</w:t>
            </w:r>
          </w:p>
        </w:tc>
        <w:tc>
          <w:tcPr>
            <w:tcW w:w="1275" w:type="dxa"/>
            <w:vAlign w:val="center"/>
          </w:tcPr>
          <w:p w14:paraId="23551D19">
            <w:pPr>
              <w:spacing w:line="360" w:lineRule="auto"/>
              <w:jc w:val="center"/>
              <w:rPr>
                <w:rFonts w:ascii="宋体" w:hAnsi="宋体"/>
              </w:rPr>
            </w:pPr>
          </w:p>
        </w:tc>
      </w:tr>
      <w:tr w14:paraId="1B2CB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Align w:val="center"/>
          </w:tcPr>
          <w:p w14:paraId="6F41D9AE">
            <w:pPr>
              <w:spacing w:line="360" w:lineRule="auto"/>
              <w:jc w:val="center"/>
              <w:rPr>
                <w:rFonts w:ascii="宋体" w:hAnsi="宋体"/>
              </w:rPr>
            </w:pPr>
            <w:r>
              <w:rPr>
                <w:rFonts w:hint="eastAsia" w:ascii="宋体" w:hAnsi="宋体"/>
              </w:rPr>
              <w:t>6</w:t>
            </w:r>
          </w:p>
        </w:tc>
        <w:tc>
          <w:tcPr>
            <w:tcW w:w="5885" w:type="dxa"/>
            <w:vAlign w:val="center"/>
          </w:tcPr>
          <w:p w14:paraId="58E96EAE">
            <w:pPr>
              <w:spacing w:line="360" w:lineRule="auto"/>
              <w:jc w:val="center"/>
              <w:rPr>
                <w:rFonts w:ascii="宋体" w:hAnsi="宋体"/>
              </w:rPr>
            </w:pPr>
            <w:r>
              <w:rPr>
                <w:rFonts w:hint="eastAsia" w:ascii="宋体" w:hAnsi="宋体"/>
              </w:rPr>
              <w:t>进行增程器总成出厂试验</w:t>
            </w:r>
          </w:p>
        </w:tc>
        <w:tc>
          <w:tcPr>
            <w:tcW w:w="1275" w:type="dxa"/>
            <w:vAlign w:val="center"/>
          </w:tcPr>
          <w:p w14:paraId="5EA38D83">
            <w:pPr>
              <w:spacing w:line="360" w:lineRule="auto"/>
              <w:jc w:val="center"/>
              <w:rPr>
                <w:rFonts w:ascii="宋体" w:hAnsi="宋体"/>
              </w:rPr>
            </w:pPr>
          </w:p>
        </w:tc>
      </w:tr>
      <w:tr w14:paraId="658AFF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Align w:val="center"/>
          </w:tcPr>
          <w:p w14:paraId="5BB97EEC">
            <w:pPr>
              <w:spacing w:line="360" w:lineRule="auto"/>
              <w:jc w:val="center"/>
              <w:rPr>
                <w:rFonts w:ascii="宋体" w:hAnsi="宋体"/>
              </w:rPr>
            </w:pPr>
            <w:r>
              <w:rPr>
                <w:rFonts w:hint="eastAsia" w:ascii="宋体" w:hAnsi="宋体"/>
              </w:rPr>
              <w:t>7</w:t>
            </w:r>
          </w:p>
        </w:tc>
        <w:tc>
          <w:tcPr>
            <w:tcW w:w="5885" w:type="dxa"/>
            <w:vAlign w:val="center"/>
          </w:tcPr>
          <w:p w14:paraId="315699BF">
            <w:pPr>
              <w:spacing w:line="360" w:lineRule="auto"/>
              <w:jc w:val="center"/>
              <w:rPr>
                <w:rFonts w:ascii="宋体" w:hAnsi="宋体"/>
              </w:rPr>
            </w:pPr>
            <w:r>
              <w:rPr>
                <w:rFonts w:hint="eastAsia" w:ascii="宋体" w:hAnsi="宋体"/>
              </w:rPr>
              <w:t>试验结束后，脱开工艺线束，脱开电缆</w:t>
            </w:r>
          </w:p>
        </w:tc>
        <w:tc>
          <w:tcPr>
            <w:tcW w:w="1275" w:type="dxa"/>
            <w:vAlign w:val="center"/>
          </w:tcPr>
          <w:p w14:paraId="6919DFA5">
            <w:pPr>
              <w:spacing w:line="360" w:lineRule="auto"/>
              <w:jc w:val="center"/>
              <w:rPr>
                <w:rFonts w:ascii="宋体" w:hAnsi="宋体"/>
              </w:rPr>
            </w:pPr>
          </w:p>
        </w:tc>
      </w:tr>
      <w:tr w14:paraId="6934F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Align w:val="center"/>
          </w:tcPr>
          <w:p w14:paraId="78AF0E07">
            <w:pPr>
              <w:spacing w:line="360" w:lineRule="auto"/>
              <w:jc w:val="center"/>
              <w:rPr>
                <w:rFonts w:ascii="宋体" w:hAnsi="宋体"/>
              </w:rPr>
            </w:pPr>
            <w:r>
              <w:rPr>
                <w:rFonts w:hint="eastAsia" w:ascii="宋体" w:hAnsi="宋体"/>
              </w:rPr>
              <w:t>8</w:t>
            </w:r>
          </w:p>
        </w:tc>
        <w:tc>
          <w:tcPr>
            <w:tcW w:w="5885" w:type="dxa"/>
            <w:vAlign w:val="center"/>
          </w:tcPr>
          <w:p w14:paraId="225448C3">
            <w:pPr>
              <w:spacing w:line="360" w:lineRule="auto"/>
              <w:jc w:val="center"/>
              <w:rPr>
                <w:rFonts w:ascii="宋体" w:hAnsi="宋体"/>
              </w:rPr>
            </w:pPr>
            <w:r>
              <w:rPr>
                <w:rFonts w:hint="eastAsia" w:ascii="宋体" w:hAnsi="宋体"/>
              </w:rPr>
              <w:t>抽冷却液，脱开所有管路</w:t>
            </w:r>
          </w:p>
        </w:tc>
        <w:tc>
          <w:tcPr>
            <w:tcW w:w="1275" w:type="dxa"/>
            <w:vAlign w:val="center"/>
          </w:tcPr>
          <w:p w14:paraId="16C0EB5F">
            <w:pPr>
              <w:spacing w:line="360" w:lineRule="auto"/>
              <w:jc w:val="center"/>
              <w:rPr>
                <w:rFonts w:ascii="宋体" w:hAnsi="宋体"/>
              </w:rPr>
            </w:pPr>
          </w:p>
        </w:tc>
      </w:tr>
      <w:tr w14:paraId="5D05A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Align w:val="center"/>
          </w:tcPr>
          <w:p w14:paraId="080BB1A9">
            <w:pPr>
              <w:spacing w:line="360" w:lineRule="auto"/>
              <w:jc w:val="center"/>
              <w:rPr>
                <w:rFonts w:ascii="宋体" w:hAnsi="宋体"/>
              </w:rPr>
            </w:pPr>
            <w:r>
              <w:rPr>
                <w:rFonts w:hint="eastAsia" w:ascii="宋体" w:hAnsi="宋体"/>
              </w:rPr>
              <w:t>9</w:t>
            </w:r>
          </w:p>
        </w:tc>
        <w:tc>
          <w:tcPr>
            <w:tcW w:w="5885" w:type="dxa"/>
            <w:vAlign w:val="center"/>
          </w:tcPr>
          <w:p w14:paraId="1A7BF776">
            <w:pPr>
              <w:spacing w:line="360" w:lineRule="auto"/>
              <w:jc w:val="center"/>
              <w:rPr>
                <w:rFonts w:ascii="宋体" w:hAnsi="宋体"/>
              </w:rPr>
            </w:pPr>
            <w:r>
              <w:rPr>
                <w:rFonts w:hint="eastAsia" w:ascii="宋体" w:hAnsi="宋体"/>
              </w:rPr>
              <w:t>发动机托盘退出台架，待A</w:t>
            </w:r>
            <w:r>
              <w:rPr>
                <w:rFonts w:ascii="宋体" w:hAnsi="宋体"/>
              </w:rPr>
              <w:t>GV转</w:t>
            </w:r>
            <w:r>
              <w:rPr>
                <w:rFonts w:hint="eastAsia" w:ascii="宋体" w:hAnsi="宋体"/>
              </w:rPr>
              <w:t>运</w:t>
            </w:r>
          </w:p>
        </w:tc>
        <w:tc>
          <w:tcPr>
            <w:tcW w:w="1275" w:type="dxa"/>
            <w:vAlign w:val="center"/>
          </w:tcPr>
          <w:p w14:paraId="2E9EFB2C">
            <w:pPr>
              <w:spacing w:line="360" w:lineRule="auto"/>
              <w:jc w:val="center"/>
              <w:rPr>
                <w:rFonts w:ascii="宋体" w:hAnsi="宋体"/>
              </w:rPr>
            </w:pPr>
          </w:p>
        </w:tc>
      </w:tr>
    </w:tbl>
    <w:p w14:paraId="5AA561E6">
      <w:pPr>
        <w:spacing w:line="360" w:lineRule="auto"/>
        <w:rPr>
          <w:rFonts w:ascii="宋体"/>
          <w:sz w:val="24"/>
        </w:rPr>
      </w:pPr>
      <w:r>
        <w:rPr>
          <w:rFonts w:ascii="宋体"/>
          <w:sz w:val="24"/>
        </w:rPr>
        <w:t>*</w:t>
      </w:r>
      <w:r>
        <w:rPr>
          <w:rFonts w:hint="eastAsia" w:ascii="宋体"/>
          <w:sz w:val="24"/>
        </w:rPr>
        <w:t>4</w:t>
      </w:r>
      <w:r>
        <w:rPr>
          <w:rFonts w:ascii="宋体"/>
          <w:sz w:val="24"/>
        </w:rPr>
        <w:t>.4配</w:t>
      </w:r>
      <w:r>
        <w:rPr>
          <w:rFonts w:hint="eastAsia" w:ascii="宋体"/>
          <w:sz w:val="24"/>
        </w:rPr>
        <w:t>备一台双向直流电源（电池模拟器），</w:t>
      </w:r>
      <w:r>
        <w:rPr>
          <w:rFonts w:hint="eastAsia"/>
        </w:rPr>
        <w:t>选用科威尔品牌</w:t>
      </w:r>
      <w:r>
        <w:rPr>
          <w:sz w:val="23"/>
          <w:szCs w:val="23"/>
        </w:rPr>
        <w:t>D2000N型</w:t>
      </w:r>
      <w:r>
        <w:rPr>
          <w:rFonts w:hint="eastAsia" w:ascii="宋体"/>
          <w:sz w:val="24"/>
        </w:rPr>
        <w:t>，额定功率</w:t>
      </w:r>
      <w:r>
        <w:rPr>
          <w:rFonts w:ascii="宋体"/>
          <w:sz w:val="24"/>
        </w:rPr>
        <w:t>300kW，电</w:t>
      </w:r>
      <w:r>
        <w:rPr>
          <w:rFonts w:hint="eastAsia" w:ascii="宋体"/>
          <w:sz w:val="24"/>
        </w:rPr>
        <w:t>压范围覆盖</w:t>
      </w:r>
      <w:r>
        <w:rPr>
          <w:rFonts w:ascii="宋体"/>
          <w:sz w:val="24"/>
        </w:rPr>
        <w:t>24</w:t>
      </w:r>
      <w:r>
        <w:rPr>
          <w:rFonts w:hint="eastAsia" w:ascii="宋体"/>
          <w:sz w:val="24"/>
        </w:rPr>
        <w:t>～</w:t>
      </w:r>
      <w:r>
        <w:rPr>
          <w:rFonts w:ascii="宋体"/>
          <w:sz w:val="24"/>
        </w:rPr>
        <w:t>1200V。电池模</w:t>
      </w:r>
      <w:r>
        <w:rPr>
          <w:rFonts w:hint="eastAsia" w:ascii="宋体"/>
          <w:sz w:val="24"/>
        </w:rPr>
        <w:t>拟器具有自定义电池模型功能、自诊断和保护功能、自放电功能、急停功能等。</w:t>
      </w:r>
    </w:p>
    <w:p w14:paraId="7C75B046">
      <w:pPr>
        <w:numPr>
          <w:ilvl w:val="0"/>
          <w:numId w:val="11"/>
        </w:numPr>
        <w:suppressAutoHyphens w:val="0"/>
        <w:overflowPunct/>
        <w:spacing w:line="360" w:lineRule="auto"/>
        <w:jc w:val="both"/>
        <w:rPr>
          <w:rFonts w:ascii="宋体"/>
          <w:sz w:val="24"/>
        </w:rPr>
      </w:pPr>
      <w:r>
        <w:rPr>
          <w:rFonts w:hint="eastAsia" w:ascii="宋体"/>
          <w:sz w:val="24"/>
        </w:rPr>
        <w:t>电压精度：±</w:t>
      </w:r>
      <w:r>
        <w:rPr>
          <w:sz w:val="23"/>
          <w:szCs w:val="23"/>
        </w:rPr>
        <w:t>0.05%F.S.</w:t>
      </w:r>
      <w:r>
        <w:rPr>
          <w:rFonts w:hint="eastAsia" w:ascii="宋体"/>
          <w:sz w:val="24"/>
        </w:rPr>
        <w:t>；</w:t>
      </w:r>
    </w:p>
    <w:p w14:paraId="5CE9DEE6">
      <w:pPr>
        <w:numPr>
          <w:ilvl w:val="0"/>
          <w:numId w:val="11"/>
        </w:numPr>
        <w:suppressAutoHyphens w:val="0"/>
        <w:overflowPunct/>
        <w:spacing w:line="360" w:lineRule="auto"/>
        <w:jc w:val="both"/>
        <w:rPr>
          <w:rFonts w:ascii="宋体"/>
          <w:sz w:val="24"/>
        </w:rPr>
      </w:pPr>
      <w:r>
        <w:rPr>
          <w:rFonts w:hint="eastAsia" w:ascii="宋体"/>
          <w:sz w:val="24"/>
        </w:rPr>
        <w:t>电流精度：±</w:t>
      </w:r>
      <w:r>
        <w:rPr>
          <w:sz w:val="23"/>
          <w:szCs w:val="23"/>
        </w:rPr>
        <w:t>0.1%F.S.</w:t>
      </w:r>
      <w:r>
        <w:rPr>
          <w:rFonts w:hint="eastAsia" w:ascii="宋体"/>
          <w:sz w:val="24"/>
        </w:rPr>
        <w:t>；</w:t>
      </w:r>
    </w:p>
    <w:p w14:paraId="14032D74">
      <w:pPr>
        <w:numPr>
          <w:ilvl w:val="0"/>
          <w:numId w:val="11"/>
        </w:numPr>
        <w:suppressAutoHyphens w:val="0"/>
        <w:overflowPunct/>
        <w:spacing w:line="360" w:lineRule="auto"/>
        <w:jc w:val="both"/>
        <w:rPr>
          <w:rFonts w:ascii="宋体"/>
          <w:sz w:val="24"/>
        </w:rPr>
      </w:pPr>
      <w:r>
        <w:rPr>
          <w:rFonts w:hint="eastAsia" w:ascii="宋体"/>
          <w:sz w:val="24"/>
        </w:rPr>
        <w:t>电压斜率：1</w:t>
      </w:r>
      <w:r>
        <w:rPr>
          <w:rFonts w:ascii="宋体"/>
          <w:sz w:val="24"/>
        </w:rPr>
        <w:t>00V/ms</w:t>
      </w:r>
      <w:r>
        <w:rPr>
          <w:rFonts w:hint="eastAsia" w:ascii="宋体"/>
          <w:sz w:val="24"/>
        </w:rPr>
        <w:t>；</w:t>
      </w:r>
    </w:p>
    <w:p w14:paraId="60AB7B58">
      <w:pPr>
        <w:numPr>
          <w:ilvl w:val="0"/>
          <w:numId w:val="11"/>
        </w:numPr>
        <w:suppressAutoHyphens w:val="0"/>
        <w:overflowPunct/>
        <w:spacing w:line="360" w:lineRule="auto"/>
        <w:jc w:val="both"/>
        <w:rPr>
          <w:rFonts w:ascii="宋体"/>
          <w:sz w:val="24"/>
        </w:rPr>
      </w:pPr>
      <w:r>
        <w:rPr>
          <w:rFonts w:hint="eastAsia" w:ascii="宋体"/>
          <w:sz w:val="24"/>
        </w:rPr>
        <w:t>响应时间：2</w:t>
      </w:r>
      <w:r>
        <w:rPr>
          <w:rFonts w:ascii="宋体"/>
          <w:sz w:val="24"/>
        </w:rPr>
        <w:t>ms</w:t>
      </w:r>
      <w:r>
        <w:rPr>
          <w:rFonts w:hint="eastAsia" w:ascii="宋体"/>
          <w:sz w:val="24"/>
        </w:rPr>
        <w:t>；</w:t>
      </w:r>
    </w:p>
    <w:p w14:paraId="22C1EB6F">
      <w:pPr>
        <w:spacing w:line="360" w:lineRule="auto"/>
        <w:rPr>
          <w:rFonts w:ascii="宋体"/>
          <w:sz w:val="24"/>
        </w:rPr>
      </w:pPr>
      <w:r>
        <w:rPr>
          <w:rFonts w:hint="eastAsia" w:ascii="宋体"/>
          <w:sz w:val="24"/>
        </w:rPr>
        <w:t>4</w:t>
      </w:r>
      <w:r>
        <w:rPr>
          <w:rFonts w:ascii="宋体"/>
          <w:sz w:val="24"/>
        </w:rPr>
        <w:t>.5</w:t>
      </w:r>
      <w:r>
        <w:rPr>
          <w:rFonts w:hint="eastAsia" w:ascii="宋体"/>
          <w:sz w:val="24"/>
        </w:rPr>
        <w:t>在双向直流电源端配江苏斯菲尔</w:t>
      </w:r>
      <w:r>
        <w:rPr>
          <w:rFonts w:ascii="宋体"/>
          <w:sz w:val="24"/>
        </w:rPr>
        <w:t>PD194Z-2SY</w:t>
      </w:r>
      <w:r>
        <w:rPr>
          <w:rFonts w:hint="eastAsia" w:ascii="宋体"/>
          <w:sz w:val="24"/>
        </w:rPr>
        <w:t>双向计量电能表（及其附件），电能表具有通信功能，需把电能表的耗电量和馈电量等信息集成到台架主控系统中，实时显示和累计显示耗电量和馈电量，能与发动机运行数据同步记录。</w:t>
      </w:r>
    </w:p>
    <w:p w14:paraId="79303EF2">
      <w:pPr>
        <w:spacing w:line="360" w:lineRule="auto"/>
        <w:rPr>
          <w:rFonts w:ascii="宋体"/>
          <w:sz w:val="24"/>
        </w:rPr>
      </w:pPr>
      <w:r>
        <w:rPr>
          <w:rFonts w:hint="eastAsia" w:ascii="宋体"/>
          <w:sz w:val="24"/>
        </w:rPr>
        <w:t>4</w:t>
      </w:r>
      <w:r>
        <w:rPr>
          <w:rFonts w:ascii="宋体"/>
          <w:sz w:val="24"/>
        </w:rPr>
        <w:t>.6</w:t>
      </w:r>
      <w:r>
        <w:rPr>
          <w:rFonts w:hint="eastAsia" w:ascii="宋体"/>
          <w:sz w:val="24"/>
        </w:rPr>
        <w:t>新增增程电机控制器至双向直流电源的屏蔽电缆，正极、负极、地线各一根，正极、负极线缆耐压1500V，工作温度-40℃至+125℃，线径120mm</w:t>
      </w:r>
      <w:r>
        <w:rPr>
          <w:rFonts w:hint="eastAsia" w:ascii="宋体"/>
          <w:sz w:val="24"/>
          <w:vertAlign w:val="superscript"/>
        </w:rPr>
        <w:t>2</w:t>
      </w:r>
      <w:r>
        <w:rPr>
          <w:rFonts w:hint="eastAsia" w:ascii="宋体"/>
          <w:sz w:val="24"/>
        </w:rPr>
        <w:t>，外套橙色闭口波纹管，按图</w:t>
      </w:r>
      <w:r>
        <w:rPr>
          <w:rFonts w:ascii="宋体"/>
          <w:sz w:val="24"/>
        </w:rPr>
        <w:t>2</w:t>
      </w:r>
      <w:r>
        <w:rPr>
          <w:rFonts w:hint="eastAsia" w:ascii="宋体"/>
          <w:sz w:val="24"/>
        </w:rPr>
        <w:t>处理电机控制器端的屏蔽层，双向直流电源端的屏蔽层可直接焊接导线后接地。地线线径不小于7</w:t>
      </w:r>
      <w:r>
        <w:rPr>
          <w:rFonts w:ascii="宋体"/>
          <w:sz w:val="24"/>
        </w:rPr>
        <w:t>0</w:t>
      </w:r>
      <w:r>
        <w:rPr>
          <w:rFonts w:hint="eastAsia" w:ascii="宋体"/>
          <w:sz w:val="24"/>
        </w:rPr>
        <w:t xml:space="preserve"> mm</w:t>
      </w:r>
      <w:r>
        <w:rPr>
          <w:rFonts w:hint="eastAsia" w:ascii="宋体"/>
          <w:sz w:val="24"/>
          <w:vertAlign w:val="superscript"/>
        </w:rPr>
        <w:t>2</w:t>
      </w:r>
      <w:r>
        <w:rPr>
          <w:rFonts w:ascii="宋体"/>
          <w:sz w:val="24"/>
        </w:rPr>
        <w:t>，</w:t>
      </w:r>
      <w:r>
        <w:rPr>
          <w:rFonts w:hint="eastAsia" w:ascii="宋体"/>
          <w:sz w:val="24"/>
        </w:rPr>
        <w:t>在台架大底板上设地线固定点或地线桩</w:t>
      </w:r>
      <w:r>
        <w:rPr>
          <w:rFonts w:ascii="宋体"/>
          <w:sz w:val="24"/>
        </w:rPr>
        <w:t>。</w:t>
      </w:r>
    </w:p>
    <w:p w14:paraId="04FF3810">
      <w:pPr>
        <w:spacing w:line="360" w:lineRule="auto"/>
        <w:jc w:val="center"/>
        <w:rPr>
          <w:rFonts w:ascii="宋体"/>
          <w:sz w:val="24"/>
        </w:rPr>
      </w:pPr>
      <w:r>
        <w:rPr>
          <w:rFonts w:ascii="宋体"/>
          <w:sz w:val="24"/>
        </w:rPr>
        <w:t xml:space="preserve">图2  </w:t>
      </w:r>
      <w:r>
        <w:rPr>
          <w:rFonts w:hint="eastAsia" w:ascii="宋体"/>
          <w:sz w:val="24"/>
        </w:rPr>
        <w:t>电缆剥线示意图</w:t>
      </w:r>
    </w:p>
    <w:p w14:paraId="44E684B7">
      <w:pPr>
        <w:spacing w:line="360" w:lineRule="auto"/>
        <w:jc w:val="center"/>
        <w:rPr>
          <w:rFonts w:ascii="宋体"/>
          <w:sz w:val="24"/>
        </w:rPr>
      </w:pPr>
      <w:r>
        <w:drawing>
          <wp:inline distT="0" distB="0" distL="0" distR="0">
            <wp:extent cx="5124450" cy="2652395"/>
            <wp:effectExtent l="0" t="0" r="11430" b="14605"/>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pic:cNvPicPr>
                  </pic:nvPicPr>
                  <pic:blipFill>
                    <a:blip r:embed="rId48"/>
                    <a:stretch>
                      <a:fillRect/>
                    </a:stretch>
                  </pic:blipFill>
                  <pic:spPr>
                    <a:xfrm>
                      <a:off x="0" y="0"/>
                      <a:ext cx="5168892" cy="2675628"/>
                    </a:xfrm>
                    <a:prstGeom prst="rect">
                      <a:avLst/>
                    </a:prstGeom>
                  </pic:spPr>
                </pic:pic>
              </a:graphicData>
            </a:graphic>
          </wp:inline>
        </w:drawing>
      </w:r>
    </w:p>
    <w:p w14:paraId="40CA02B1">
      <w:pPr>
        <w:spacing w:line="360" w:lineRule="auto"/>
        <w:ind w:firstLine="480" w:firstLineChars="200"/>
        <w:rPr>
          <w:rFonts w:ascii="宋体"/>
          <w:sz w:val="24"/>
        </w:rPr>
      </w:pPr>
    </w:p>
    <w:p w14:paraId="669B5FCF">
      <w:pPr>
        <w:spacing w:line="360" w:lineRule="auto"/>
        <w:rPr>
          <w:rFonts w:ascii="宋体"/>
          <w:sz w:val="24"/>
        </w:rPr>
      </w:pPr>
      <w:r>
        <w:rPr>
          <w:rFonts w:hint="eastAsia" w:ascii="宋体"/>
          <w:sz w:val="24"/>
        </w:rPr>
        <w:t>4</w:t>
      </w:r>
      <w:r>
        <w:rPr>
          <w:rFonts w:ascii="宋体"/>
          <w:sz w:val="24"/>
        </w:rPr>
        <w:t>.7</w:t>
      </w:r>
      <w:r>
        <w:rPr>
          <w:rFonts w:hint="eastAsia" w:ascii="宋体"/>
          <w:sz w:val="24"/>
        </w:rPr>
        <w:t>台架间内设一个隔离开关，两相单投，用于员工拆装增程器端高压电缆时有明确可见的物理隔断措施。隔离开关处电缆的屏蔽层应妥善接地，隔离开关配有防护罩。隔离开关的下桩（发动机侧）配有指示灯，当下桩电压低于36VDC时亮绿色指示灯；高于36VDC时亮红色指示灯。</w:t>
      </w:r>
    </w:p>
    <w:p w14:paraId="6B9F6500">
      <w:pPr>
        <w:spacing w:line="360" w:lineRule="auto"/>
        <w:rPr>
          <w:rFonts w:ascii="宋体"/>
          <w:sz w:val="24"/>
        </w:rPr>
      </w:pPr>
      <w:r>
        <w:rPr>
          <w:rFonts w:hint="eastAsia" w:ascii="宋体"/>
          <w:sz w:val="24"/>
        </w:rPr>
        <w:t>4</w:t>
      </w:r>
      <w:r>
        <w:rPr>
          <w:rFonts w:ascii="宋体"/>
          <w:sz w:val="24"/>
        </w:rPr>
        <w:t>.8</w:t>
      </w:r>
      <w:r>
        <w:rPr>
          <w:rFonts w:hint="eastAsia" w:ascii="宋体"/>
          <w:sz w:val="24"/>
        </w:rPr>
        <w:t>电机、控制器分别配接地线，导线导电截面不小于35m</w:t>
      </w:r>
      <w:r>
        <w:rPr>
          <w:rFonts w:ascii="宋体"/>
          <w:sz w:val="24"/>
        </w:rPr>
        <w:t>m</w:t>
      </w:r>
      <w:r>
        <w:rPr>
          <w:rFonts w:ascii="宋体"/>
          <w:sz w:val="24"/>
          <w:vertAlign w:val="superscript"/>
        </w:rPr>
        <w:t>2</w:t>
      </w:r>
      <w:r>
        <w:rPr>
          <w:rFonts w:hint="eastAsia" w:ascii="宋体"/>
          <w:sz w:val="24"/>
        </w:rPr>
        <w:t>，另一端固定于台架大底板地线固定点或地线桩上。</w:t>
      </w:r>
    </w:p>
    <w:p w14:paraId="0C84E420">
      <w:pPr>
        <w:spacing w:line="360" w:lineRule="auto"/>
        <w:rPr>
          <w:rFonts w:ascii="宋体"/>
          <w:sz w:val="24"/>
        </w:rPr>
      </w:pPr>
      <w:r>
        <w:rPr>
          <w:rFonts w:ascii="宋体"/>
          <w:sz w:val="24"/>
        </w:rPr>
        <w:t>4.9</w:t>
      </w:r>
      <w:r>
        <w:rPr>
          <w:rFonts w:hint="eastAsia" w:ascii="宋体"/>
          <w:sz w:val="24"/>
        </w:rPr>
        <w:t>新增一套增程器电机和控制器恒温装置，温度、流量、压力可调。可向电机和控制器充液，并由水泵驱动冷却液循环流动；可回收冷却液，并能通过压缩空气吹扫（吹扫压力不高于2</w:t>
      </w:r>
      <w:r>
        <w:rPr>
          <w:rFonts w:ascii="宋体"/>
          <w:sz w:val="24"/>
        </w:rPr>
        <w:t>00kPa</w:t>
      </w:r>
      <w:r>
        <w:rPr>
          <w:rFonts w:hint="eastAsia" w:ascii="宋体"/>
          <w:sz w:val="24"/>
        </w:rPr>
        <w:t>）</w:t>
      </w:r>
      <w:r>
        <w:rPr>
          <w:rFonts w:ascii="宋体"/>
          <w:sz w:val="24"/>
        </w:rPr>
        <w:t>,</w:t>
      </w:r>
      <w:r>
        <w:rPr>
          <w:rFonts w:hint="eastAsia" w:ascii="宋体"/>
          <w:sz w:val="24"/>
        </w:rPr>
        <w:t>系统有排气功能和膨胀功能。温度调节范围45</w:t>
      </w:r>
      <w:r>
        <w:rPr>
          <w:rFonts w:ascii="Arial" w:hAnsi="Arial" w:cs="Arial"/>
          <w:sz w:val="24"/>
        </w:rPr>
        <w:t>~</w:t>
      </w:r>
      <w:r>
        <w:rPr>
          <w:rFonts w:ascii="宋体"/>
          <w:sz w:val="24"/>
        </w:rPr>
        <w:t>75</w:t>
      </w:r>
      <w:r>
        <w:rPr>
          <w:rFonts w:hint="eastAsia" w:ascii="宋体"/>
          <w:sz w:val="24"/>
        </w:rPr>
        <w:t>℃，控制精度为±</w:t>
      </w:r>
      <w:r>
        <w:rPr>
          <w:rFonts w:ascii="宋体"/>
          <w:sz w:val="24"/>
        </w:rPr>
        <w:t>2</w:t>
      </w:r>
      <w:r>
        <w:rPr>
          <w:rFonts w:hint="eastAsia" w:ascii="宋体"/>
          <w:sz w:val="24"/>
        </w:rPr>
        <w:t>℃之内，响应时间＜10秒；流量调节范围不小于</w:t>
      </w:r>
      <w:r>
        <w:rPr>
          <w:rFonts w:ascii="宋体"/>
          <w:sz w:val="24"/>
        </w:rPr>
        <w:t>10</w:t>
      </w:r>
      <w:r>
        <w:rPr>
          <w:rFonts w:ascii="Arial" w:hAnsi="Arial" w:cs="Arial"/>
          <w:sz w:val="24"/>
        </w:rPr>
        <w:t>~</w:t>
      </w:r>
      <w:r>
        <w:rPr>
          <w:rFonts w:ascii="宋体"/>
          <w:sz w:val="24"/>
        </w:rPr>
        <w:t>50</w:t>
      </w:r>
      <w:r>
        <w:rPr>
          <w:rFonts w:hint="eastAsia" w:ascii="宋体"/>
          <w:sz w:val="24"/>
        </w:rPr>
        <w:t>L，流量控制精度±</w:t>
      </w:r>
      <w:r>
        <w:rPr>
          <w:rFonts w:ascii="宋体"/>
          <w:sz w:val="24"/>
        </w:rPr>
        <w:t>0.5</w:t>
      </w:r>
      <w:r>
        <w:rPr>
          <w:rFonts w:hint="eastAsia" w:ascii="宋体"/>
          <w:sz w:val="24"/>
        </w:rPr>
        <w:t>L之内，响应时间＜10秒；压力调节范围为0</w:t>
      </w:r>
      <w:r>
        <w:rPr>
          <w:rFonts w:ascii="Arial" w:hAnsi="Arial" w:cs="Arial"/>
          <w:sz w:val="24"/>
        </w:rPr>
        <w:t>~</w:t>
      </w:r>
      <w:r>
        <w:rPr>
          <w:rFonts w:ascii="宋体"/>
          <w:sz w:val="24"/>
        </w:rPr>
        <w:t>300k</w:t>
      </w:r>
      <w:r>
        <w:rPr>
          <w:rFonts w:hint="eastAsia" w:ascii="宋体"/>
          <w:sz w:val="24"/>
        </w:rPr>
        <w:t>Pa，精度±1</w:t>
      </w:r>
      <w:r>
        <w:rPr>
          <w:rFonts w:ascii="宋体"/>
          <w:sz w:val="24"/>
        </w:rPr>
        <w:t>0kPa</w:t>
      </w:r>
      <w:r>
        <w:rPr>
          <w:rFonts w:hint="eastAsia" w:ascii="宋体"/>
          <w:sz w:val="24"/>
        </w:rPr>
        <w:t>之内。冷却介质与发动机防冻液相同，可共用发动机防冻液的储液箱。冷却液流向为：恒温装置</w:t>
      </w:r>
      <w:r>
        <w:rPr>
          <w:rFonts w:hint="eastAsia" w:asciiTheme="minorEastAsia" w:hAnsiTheme="minorEastAsia"/>
          <w:sz w:val="24"/>
        </w:rPr>
        <w:t>→控制器→</w:t>
      </w:r>
      <w:r>
        <w:rPr>
          <w:rFonts w:hint="eastAsia" w:ascii="宋体"/>
          <w:sz w:val="24"/>
        </w:rPr>
        <w:t>电机</w:t>
      </w:r>
      <w:r>
        <w:rPr>
          <w:rFonts w:hint="eastAsia" w:asciiTheme="minorEastAsia" w:hAnsiTheme="minorEastAsia"/>
          <w:sz w:val="24"/>
        </w:rPr>
        <w:t>→</w:t>
      </w:r>
      <w:r>
        <w:rPr>
          <w:rFonts w:hint="eastAsia" w:ascii="宋体"/>
          <w:sz w:val="24"/>
        </w:rPr>
        <w:t>恒温装置。在控制器前管路布控制器进水温度传感器，在控制器后管路布控制器出水温度传感器，在电机后管路布电机出水温度传感器。在增程器台架防冻液冷却介质进水管路上布冷却介质1温度传感器，在增程器台架中冷器冷却介质进水管路上布冷却介质2温度传感器。</w:t>
      </w:r>
    </w:p>
    <w:p w14:paraId="6F7DDF23">
      <w:pPr>
        <w:spacing w:line="360" w:lineRule="auto"/>
        <w:rPr>
          <w:rFonts w:ascii="宋体"/>
          <w:sz w:val="24"/>
        </w:rPr>
      </w:pPr>
      <w:r>
        <w:rPr>
          <w:rFonts w:hint="eastAsia" w:ascii="宋体"/>
          <w:sz w:val="24"/>
        </w:rPr>
        <w:t>4</w:t>
      </w:r>
      <w:r>
        <w:rPr>
          <w:rFonts w:ascii="宋体"/>
          <w:sz w:val="24"/>
        </w:rPr>
        <w:t>.10测</w:t>
      </w:r>
      <w:r>
        <w:rPr>
          <w:rFonts w:hint="eastAsia" w:ascii="宋体"/>
          <w:sz w:val="24"/>
        </w:rPr>
        <w:t>控系统能读取双向</w:t>
      </w:r>
      <w:r>
        <w:rPr>
          <w:rFonts w:ascii="宋体"/>
          <w:sz w:val="24"/>
        </w:rPr>
        <w:t>直流电源的实</w:t>
      </w:r>
      <w:r>
        <w:rPr>
          <w:rFonts w:hint="eastAsia" w:ascii="宋体"/>
          <w:sz w:val="24"/>
        </w:rPr>
        <w:t>时功率、电压、电流等参数，读取电机控制器的实时功率、扭矩、电压、电流等参数，并与增程器台架试验数据一并显示、记录。</w:t>
      </w:r>
    </w:p>
    <w:p w14:paraId="6E3F717B">
      <w:pPr>
        <w:spacing w:line="360" w:lineRule="auto"/>
        <w:ind w:firstLine="480" w:firstLineChars="200"/>
        <w:rPr>
          <w:rFonts w:ascii="宋体"/>
          <w:sz w:val="24"/>
        </w:rPr>
      </w:pPr>
    </w:p>
    <w:p w14:paraId="03A4B4ED">
      <w:pPr>
        <w:spacing w:line="360" w:lineRule="auto"/>
        <w:rPr>
          <w:rFonts w:ascii="宋体"/>
          <w:b/>
          <w:sz w:val="24"/>
        </w:rPr>
      </w:pPr>
      <w:r>
        <w:rPr>
          <w:rFonts w:hint="eastAsia" w:ascii="宋体"/>
          <w:b/>
          <w:sz w:val="24"/>
        </w:rPr>
        <w:t>5</w:t>
      </w:r>
      <w:r>
        <w:rPr>
          <w:rFonts w:ascii="宋体"/>
          <w:b/>
          <w:sz w:val="24"/>
        </w:rPr>
        <w:t>.台架输</w:t>
      </w:r>
      <w:r>
        <w:rPr>
          <w:rFonts w:hint="eastAsia" w:ascii="宋体"/>
          <w:b/>
          <w:sz w:val="24"/>
        </w:rPr>
        <w:t>送对接系统</w:t>
      </w:r>
    </w:p>
    <w:p w14:paraId="5257562F">
      <w:pPr>
        <w:spacing w:line="360" w:lineRule="auto"/>
        <w:rPr>
          <w:rFonts w:ascii="宋体"/>
          <w:sz w:val="24"/>
        </w:rPr>
      </w:pPr>
      <w:r>
        <w:rPr>
          <w:rFonts w:hint="eastAsia" w:ascii="宋体"/>
          <w:sz w:val="24"/>
        </w:rPr>
        <w:t>5</w:t>
      </w:r>
      <w:r>
        <w:rPr>
          <w:rFonts w:ascii="宋体"/>
          <w:sz w:val="24"/>
        </w:rPr>
        <w:t>.1</w:t>
      </w:r>
      <w:r>
        <w:rPr>
          <w:rFonts w:hint="eastAsia" w:ascii="宋体"/>
          <w:sz w:val="24"/>
        </w:rPr>
        <w:t>试验台快速对接系统结合控制系统可实现如下动作：</w:t>
      </w:r>
    </w:p>
    <w:p w14:paraId="18B4CEE3">
      <w:pPr>
        <w:numPr>
          <w:ilvl w:val="0"/>
          <w:numId w:val="13"/>
        </w:numPr>
        <w:suppressAutoHyphens w:val="0"/>
        <w:overflowPunct/>
        <w:spacing w:line="360" w:lineRule="auto"/>
        <w:ind w:hanging="49"/>
        <w:jc w:val="both"/>
        <w:rPr>
          <w:rFonts w:ascii="宋体"/>
          <w:sz w:val="24"/>
        </w:rPr>
      </w:pPr>
      <w:r>
        <w:rPr>
          <w:rFonts w:hint="eastAsia" w:ascii="宋体"/>
          <w:sz w:val="24"/>
        </w:rPr>
        <w:t>托盘自动进出试验台</w:t>
      </w:r>
    </w:p>
    <w:p w14:paraId="68B5D516">
      <w:pPr>
        <w:numPr>
          <w:ilvl w:val="0"/>
          <w:numId w:val="14"/>
        </w:numPr>
        <w:suppressAutoHyphens w:val="0"/>
        <w:overflowPunct/>
        <w:spacing w:line="360" w:lineRule="auto"/>
        <w:ind w:hanging="49"/>
        <w:jc w:val="both"/>
        <w:rPr>
          <w:rFonts w:ascii="宋体"/>
          <w:sz w:val="24"/>
        </w:rPr>
      </w:pPr>
      <w:r>
        <w:rPr>
          <w:rFonts w:hint="eastAsia" w:ascii="宋体"/>
          <w:sz w:val="24"/>
        </w:rPr>
        <w:t>托盘自动在试验台的定位</w:t>
      </w:r>
    </w:p>
    <w:p w14:paraId="0F669506">
      <w:pPr>
        <w:numPr>
          <w:ilvl w:val="0"/>
          <w:numId w:val="14"/>
        </w:numPr>
        <w:suppressAutoHyphens w:val="0"/>
        <w:overflowPunct/>
        <w:spacing w:line="360" w:lineRule="auto"/>
        <w:ind w:hanging="49"/>
        <w:jc w:val="both"/>
        <w:rPr>
          <w:rFonts w:ascii="宋体"/>
          <w:sz w:val="24"/>
        </w:rPr>
      </w:pPr>
      <w:r>
        <w:rPr>
          <w:rFonts w:hint="eastAsia" w:ascii="宋体"/>
          <w:sz w:val="24"/>
        </w:rPr>
        <w:t>托盘自动在试验台的压紧和松开</w:t>
      </w:r>
    </w:p>
    <w:p w14:paraId="4BE25B5B">
      <w:pPr>
        <w:numPr>
          <w:ilvl w:val="0"/>
          <w:numId w:val="14"/>
        </w:numPr>
        <w:suppressAutoHyphens w:val="0"/>
        <w:overflowPunct/>
        <w:spacing w:line="360" w:lineRule="auto"/>
        <w:ind w:hanging="49"/>
        <w:jc w:val="both"/>
        <w:rPr>
          <w:rFonts w:ascii="宋体"/>
          <w:sz w:val="24"/>
        </w:rPr>
      </w:pPr>
      <w:r>
        <w:rPr>
          <w:rFonts w:hint="eastAsia" w:ascii="宋体"/>
          <w:sz w:val="24"/>
        </w:rPr>
        <w:t>系统与门前移行机及AGV实现控制联动</w:t>
      </w:r>
    </w:p>
    <w:p w14:paraId="22BCF4D4">
      <w:pPr>
        <w:numPr>
          <w:ilvl w:val="0"/>
          <w:numId w:val="14"/>
        </w:numPr>
        <w:suppressAutoHyphens w:val="0"/>
        <w:overflowPunct/>
        <w:spacing w:line="360" w:lineRule="auto"/>
        <w:ind w:hanging="49"/>
        <w:jc w:val="both"/>
        <w:rPr>
          <w:rFonts w:ascii="宋体"/>
          <w:sz w:val="24"/>
        </w:rPr>
      </w:pPr>
      <w:r>
        <w:rPr>
          <w:rFonts w:hint="eastAsia" w:ascii="宋体"/>
          <w:sz w:val="24"/>
        </w:rPr>
        <w:t>配备HMI（西门子T</w:t>
      </w:r>
      <w:r>
        <w:rPr>
          <w:rFonts w:ascii="宋体"/>
          <w:sz w:val="24"/>
        </w:rPr>
        <w:t>P1200人</w:t>
      </w:r>
      <w:r>
        <w:rPr>
          <w:rFonts w:hint="eastAsia" w:ascii="宋体"/>
          <w:sz w:val="24"/>
        </w:rPr>
        <w:t>机</w:t>
      </w:r>
      <w:r>
        <w:rPr>
          <w:rFonts w:ascii="宋体"/>
          <w:sz w:val="24"/>
        </w:rPr>
        <w:t>交互界</w:t>
      </w:r>
      <w:r>
        <w:rPr>
          <w:rFonts w:hint="eastAsia" w:ascii="宋体"/>
          <w:sz w:val="24"/>
        </w:rPr>
        <w:t>面</w:t>
      </w:r>
      <w:r>
        <w:rPr>
          <w:rFonts w:ascii="宋体"/>
          <w:sz w:val="24"/>
        </w:rPr>
        <w:t>）</w:t>
      </w:r>
      <w:r>
        <w:rPr>
          <w:rFonts w:hint="eastAsia" w:ascii="宋体"/>
          <w:sz w:val="24"/>
        </w:rPr>
        <w:t>显示快装系统的运行及错误报警，便于检修</w:t>
      </w:r>
    </w:p>
    <w:p w14:paraId="70C1B810">
      <w:pPr>
        <w:spacing w:line="360" w:lineRule="auto"/>
        <w:rPr>
          <w:sz w:val="23"/>
          <w:szCs w:val="23"/>
        </w:rPr>
      </w:pPr>
      <w:r>
        <w:rPr>
          <w:rFonts w:hint="eastAsia" w:ascii="宋体"/>
          <w:sz w:val="24"/>
        </w:rPr>
        <w:t>5</w:t>
      </w:r>
      <w:r>
        <w:rPr>
          <w:rFonts w:ascii="宋体"/>
          <w:sz w:val="24"/>
        </w:rPr>
        <w:t>.2</w:t>
      </w:r>
      <w:r>
        <w:rPr>
          <w:rFonts w:hint="eastAsia"/>
          <w:sz w:val="23"/>
          <w:szCs w:val="23"/>
        </w:rPr>
        <w:t>现有门前移行机（滑台）保留。</w:t>
      </w:r>
    </w:p>
    <w:p w14:paraId="54C2A5A5">
      <w:pPr>
        <w:spacing w:line="360" w:lineRule="auto"/>
        <w:rPr>
          <w:rFonts w:ascii="宋体"/>
          <w:sz w:val="24"/>
        </w:rPr>
      </w:pPr>
      <w:r>
        <w:rPr>
          <w:rFonts w:hint="eastAsia" w:ascii="宋体"/>
          <w:sz w:val="24"/>
        </w:rPr>
        <w:t>5</w:t>
      </w:r>
      <w:r>
        <w:rPr>
          <w:rFonts w:ascii="宋体"/>
          <w:sz w:val="24"/>
        </w:rPr>
        <w:t>.3</w:t>
      </w:r>
      <w:r>
        <w:rPr>
          <w:rFonts w:hint="eastAsia" w:ascii="宋体"/>
          <w:sz w:val="24"/>
        </w:rPr>
        <w:t>台架间的升降辊道更新，采用非摩擦驱动，采用S</w:t>
      </w:r>
      <w:r>
        <w:rPr>
          <w:rFonts w:ascii="宋体"/>
          <w:sz w:val="24"/>
        </w:rPr>
        <w:t>EW减</w:t>
      </w:r>
      <w:r>
        <w:rPr>
          <w:rFonts w:hint="eastAsia" w:ascii="宋体"/>
          <w:sz w:val="24"/>
        </w:rPr>
        <w:t>速</w:t>
      </w:r>
      <w:r>
        <w:rPr>
          <w:rFonts w:ascii="宋体"/>
          <w:sz w:val="24"/>
        </w:rPr>
        <w:t>电机</w:t>
      </w:r>
      <w:r>
        <w:rPr>
          <w:rFonts w:hint="eastAsia" w:ascii="宋体"/>
          <w:sz w:val="24"/>
        </w:rPr>
        <w:t>（防爆型），输送速度与移行机同步。辊道上表面覆3mm厚不锈钢花纹板。</w:t>
      </w:r>
    </w:p>
    <w:p w14:paraId="42312CE9">
      <w:pPr>
        <w:spacing w:line="360" w:lineRule="auto"/>
        <w:rPr>
          <w:sz w:val="23"/>
          <w:szCs w:val="23"/>
        </w:rPr>
      </w:pPr>
      <w:r>
        <w:rPr>
          <w:rFonts w:hint="eastAsia" w:ascii="宋体"/>
          <w:sz w:val="24"/>
        </w:rPr>
        <w:t>5</w:t>
      </w:r>
      <w:r>
        <w:rPr>
          <w:rFonts w:ascii="宋体"/>
          <w:sz w:val="24"/>
        </w:rPr>
        <w:t>.4</w:t>
      </w:r>
      <w:r>
        <w:rPr>
          <w:rFonts w:hint="eastAsia" w:ascii="宋体"/>
          <w:sz w:val="24"/>
        </w:rPr>
        <w:t>托盘压紧机构、进出油缸均更新，液压系统全套更新，每个台架一对一配置。液压站工作压力4</w:t>
      </w:r>
      <w:r>
        <w:rPr>
          <w:rFonts w:hint="eastAsia"/>
          <w:sz w:val="23"/>
          <w:szCs w:val="23"/>
        </w:rPr>
        <w:t>～</w:t>
      </w:r>
      <w:r>
        <w:rPr>
          <w:sz w:val="23"/>
          <w:szCs w:val="23"/>
        </w:rPr>
        <w:t>6MPa，</w:t>
      </w:r>
      <w:r>
        <w:rPr>
          <w:rFonts w:hint="eastAsia"/>
          <w:sz w:val="23"/>
          <w:szCs w:val="23"/>
        </w:rPr>
        <w:t>耐压</w:t>
      </w:r>
      <w:r>
        <w:rPr>
          <w:sz w:val="23"/>
          <w:szCs w:val="23"/>
        </w:rPr>
        <w:t>10MPa</w:t>
      </w:r>
      <w:r>
        <w:rPr>
          <w:rFonts w:hint="eastAsia"/>
          <w:sz w:val="23"/>
          <w:szCs w:val="23"/>
        </w:rPr>
        <w:t>，配风冷散热器，流量约1</w:t>
      </w:r>
      <w:r>
        <w:rPr>
          <w:sz w:val="23"/>
          <w:szCs w:val="23"/>
        </w:rPr>
        <w:t>0L/min，油</w:t>
      </w:r>
      <w:r>
        <w:rPr>
          <w:rFonts w:hint="eastAsia"/>
          <w:sz w:val="23"/>
          <w:szCs w:val="23"/>
        </w:rPr>
        <w:t>箱</w:t>
      </w:r>
      <w:r>
        <w:rPr>
          <w:sz w:val="23"/>
          <w:szCs w:val="23"/>
        </w:rPr>
        <w:t>容量油</w:t>
      </w:r>
      <w:r>
        <w:rPr>
          <w:rFonts w:hint="eastAsia"/>
          <w:sz w:val="23"/>
          <w:szCs w:val="23"/>
        </w:rPr>
        <w:t>不小于1</w:t>
      </w:r>
      <w:r>
        <w:rPr>
          <w:sz w:val="23"/>
          <w:szCs w:val="23"/>
        </w:rPr>
        <w:t>00L，带液</w:t>
      </w:r>
      <w:r>
        <w:rPr>
          <w:rFonts w:hint="eastAsia"/>
          <w:sz w:val="23"/>
          <w:szCs w:val="23"/>
        </w:rPr>
        <w:t>位指示</w:t>
      </w:r>
      <w:r>
        <w:rPr>
          <w:sz w:val="23"/>
          <w:szCs w:val="23"/>
        </w:rPr>
        <w:t>、呼</w:t>
      </w:r>
      <w:r>
        <w:rPr>
          <w:rFonts w:hint="eastAsia"/>
          <w:sz w:val="23"/>
          <w:szCs w:val="23"/>
        </w:rPr>
        <w:t>吸阀</w:t>
      </w:r>
      <w:r>
        <w:rPr>
          <w:sz w:val="23"/>
          <w:szCs w:val="23"/>
        </w:rPr>
        <w:t>。</w:t>
      </w:r>
      <w:r>
        <w:rPr>
          <w:rFonts w:hint="eastAsia"/>
          <w:sz w:val="23"/>
          <w:szCs w:val="23"/>
        </w:rPr>
        <w:t>液压系统所有控制阀采用力士乐品牌。</w:t>
      </w:r>
    </w:p>
    <w:p w14:paraId="676B6740">
      <w:pPr>
        <w:spacing w:line="360" w:lineRule="auto"/>
        <w:rPr>
          <w:rFonts w:ascii="宋体"/>
          <w:sz w:val="24"/>
        </w:rPr>
      </w:pPr>
      <w:r>
        <w:rPr>
          <w:rFonts w:hint="eastAsia"/>
          <w:sz w:val="23"/>
          <w:szCs w:val="23"/>
        </w:rPr>
        <w:t>5</w:t>
      </w:r>
      <w:r>
        <w:rPr>
          <w:sz w:val="23"/>
          <w:szCs w:val="23"/>
        </w:rPr>
        <w:t>.5</w:t>
      </w:r>
      <w:r>
        <w:rPr>
          <w:rFonts w:hint="eastAsia" w:ascii="宋体"/>
          <w:sz w:val="24"/>
        </w:rPr>
        <w:t>台架内托盘定位导轨全部更新，保证与现有托盘的精确定位，导轨表面淬火，硬度不低于H</w:t>
      </w:r>
      <w:r>
        <w:rPr>
          <w:rFonts w:ascii="宋体"/>
          <w:sz w:val="24"/>
        </w:rPr>
        <w:t>RC55</w:t>
      </w:r>
      <w:r>
        <w:rPr>
          <w:rFonts w:hint="eastAsia" w:ascii="宋体"/>
          <w:sz w:val="24"/>
        </w:rPr>
        <w:t>。台架端的托盘对接板利旧，采用浮动形式安装，以便与托盘端对接板可靠啮合。</w:t>
      </w:r>
    </w:p>
    <w:p w14:paraId="5A3EBD57">
      <w:pPr>
        <w:spacing w:line="360" w:lineRule="auto"/>
        <w:rPr>
          <w:rFonts w:ascii="宋体"/>
          <w:sz w:val="24"/>
        </w:rPr>
      </w:pPr>
      <w:r>
        <w:rPr>
          <w:rFonts w:hint="eastAsia" w:ascii="宋体"/>
          <w:sz w:val="24"/>
        </w:rPr>
        <w:t>5</w:t>
      </w:r>
      <w:r>
        <w:rPr>
          <w:rFonts w:ascii="宋体"/>
          <w:sz w:val="24"/>
        </w:rPr>
        <w:t>.6</w:t>
      </w:r>
      <w:r>
        <w:rPr>
          <w:rFonts w:hint="eastAsia" w:ascii="宋体"/>
          <w:sz w:val="24"/>
        </w:rPr>
        <w:t>台架</w:t>
      </w:r>
      <w:r>
        <w:rPr>
          <w:rFonts w:ascii="宋体"/>
          <w:sz w:val="24"/>
        </w:rPr>
        <w:t>间</w:t>
      </w:r>
      <w:r>
        <w:rPr>
          <w:rFonts w:hint="eastAsia" w:ascii="宋体"/>
          <w:sz w:val="24"/>
        </w:rPr>
        <w:t>的操作盒布置于底座的右侧，采用全金属防爆按钮箱，安装高度及型式符合人机工程。操作盒上合理布置控制按钮和指示灯，并预留至少三个孔位。各动作之间设互锁保护功能，防止误操作。</w:t>
      </w:r>
    </w:p>
    <w:p w14:paraId="136DF3CC">
      <w:pPr>
        <w:spacing w:line="360" w:lineRule="auto"/>
        <w:rPr>
          <w:rFonts w:ascii="宋体"/>
          <w:sz w:val="24"/>
        </w:rPr>
      </w:pPr>
      <w:r>
        <w:rPr>
          <w:rFonts w:hint="eastAsia" w:ascii="宋体"/>
          <w:sz w:val="24"/>
        </w:rPr>
        <w:t>5</w:t>
      </w:r>
      <w:r>
        <w:rPr>
          <w:rFonts w:ascii="宋体"/>
          <w:sz w:val="24"/>
        </w:rPr>
        <w:t>.7台</w:t>
      </w:r>
      <w:r>
        <w:rPr>
          <w:rFonts w:hint="eastAsia" w:ascii="宋体"/>
          <w:sz w:val="24"/>
        </w:rPr>
        <w:t>架内工艺线束</w:t>
      </w:r>
      <w:r>
        <w:rPr>
          <w:rFonts w:ascii="宋体"/>
          <w:sz w:val="24"/>
        </w:rPr>
        <w:t>利</w:t>
      </w:r>
      <w:r>
        <w:rPr>
          <w:rFonts w:hint="eastAsia" w:ascii="宋体"/>
          <w:sz w:val="24"/>
        </w:rPr>
        <w:t>旧，</w:t>
      </w:r>
      <w:r>
        <w:rPr>
          <w:rFonts w:ascii="宋体"/>
          <w:sz w:val="24"/>
        </w:rPr>
        <w:t>先</w:t>
      </w:r>
      <w:r>
        <w:rPr>
          <w:rFonts w:hint="eastAsia" w:ascii="宋体"/>
          <w:sz w:val="24"/>
        </w:rPr>
        <w:t>拆后装</w:t>
      </w:r>
      <w:r>
        <w:rPr>
          <w:rFonts w:ascii="宋体"/>
          <w:sz w:val="24"/>
        </w:rPr>
        <w:t>，</w:t>
      </w:r>
      <w:r>
        <w:rPr>
          <w:rFonts w:hint="eastAsia" w:ascii="宋体"/>
          <w:sz w:val="24"/>
        </w:rPr>
        <w:t>电缆桥架重新统一布置制作。</w:t>
      </w:r>
    </w:p>
    <w:p w14:paraId="3765D2A3">
      <w:pPr>
        <w:spacing w:line="360" w:lineRule="auto"/>
        <w:rPr>
          <w:rFonts w:ascii="宋体"/>
          <w:sz w:val="24"/>
        </w:rPr>
      </w:pPr>
      <w:r>
        <w:rPr>
          <w:rFonts w:hint="eastAsia" w:ascii="宋体"/>
          <w:sz w:val="24"/>
        </w:rPr>
        <w:t>5</w:t>
      </w:r>
      <w:r>
        <w:rPr>
          <w:rFonts w:ascii="宋体"/>
          <w:sz w:val="24"/>
        </w:rPr>
        <w:t>.8</w:t>
      </w:r>
      <w:r>
        <w:rPr>
          <w:rFonts w:hint="eastAsia" w:ascii="宋体"/>
          <w:sz w:val="24"/>
        </w:rPr>
        <w:t>起</w:t>
      </w:r>
      <w:r>
        <w:rPr>
          <w:rFonts w:ascii="宋体"/>
          <w:sz w:val="24"/>
        </w:rPr>
        <w:t>动</w:t>
      </w:r>
      <w:r>
        <w:rPr>
          <w:rFonts w:hint="eastAsia" w:ascii="宋体"/>
          <w:sz w:val="24"/>
        </w:rPr>
        <w:t>电源利旧</w:t>
      </w:r>
      <w:r>
        <w:rPr>
          <w:rFonts w:ascii="宋体"/>
          <w:sz w:val="24"/>
        </w:rPr>
        <w:t>，一</w:t>
      </w:r>
      <w:r>
        <w:rPr>
          <w:rFonts w:hint="eastAsia" w:ascii="宋体"/>
          <w:sz w:val="24"/>
        </w:rPr>
        <w:t>台起动电源对应两个台架共用，重新配电缆（不小于7</w:t>
      </w:r>
      <w:r>
        <w:rPr>
          <w:rFonts w:ascii="宋体"/>
          <w:sz w:val="24"/>
        </w:rPr>
        <w:t>0mm</w:t>
      </w:r>
      <w:r>
        <w:rPr>
          <w:rFonts w:ascii="宋体"/>
          <w:sz w:val="24"/>
          <w:vertAlign w:val="superscript"/>
        </w:rPr>
        <w:t>2</w:t>
      </w:r>
      <w:r>
        <w:rPr>
          <w:rFonts w:ascii="宋体"/>
          <w:sz w:val="24"/>
        </w:rPr>
        <w:t>）</w:t>
      </w:r>
      <w:r>
        <w:rPr>
          <w:rFonts w:hint="eastAsia" w:ascii="宋体"/>
          <w:sz w:val="24"/>
        </w:rPr>
        <w:t>，正极电缆在台架内设一把电源闸刀，闸刀后另配3米长电缆，由操作工按需连接起动机。负极在大底板上搭铁接地。</w:t>
      </w:r>
    </w:p>
    <w:p w14:paraId="0AC75F52">
      <w:pPr>
        <w:spacing w:line="360" w:lineRule="auto"/>
        <w:rPr>
          <w:rFonts w:ascii="宋体"/>
          <w:sz w:val="24"/>
        </w:rPr>
      </w:pPr>
      <w:r>
        <w:rPr>
          <w:rFonts w:hint="eastAsia" w:ascii="宋体"/>
          <w:sz w:val="24"/>
        </w:rPr>
        <w:t>5</w:t>
      </w:r>
      <w:r>
        <w:rPr>
          <w:rFonts w:ascii="宋体"/>
          <w:sz w:val="24"/>
        </w:rPr>
        <w:t>.9</w:t>
      </w:r>
      <w:r>
        <w:rPr>
          <w:rFonts w:hint="eastAsia" w:ascii="宋体"/>
          <w:sz w:val="24"/>
        </w:rPr>
        <w:t>台架控制系统实现与现有AGV运输系统对接，发出要车或出车指令。</w:t>
      </w:r>
    </w:p>
    <w:p w14:paraId="42084270">
      <w:pPr>
        <w:spacing w:line="360" w:lineRule="auto"/>
        <w:rPr>
          <w:rFonts w:ascii="宋体"/>
          <w:sz w:val="24"/>
        </w:rPr>
      </w:pPr>
      <w:r>
        <w:rPr>
          <w:rFonts w:hint="eastAsia" w:ascii="宋体"/>
          <w:sz w:val="24"/>
        </w:rPr>
        <w:t>5</w:t>
      </w:r>
      <w:r>
        <w:rPr>
          <w:rFonts w:ascii="宋体"/>
          <w:sz w:val="24"/>
        </w:rPr>
        <w:t>.10更</w:t>
      </w:r>
      <w:r>
        <w:rPr>
          <w:rFonts w:hint="eastAsia" w:ascii="宋体"/>
          <w:sz w:val="24"/>
        </w:rPr>
        <w:t>新9个台架的P</w:t>
      </w:r>
      <w:r>
        <w:rPr>
          <w:rFonts w:ascii="宋体"/>
          <w:sz w:val="24"/>
        </w:rPr>
        <w:t>LC控制</w:t>
      </w:r>
      <w:r>
        <w:rPr>
          <w:rFonts w:hint="eastAsia" w:ascii="宋体"/>
          <w:sz w:val="24"/>
        </w:rPr>
        <w:t>系统，由西门子S</w:t>
      </w:r>
      <w:r>
        <w:rPr>
          <w:rFonts w:ascii="宋体"/>
          <w:sz w:val="24"/>
        </w:rPr>
        <w:t>7-1200 PLC、</w:t>
      </w:r>
      <w:r>
        <w:rPr>
          <w:rFonts w:hint="eastAsia" w:ascii="宋体"/>
          <w:sz w:val="24"/>
        </w:rPr>
        <w:t>I</w:t>
      </w:r>
      <w:r>
        <w:rPr>
          <w:rFonts w:ascii="宋体"/>
          <w:sz w:val="24"/>
        </w:rPr>
        <w:t>/O模块、扩</w:t>
      </w:r>
      <w:r>
        <w:rPr>
          <w:rFonts w:hint="eastAsia" w:ascii="宋体"/>
          <w:sz w:val="24"/>
        </w:rPr>
        <w:t>展模块</w:t>
      </w:r>
      <w:r>
        <w:rPr>
          <w:rFonts w:ascii="宋体"/>
          <w:sz w:val="24"/>
        </w:rPr>
        <w:t>、继</w:t>
      </w:r>
      <w:r>
        <w:rPr>
          <w:rFonts w:hint="eastAsia" w:ascii="宋体"/>
          <w:sz w:val="24"/>
        </w:rPr>
        <w:t>电器、接触器、按钮、指示灯及电柜组成。系统可运行在自动和手动两种方式。在正常状态下，台架系统运行在自动状态，自动完成发动机的上下机。在调试、维修和紧急情况下，可以由手动控制发动机的上下机。系统具有故障自诊断、保护和报警功能：通电后，由PLC对接近开关的位置、液压系统、按钮的操作等进行连续的采样，以保证操作者和设备的安全。系统具备完善的监控功能。当系统出现故障时，系统会在操作屏幕上实时显示故障代码、故障信息及故障点的确切位置，以提示操作者。P</w:t>
      </w:r>
      <w:r>
        <w:rPr>
          <w:rFonts w:ascii="宋体"/>
          <w:sz w:val="24"/>
        </w:rPr>
        <w:t>LC需预</w:t>
      </w:r>
      <w:r>
        <w:rPr>
          <w:rFonts w:hint="eastAsia" w:ascii="宋体"/>
          <w:sz w:val="24"/>
        </w:rPr>
        <w:t>留</w:t>
      </w:r>
      <w:r>
        <w:rPr>
          <w:rFonts w:ascii="宋体"/>
          <w:sz w:val="24"/>
        </w:rPr>
        <w:t>输入、输出通道各不</w:t>
      </w:r>
      <w:r>
        <w:rPr>
          <w:rFonts w:hint="eastAsia" w:ascii="宋体"/>
          <w:sz w:val="24"/>
        </w:rPr>
        <w:t>少于8</w:t>
      </w:r>
      <w:r>
        <w:rPr>
          <w:rFonts w:ascii="宋体"/>
          <w:sz w:val="24"/>
        </w:rPr>
        <w:t xml:space="preserve"> 个。</w:t>
      </w:r>
    </w:p>
    <w:p w14:paraId="6E64A911">
      <w:pPr>
        <w:spacing w:line="360" w:lineRule="auto"/>
        <w:ind w:firstLine="480" w:firstLineChars="200"/>
        <w:rPr>
          <w:rFonts w:ascii="宋体"/>
          <w:sz w:val="24"/>
        </w:rPr>
      </w:pPr>
    </w:p>
    <w:p w14:paraId="01334F77">
      <w:pPr>
        <w:spacing w:line="360" w:lineRule="auto"/>
        <w:rPr>
          <w:rFonts w:ascii="宋体"/>
          <w:b/>
          <w:sz w:val="24"/>
        </w:rPr>
      </w:pPr>
      <w:r>
        <w:rPr>
          <w:rFonts w:ascii="宋体"/>
          <w:b/>
          <w:sz w:val="24"/>
        </w:rPr>
        <w:t>6.台</w:t>
      </w:r>
      <w:r>
        <w:rPr>
          <w:rFonts w:hint="eastAsia" w:ascii="宋体"/>
          <w:b/>
          <w:sz w:val="24"/>
        </w:rPr>
        <w:t>架测控系统</w:t>
      </w:r>
      <w:r>
        <w:rPr>
          <w:rFonts w:ascii="宋体"/>
          <w:b/>
          <w:sz w:val="24"/>
        </w:rPr>
        <w:t>要求</w:t>
      </w:r>
    </w:p>
    <w:p w14:paraId="035CDC8E">
      <w:pPr>
        <w:spacing w:line="360" w:lineRule="auto"/>
        <w:rPr>
          <w:rFonts w:ascii="宋体"/>
          <w:sz w:val="24"/>
        </w:rPr>
      </w:pPr>
      <w:r>
        <w:rPr>
          <w:rFonts w:hint="eastAsia" w:ascii="宋体"/>
          <w:sz w:val="24"/>
        </w:rPr>
        <w:t>6</w:t>
      </w:r>
      <w:r>
        <w:rPr>
          <w:rFonts w:ascii="宋体"/>
          <w:sz w:val="24"/>
        </w:rPr>
        <w:t>.1台</w:t>
      </w:r>
      <w:r>
        <w:rPr>
          <w:rFonts w:hint="eastAsia" w:ascii="宋体"/>
          <w:sz w:val="24"/>
        </w:rPr>
        <w:t>架测控系统能对台架内的所有设备进行控制，主要包括测功机、被试发动机、测量系统、测试条件保障系统等，如对台架的试验过程控制、加载运行参数设定、测量参数、数据记录处理，对冷却介质、燃料及进气调节系统介质状态的监控，对冷却介质、燃料及进气调节系统介质控制目标值的设定、安全参数的设定、台架运行状态监控等。</w:t>
      </w:r>
    </w:p>
    <w:p w14:paraId="59126EAD">
      <w:pPr>
        <w:spacing w:line="360" w:lineRule="auto"/>
        <w:ind w:firstLine="480" w:firstLineChars="200"/>
        <w:rPr>
          <w:rFonts w:ascii="宋体"/>
          <w:sz w:val="24"/>
        </w:rPr>
      </w:pPr>
      <w:r>
        <w:rPr>
          <w:rFonts w:hint="eastAsia" w:ascii="宋体"/>
          <w:sz w:val="24"/>
        </w:rPr>
        <w:t>测量控制系统采用计算机实时控制系统，上、下位机控制方式，使用工控计算机执行实时数据采集、处理程序，控制全自动化试验以保证试验的稳定可靠，同时可通过下位机独立控制。</w:t>
      </w:r>
    </w:p>
    <w:p w14:paraId="2D978AF4">
      <w:pPr>
        <w:spacing w:line="360" w:lineRule="auto"/>
        <w:ind w:firstLine="480" w:firstLineChars="200"/>
        <w:rPr>
          <w:rFonts w:ascii="宋体"/>
          <w:sz w:val="24"/>
        </w:rPr>
      </w:pPr>
      <w:r>
        <w:rPr>
          <w:rFonts w:hint="eastAsia" w:ascii="宋体"/>
          <w:sz w:val="24"/>
        </w:rPr>
        <w:t>系统应具有测功机回路和发动机回路双闭环数字PID控制，带有手动定转速、定扭矩及定油门位置的设定装置，通过对测功机、发动机的闭环控制和对测量数据的处理，完成各种试验过程，输出用户需要的试验结果。</w:t>
      </w:r>
    </w:p>
    <w:p w14:paraId="2368993F">
      <w:pPr>
        <w:spacing w:line="360" w:lineRule="auto"/>
        <w:rPr>
          <w:rFonts w:ascii="宋体"/>
          <w:sz w:val="24"/>
        </w:rPr>
      </w:pPr>
      <w:r>
        <w:rPr>
          <w:rFonts w:ascii="宋体"/>
          <w:sz w:val="24"/>
        </w:rPr>
        <w:t>6.2台</w:t>
      </w:r>
      <w:r>
        <w:rPr>
          <w:rFonts w:hint="eastAsia" w:ascii="宋体"/>
          <w:sz w:val="24"/>
        </w:rPr>
        <w:t>架</w:t>
      </w:r>
      <w:r>
        <w:rPr>
          <w:rFonts w:ascii="宋体"/>
          <w:sz w:val="24"/>
        </w:rPr>
        <w:t>应至</w:t>
      </w:r>
      <w:r>
        <w:rPr>
          <w:rFonts w:hint="eastAsia" w:ascii="宋体"/>
          <w:sz w:val="24"/>
        </w:rPr>
        <w:t>少</w:t>
      </w:r>
      <w:r>
        <w:rPr>
          <w:rFonts w:ascii="宋体"/>
          <w:sz w:val="24"/>
        </w:rPr>
        <w:t>包含表7</w:t>
      </w:r>
      <w:r>
        <w:rPr>
          <w:rFonts w:hint="eastAsia" w:ascii="宋体"/>
          <w:sz w:val="24"/>
        </w:rPr>
        <w:t>所列的</w:t>
      </w:r>
      <w:r>
        <w:rPr>
          <w:rFonts w:ascii="宋体"/>
          <w:sz w:val="24"/>
        </w:rPr>
        <w:t>控</w:t>
      </w:r>
      <w:r>
        <w:rPr>
          <w:rFonts w:hint="eastAsia" w:ascii="宋体"/>
          <w:sz w:val="24"/>
        </w:rPr>
        <w:t>制模式。</w:t>
      </w:r>
    </w:p>
    <w:p w14:paraId="09BE27A9">
      <w:pPr>
        <w:spacing w:line="360" w:lineRule="auto"/>
        <w:jc w:val="center"/>
        <w:rPr>
          <w:rFonts w:ascii="宋体"/>
          <w:sz w:val="24"/>
        </w:rPr>
      </w:pPr>
      <w:r>
        <w:rPr>
          <w:rFonts w:ascii="宋体"/>
          <w:sz w:val="24"/>
        </w:rPr>
        <w:t xml:space="preserve">表7  </w:t>
      </w:r>
      <w:r>
        <w:rPr>
          <w:rFonts w:hint="eastAsia" w:ascii="宋体"/>
          <w:sz w:val="24"/>
        </w:rPr>
        <w:t>台架控制模式</w:t>
      </w:r>
    </w:p>
    <w:tbl>
      <w:tblPr>
        <w:tblStyle w:val="36"/>
        <w:tblW w:w="3928" w:type="pct"/>
        <w:tblInd w:w="1006"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775"/>
        <w:gridCol w:w="2354"/>
        <w:gridCol w:w="3167"/>
      </w:tblGrid>
      <w:tr w14:paraId="77F2777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1216" w:type="pct"/>
          </w:tcPr>
          <w:p w14:paraId="1D24506A">
            <w:pPr>
              <w:jc w:val="center"/>
            </w:pPr>
            <w:r>
              <w:rPr>
                <w:rFonts w:hint="eastAsia"/>
              </w:rPr>
              <w:t>组合控制方式</w:t>
            </w:r>
          </w:p>
        </w:tc>
        <w:tc>
          <w:tcPr>
            <w:tcW w:w="1613" w:type="pct"/>
          </w:tcPr>
          <w:p w14:paraId="073C4C8D">
            <w:pPr>
              <w:jc w:val="center"/>
            </w:pPr>
            <w:r>
              <w:rPr>
                <w:rFonts w:hint="eastAsia"/>
              </w:rPr>
              <w:t>测功机控制方式</w:t>
            </w:r>
          </w:p>
        </w:tc>
        <w:tc>
          <w:tcPr>
            <w:tcW w:w="2170" w:type="pct"/>
          </w:tcPr>
          <w:p w14:paraId="490B982C">
            <w:pPr>
              <w:jc w:val="center"/>
            </w:pPr>
            <w:r>
              <w:rPr>
                <w:rFonts w:hint="eastAsia"/>
              </w:rPr>
              <w:t>发动机油门控制方式</w:t>
            </w:r>
          </w:p>
        </w:tc>
      </w:tr>
      <w:tr w14:paraId="4DFA322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1216" w:type="pct"/>
          </w:tcPr>
          <w:p w14:paraId="40BDC336">
            <w:pPr>
              <w:jc w:val="center"/>
            </w:pPr>
            <w:r>
              <w:t>1</w:t>
            </w:r>
          </w:p>
        </w:tc>
        <w:tc>
          <w:tcPr>
            <w:tcW w:w="1613" w:type="pct"/>
          </w:tcPr>
          <w:p w14:paraId="1329EC0D">
            <w:pPr>
              <w:jc w:val="center"/>
            </w:pPr>
            <w:r>
              <w:t>0</w:t>
            </w:r>
            <w:r>
              <w:rPr>
                <w:rFonts w:hint="eastAsia"/>
              </w:rPr>
              <w:t>（怠速工况）</w:t>
            </w:r>
          </w:p>
        </w:tc>
        <w:tc>
          <w:tcPr>
            <w:tcW w:w="2170" w:type="pct"/>
          </w:tcPr>
          <w:p w14:paraId="246B8E65">
            <w:pPr>
              <w:jc w:val="center"/>
            </w:pPr>
            <w:r>
              <w:t>0</w:t>
            </w:r>
            <w:r>
              <w:rPr>
                <w:rFonts w:hint="eastAsia"/>
              </w:rPr>
              <w:t>（怠速工况）</w:t>
            </w:r>
          </w:p>
        </w:tc>
      </w:tr>
      <w:tr w14:paraId="62391AF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1216" w:type="pct"/>
          </w:tcPr>
          <w:p w14:paraId="2DB7A3AC">
            <w:pPr>
              <w:jc w:val="center"/>
            </w:pPr>
            <w:r>
              <w:rPr>
                <w:rFonts w:hint="eastAsia"/>
              </w:rPr>
              <w:t>2</w:t>
            </w:r>
          </w:p>
        </w:tc>
        <w:tc>
          <w:tcPr>
            <w:tcW w:w="1613" w:type="pct"/>
          </w:tcPr>
          <w:p w14:paraId="7FE01C0D">
            <w:pPr>
              <w:jc w:val="center"/>
            </w:pPr>
            <w:r>
              <w:t>n</w:t>
            </w:r>
            <w:r>
              <w:rPr>
                <w:rFonts w:hint="eastAsia"/>
              </w:rPr>
              <w:t>（恒转速）</w:t>
            </w:r>
          </w:p>
        </w:tc>
        <w:tc>
          <w:tcPr>
            <w:tcW w:w="2170" w:type="pct"/>
          </w:tcPr>
          <w:p w14:paraId="27ED4707">
            <w:pPr>
              <w:jc w:val="center"/>
            </w:pPr>
            <w:r>
              <w:rPr/>
              <w:sym w:font="Symbol" w:char="F061"/>
            </w:r>
            <w:r>
              <w:rPr>
                <w:rFonts w:hint="eastAsia"/>
              </w:rPr>
              <w:t>（恒油门位置）</w:t>
            </w:r>
          </w:p>
        </w:tc>
      </w:tr>
      <w:tr w14:paraId="604F0F3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1216" w:type="pct"/>
          </w:tcPr>
          <w:p w14:paraId="7B50017D">
            <w:pPr>
              <w:jc w:val="center"/>
            </w:pPr>
            <w:r>
              <w:rPr>
                <w:rFonts w:hint="eastAsia"/>
              </w:rPr>
              <w:t>3</w:t>
            </w:r>
          </w:p>
        </w:tc>
        <w:tc>
          <w:tcPr>
            <w:tcW w:w="1613" w:type="pct"/>
          </w:tcPr>
          <w:p w14:paraId="087E110D">
            <w:pPr>
              <w:jc w:val="center"/>
            </w:pPr>
            <w:r>
              <w:t>n</w:t>
            </w:r>
            <w:r>
              <w:rPr>
                <w:rFonts w:hint="eastAsia"/>
              </w:rPr>
              <w:t>（恒转速）</w:t>
            </w:r>
          </w:p>
        </w:tc>
        <w:tc>
          <w:tcPr>
            <w:tcW w:w="2170" w:type="pct"/>
          </w:tcPr>
          <w:p w14:paraId="4B7C7924">
            <w:pPr>
              <w:jc w:val="center"/>
            </w:pPr>
            <w:r>
              <w:t>Me</w:t>
            </w:r>
            <w:r>
              <w:rPr>
                <w:rFonts w:hint="eastAsia"/>
                <w:lang w:val="en-GB"/>
              </w:rPr>
              <w:t>（</w:t>
            </w:r>
            <w:r>
              <w:rPr>
                <w:rFonts w:hint="eastAsia"/>
              </w:rPr>
              <w:t>恒扭矩</w:t>
            </w:r>
            <w:r>
              <w:rPr>
                <w:rFonts w:hint="eastAsia"/>
                <w:lang w:val="en-GB"/>
              </w:rPr>
              <w:t>）</w:t>
            </w:r>
          </w:p>
        </w:tc>
      </w:tr>
      <w:tr w14:paraId="6FF6355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1216" w:type="pct"/>
          </w:tcPr>
          <w:p w14:paraId="22D23791">
            <w:pPr>
              <w:jc w:val="center"/>
            </w:pPr>
            <w:r>
              <w:rPr>
                <w:rFonts w:hint="eastAsia"/>
              </w:rPr>
              <w:t>4</w:t>
            </w:r>
          </w:p>
        </w:tc>
        <w:tc>
          <w:tcPr>
            <w:tcW w:w="1613" w:type="pct"/>
          </w:tcPr>
          <w:p w14:paraId="6B983FF4">
            <w:pPr>
              <w:jc w:val="center"/>
            </w:pPr>
            <w:r>
              <w:t>Me</w:t>
            </w:r>
            <w:r>
              <w:rPr>
                <w:rFonts w:hint="eastAsia"/>
                <w:lang w:val="en-GB"/>
              </w:rPr>
              <w:t>（</w:t>
            </w:r>
            <w:r>
              <w:rPr>
                <w:rFonts w:hint="eastAsia"/>
              </w:rPr>
              <w:t>恒扭矩</w:t>
            </w:r>
            <w:r>
              <w:rPr>
                <w:rFonts w:hint="eastAsia"/>
                <w:lang w:val="en-GB"/>
              </w:rPr>
              <w:t>）</w:t>
            </w:r>
          </w:p>
        </w:tc>
        <w:tc>
          <w:tcPr>
            <w:tcW w:w="2170" w:type="pct"/>
          </w:tcPr>
          <w:p w14:paraId="67340C26">
            <w:pPr>
              <w:jc w:val="center"/>
            </w:pPr>
            <w:r>
              <w:t>N</w:t>
            </w:r>
            <w:r>
              <w:rPr>
                <w:rFonts w:hint="eastAsia"/>
              </w:rPr>
              <w:t>（恒转速）</w:t>
            </w:r>
          </w:p>
        </w:tc>
      </w:tr>
      <w:tr w14:paraId="4391B08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1216" w:type="pct"/>
          </w:tcPr>
          <w:p w14:paraId="648E664E">
            <w:pPr>
              <w:jc w:val="center"/>
            </w:pPr>
            <w:r>
              <w:rPr>
                <w:rFonts w:hint="eastAsia"/>
              </w:rPr>
              <w:t>5</w:t>
            </w:r>
          </w:p>
        </w:tc>
        <w:tc>
          <w:tcPr>
            <w:tcW w:w="1613" w:type="pct"/>
          </w:tcPr>
          <w:p w14:paraId="2997A9DA">
            <w:pPr>
              <w:jc w:val="center"/>
            </w:pPr>
            <w:r>
              <w:t>Me</w:t>
            </w:r>
            <w:r>
              <w:rPr>
                <w:rFonts w:hint="eastAsia"/>
                <w:lang w:val="en-GB"/>
              </w:rPr>
              <w:t>（</w:t>
            </w:r>
            <w:r>
              <w:rPr>
                <w:rFonts w:hint="eastAsia"/>
              </w:rPr>
              <w:t>恒扭矩</w:t>
            </w:r>
            <w:r>
              <w:rPr>
                <w:rFonts w:hint="eastAsia"/>
                <w:lang w:val="en-GB"/>
              </w:rPr>
              <w:t>）</w:t>
            </w:r>
          </w:p>
        </w:tc>
        <w:tc>
          <w:tcPr>
            <w:tcW w:w="2170" w:type="pct"/>
          </w:tcPr>
          <w:p w14:paraId="5BF0C844">
            <w:pPr>
              <w:jc w:val="center"/>
            </w:pPr>
            <w:r>
              <w:rPr/>
              <w:sym w:font="Symbol" w:char="F061"/>
            </w:r>
            <w:r>
              <w:rPr>
                <w:rFonts w:hint="eastAsia"/>
              </w:rPr>
              <w:t>（恒油门位置）</w:t>
            </w:r>
          </w:p>
        </w:tc>
      </w:tr>
      <w:tr w14:paraId="2BF9F08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1216" w:type="pct"/>
          </w:tcPr>
          <w:p w14:paraId="2FFBF4CE">
            <w:pPr>
              <w:jc w:val="center"/>
            </w:pPr>
            <w:r>
              <w:rPr>
                <w:rFonts w:hint="eastAsia"/>
              </w:rPr>
              <w:t>6</w:t>
            </w:r>
          </w:p>
        </w:tc>
        <w:tc>
          <w:tcPr>
            <w:tcW w:w="1613" w:type="pct"/>
          </w:tcPr>
          <w:p w14:paraId="28F62916">
            <w:pPr>
              <w:jc w:val="center"/>
            </w:pPr>
            <w:r>
              <w:t>N</w:t>
            </w:r>
            <w:r>
              <w:rPr>
                <w:rFonts w:hint="eastAsia"/>
              </w:rPr>
              <w:t>（恒转速）</w:t>
            </w:r>
          </w:p>
        </w:tc>
        <w:tc>
          <w:tcPr>
            <w:tcW w:w="2170" w:type="pct"/>
          </w:tcPr>
          <w:p w14:paraId="2B80520F">
            <w:pPr>
              <w:jc w:val="center"/>
            </w:pPr>
            <w:r>
              <w:t>X（</w:t>
            </w:r>
            <w:r>
              <w:rPr>
                <w:rFonts w:hint="eastAsia"/>
              </w:rPr>
              <w:t>用户定义值）</w:t>
            </w:r>
          </w:p>
        </w:tc>
      </w:tr>
      <w:tr w14:paraId="4CDF085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1216" w:type="pct"/>
          </w:tcPr>
          <w:p w14:paraId="031D1810">
            <w:pPr>
              <w:jc w:val="center"/>
            </w:pPr>
            <w:r>
              <w:rPr>
                <w:rFonts w:hint="eastAsia"/>
              </w:rPr>
              <w:t>7</w:t>
            </w:r>
          </w:p>
        </w:tc>
        <w:tc>
          <w:tcPr>
            <w:tcW w:w="1613" w:type="pct"/>
          </w:tcPr>
          <w:p w14:paraId="09258D89">
            <w:pPr>
              <w:jc w:val="center"/>
            </w:pPr>
            <w:r>
              <w:t>Me(</w:t>
            </w:r>
            <w:r>
              <w:rPr>
                <w:rFonts w:hint="eastAsia"/>
              </w:rPr>
              <w:t>恒扭矩)</w:t>
            </w:r>
          </w:p>
        </w:tc>
        <w:tc>
          <w:tcPr>
            <w:tcW w:w="2170" w:type="pct"/>
          </w:tcPr>
          <w:p w14:paraId="2A91CDE6">
            <w:pPr>
              <w:jc w:val="center"/>
            </w:pPr>
            <w:r>
              <w:t>X（</w:t>
            </w:r>
            <w:r>
              <w:rPr>
                <w:rFonts w:hint="eastAsia"/>
              </w:rPr>
              <w:t>用户定义值）</w:t>
            </w:r>
          </w:p>
        </w:tc>
      </w:tr>
    </w:tbl>
    <w:p w14:paraId="15EFBE4C">
      <w:pPr>
        <w:spacing w:line="360" w:lineRule="auto"/>
        <w:rPr>
          <w:rFonts w:ascii="宋体"/>
          <w:sz w:val="24"/>
        </w:rPr>
      </w:pPr>
      <w:r>
        <w:rPr>
          <w:rFonts w:hint="eastAsia" w:ascii="宋体"/>
          <w:sz w:val="24"/>
        </w:rPr>
        <w:t>6</w:t>
      </w:r>
      <w:r>
        <w:rPr>
          <w:rFonts w:ascii="宋体"/>
          <w:sz w:val="24"/>
        </w:rPr>
        <w:t>.3台架控</w:t>
      </w:r>
      <w:r>
        <w:rPr>
          <w:rFonts w:hint="eastAsia" w:ascii="宋体"/>
          <w:sz w:val="24"/>
        </w:rPr>
        <w:t>制精</w:t>
      </w:r>
      <w:r>
        <w:rPr>
          <w:rFonts w:ascii="宋体"/>
          <w:sz w:val="24"/>
        </w:rPr>
        <w:t>度</w:t>
      </w:r>
    </w:p>
    <w:p w14:paraId="311F3DC3">
      <w:pPr>
        <w:numPr>
          <w:ilvl w:val="0"/>
          <w:numId w:val="13"/>
        </w:numPr>
        <w:suppressAutoHyphens w:val="0"/>
        <w:overflowPunct/>
        <w:spacing w:line="360" w:lineRule="auto"/>
        <w:ind w:hanging="49"/>
        <w:jc w:val="both"/>
        <w:rPr>
          <w:rFonts w:ascii="宋体"/>
          <w:sz w:val="24"/>
        </w:rPr>
      </w:pPr>
      <w:r>
        <w:rPr>
          <w:rFonts w:hint="eastAsia" w:ascii="宋体"/>
          <w:sz w:val="24"/>
        </w:rPr>
        <w:t>转速测量精度：±</w:t>
      </w:r>
      <w:r>
        <w:rPr>
          <w:sz w:val="23"/>
          <w:szCs w:val="23"/>
        </w:rPr>
        <w:t>1r/min</w:t>
      </w:r>
    </w:p>
    <w:p w14:paraId="5EF4188E">
      <w:pPr>
        <w:numPr>
          <w:ilvl w:val="0"/>
          <w:numId w:val="14"/>
        </w:numPr>
        <w:suppressAutoHyphens w:val="0"/>
        <w:overflowPunct/>
        <w:spacing w:line="360" w:lineRule="auto"/>
        <w:ind w:hanging="49"/>
        <w:jc w:val="both"/>
        <w:rPr>
          <w:rFonts w:ascii="宋体"/>
          <w:sz w:val="24"/>
        </w:rPr>
      </w:pPr>
      <w:r>
        <w:rPr>
          <w:rFonts w:hint="eastAsia" w:ascii="宋体"/>
          <w:sz w:val="24"/>
        </w:rPr>
        <w:t>转速控制精度：±</w:t>
      </w:r>
      <w:r>
        <w:rPr>
          <w:sz w:val="23"/>
          <w:szCs w:val="23"/>
        </w:rPr>
        <w:t>2r/min</w:t>
      </w:r>
    </w:p>
    <w:p w14:paraId="343986EA">
      <w:pPr>
        <w:numPr>
          <w:ilvl w:val="0"/>
          <w:numId w:val="14"/>
        </w:numPr>
        <w:suppressAutoHyphens w:val="0"/>
        <w:overflowPunct/>
        <w:spacing w:line="360" w:lineRule="auto"/>
        <w:ind w:hanging="49"/>
        <w:jc w:val="both"/>
        <w:rPr>
          <w:rFonts w:ascii="宋体"/>
          <w:sz w:val="24"/>
        </w:rPr>
      </w:pPr>
      <w:r>
        <w:rPr>
          <w:rFonts w:ascii="宋体"/>
          <w:sz w:val="24"/>
        </w:rPr>
        <w:t>扭</w:t>
      </w:r>
      <w:r>
        <w:rPr>
          <w:rFonts w:hint="eastAsia" w:ascii="宋体"/>
          <w:sz w:val="24"/>
        </w:rPr>
        <w:t>矩采集精</w:t>
      </w:r>
      <w:r>
        <w:rPr>
          <w:rFonts w:ascii="宋体"/>
          <w:sz w:val="24"/>
        </w:rPr>
        <w:t>度：</w:t>
      </w:r>
      <w:r>
        <w:rPr>
          <w:rFonts w:hint="eastAsia" w:ascii="宋体"/>
          <w:sz w:val="24"/>
        </w:rPr>
        <w:t>±</w:t>
      </w:r>
      <w:r>
        <w:rPr>
          <w:sz w:val="23"/>
          <w:szCs w:val="23"/>
        </w:rPr>
        <w:t>0.05%F.S.</w:t>
      </w:r>
    </w:p>
    <w:p w14:paraId="5D8CC29A">
      <w:pPr>
        <w:numPr>
          <w:ilvl w:val="0"/>
          <w:numId w:val="14"/>
        </w:numPr>
        <w:suppressAutoHyphens w:val="0"/>
        <w:overflowPunct/>
        <w:spacing w:line="360" w:lineRule="auto"/>
        <w:ind w:hanging="49"/>
        <w:jc w:val="both"/>
        <w:rPr>
          <w:rFonts w:ascii="宋体"/>
          <w:sz w:val="24"/>
        </w:rPr>
      </w:pPr>
      <w:r>
        <w:rPr>
          <w:rFonts w:ascii="宋体"/>
          <w:sz w:val="24"/>
        </w:rPr>
        <w:t>扭</w:t>
      </w:r>
      <w:r>
        <w:rPr>
          <w:rFonts w:hint="eastAsia" w:ascii="宋体"/>
          <w:sz w:val="24"/>
        </w:rPr>
        <w:t>矩控制精度：±</w:t>
      </w:r>
      <w:r>
        <w:rPr>
          <w:sz w:val="23"/>
          <w:szCs w:val="23"/>
        </w:rPr>
        <w:t>0.2%F.S.</w:t>
      </w:r>
    </w:p>
    <w:p w14:paraId="28F20837">
      <w:pPr>
        <w:numPr>
          <w:ilvl w:val="0"/>
          <w:numId w:val="14"/>
        </w:numPr>
        <w:suppressAutoHyphens w:val="0"/>
        <w:overflowPunct/>
        <w:spacing w:line="360" w:lineRule="auto"/>
        <w:ind w:hanging="49"/>
        <w:jc w:val="both"/>
        <w:rPr>
          <w:rFonts w:ascii="宋体"/>
          <w:sz w:val="24"/>
        </w:rPr>
      </w:pPr>
      <w:r>
        <w:rPr>
          <w:rFonts w:ascii="宋体"/>
          <w:sz w:val="24"/>
        </w:rPr>
        <w:t>转</w:t>
      </w:r>
      <w:r>
        <w:rPr>
          <w:rFonts w:hint="eastAsia" w:ascii="宋体"/>
          <w:sz w:val="24"/>
        </w:rPr>
        <w:t>速</w:t>
      </w:r>
      <w:r>
        <w:rPr>
          <w:rFonts w:ascii="宋体"/>
          <w:sz w:val="24"/>
        </w:rPr>
        <w:t>控</w:t>
      </w:r>
      <w:r>
        <w:rPr>
          <w:rFonts w:hint="eastAsia" w:ascii="宋体"/>
          <w:sz w:val="24"/>
        </w:rPr>
        <w:t>制超调量</w:t>
      </w:r>
      <w:r>
        <w:rPr>
          <w:rFonts w:ascii="宋体"/>
          <w:sz w:val="24"/>
        </w:rPr>
        <w:t>：</w:t>
      </w:r>
      <w:r>
        <w:rPr>
          <w:rFonts w:hint="eastAsia" w:ascii="宋体"/>
          <w:sz w:val="24"/>
        </w:rPr>
        <w:t>&lt;</w:t>
      </w:r>
      <w:r>
        <w:rPr>
          <w:rFonts w:ascii="宋体"/>
          <w:sz w:val="24"/>
        </w:rPr>
        <w:t xml:space="preserve"> 阶跃</w:t>
      </w:r>
      <w:r>
        <w:rPr>
          <w:rFonts w:hint="eastAsia" w:ascii="宋体"/>
          <w:sz w:val="24"/>
        </w:rPr>
        <w:t>量的0</w:t>
      </w:r>
      <w:r>
        <w:rPr>
          <w:rFonts w:ascii="宋体"/>
          <w:sz w:val="24"/>
        </w:rPr>
        <w:t>.5%</w:t>
      </w:r>
    </w:p>
    <w:p w14:paraId="50FBF442">
      <w:pPr>
        <w:numPr>
          <w:ilvl w:val="0"/>
          <w:numId w:val="14"/>
        </w:numPr>
        <w:suppressAutoHyphens w:val="0"/>
        <w:overflowPunct/>
        <w:spacing w:line="360" w:lineRule="auto"/>
        <w:ind w:hanging="49"/>
        <w:jc w:val="both"/>
        <w:rPr>
          <w:rFonts w:ascii="宋体"/>
          <w:sz w:val="24"/>
        </w:rPr>
      </w:pPr>
      <w:r>
        <w:rPr>
          <w:rFonts w:ascii="宋体"/>
          <w:sz w:val="24"/>
        </w:rPr>
        <w:t>扭</w:t>
      </w:r>
      <w:r>
        <w:rPr>
          <w:rFonts w:hint="eastAsia" w:ascii="宋体"/>
          <w:sz w:val="24"/>
        </w:rPr>
        <w:t>矩控制超调量</w:t>
      </w:r>
      <w:r>
        <w:rPr>
          <w:rFonts w:ascii="宋体"/>
          <w:sz w:val="24"/>
        </w:rPr>
        <w:t>：&lt; 阶</w:t>
      </w:r>
      <w:r>
        <w:rPr>
          <w:rFonts w:hint="eastAsia" w:ascii="宋体"/>
          <w:sz w:val="24"/>
        </w:rPr>
        <w:t>跃量的1</w:t>
      </w:r>
      <w:r>
        <w:rPr>
          <w:rFonts w:ascii="宋体"/>
          <w:sz w:val="24"/>
        </w:rPr>
        <w:t>%</w:t>
      </w:r>
    </w:p>
    <w:p w14:paraId="48DB9885">
      <w:pPr>
        <w:spacing w:line="360" w:lineRule="auto"/>
        <w:rPr>
          <w:rFonts w:ascii="宋体"/>
          <w:sz w:val="24"/>
        </w:rPr>
      </w:pPr>
      <w:r>
        <w:rPr>
          <w:rFonts w:hint="eastAsia" w:ascii="宋体"/>
          <w:sz w:val="24"/>
        </w:rPr>
        <w:t>6</w:t>
      </w:r>
      <w:r>
        <w:rPr>
          <w:rFonts w:ascii="宋体"/>
          <w:sz w:val="24"/>
        </w:rPr>
        <w:t>.4系统通信</w:t>
      </w:r>
    </w:p>
    <w:p w14:paraId="4D6DA5E1">
      <w:pPr>
        <w:spacing w:line="360" w:lineRule="auto"/>
        <w:ind w:firstLine="480" w:firstLineChars="200"/>
        <w:rPr>
          <w:rFonts w:ascii="宋体"/>
          <w:sz w:val="24"/>
        </w:rPr>
      </w:pPr>
      <w:r>
        <w:rPr>
          <w:rFonts w:hint="eastAsia" w:ascii="宋体"/>
          <w:sz w:val="24"/>
        </w:rPr>
        <w:t>系统支持Profi</w:t>
      </w:r>
      <w:r>
        <w:rPr>
          <w:rFonts w:ascii="宋体"/>
          <w:sz w:val="24"/>
        </w:rPr>
        <w:t>net</w:t>
      </w:r>
      <w:r>
        <w:rPr>
          <w:rFonts w:hint="eastAsia" w:ascii="宋体"/>
          <w:sz w:val="24"/>
        </w:rPr>
        <w:t>总线、TCP/IP、CAN、RS232、R</w:t>
      </w:r>
      <w:r>
        <w:rPr>
          <w:rFonts w:ascii="宋体"/>
          <w:sz w:val="24"/>
        </w:rPr>
        <w:t>S</w:t>
      </w:r>
      <w:r>
        <w:rPr>
          <w:rFonts w:hint="eastAsia" w:ascii="宋体"/>
          <w:sz w:val="24"/>
        </w:rPr>
        <w:t>485等通信方式，可与各种测量外设进行通讯，通过高速数据采集完成各种测量任务。</w:t>
      </w:r>
    </w:p>
    <w:p w14:paraId="56AFF93E">
      <w:pPr>
        <w:spacing w:line="360" w:lineRule="auto"/>
        <w:ind w:firstLine="480" w:firstLineChars="200"/>
        <w:rPr>
          <w:rFonts w:ascii="宋体"/>
          <w:sz w:val="24"/>
        </w:rPr>
      </w:pPr>
      <w:r>
        <w:rPr>
          <w:rFonts w:hint="eastAsia" w:ascii="宋体"/>
          <w:sz w:val="24"/>
        </w:rPr>
        <w:t>试验系统具有开放式的系统结构，以便招标方后续对系统作进一步的扩展，匹配其它厂家设备及仪器。项目验收前投标方应作为技术资料提供接口通讯协议。</w:t>
      </w:r>
    </w:p>
    <w:p w14:paraId="251FDFE9">
      <w:pPr>
        <w:spacing w:line="360" w:lineRule="auto"/>
        <w:rPr>
          <w:rFonts w:ascii="宋体"/>
          <w:sz w:val="24"/>
        </w:rPr>
      </w:pPr>
      <w:r>
        <w:rPr>
          <w:rFonts w:hint="eastAsia" w:ascii="宋体"/>
          <w:sz w:val="24"/>
        </w:rPr>
        <w:t>6</w:t>
      </w:r>
      <w:r>
        <w:rPr>
          <w:rFonts w:ascii="宋体"/>
          <w:sz w:val="24"/>
        </w:rPr>
        <w:t>.5测</w:t>
      </w:r>
      <w:r>
        <w:rPr>
          <w:rFonts w:hint="eastAsia" w:ascii="宋体"/>
          <w:sz w:val="24"/>
        </w:rPr>
        <w:t>控单元</w:t>
      </w:r>
    </w:p>
    <w:p w14:paraId="3647D6BE">
      <w:pPr>
        <w:spacing w:line="360" w:lineRule="auto"/>
        <w:ind w:firstLine="480" w:firstLineChars="200"/>
        <w:rPr>
          <w:rFonts w:ascii="宋体"/>
          <w:sz w:val="24"/>
        </w:rPr>
      </w:pPr>
      <w:r>
        <w:rPr>
          <w:rFonts w:hint="eastAsia" w:ascii="宋体"/>
          <w:sz w:val="24"/>
        </w:rPr>
        <w:t>投标方提供的测控单元应采用发动机油门控制回路和加载电机控制回路双闭环数字PID控制，系统设置控制面板，在一种控制方式转换为另一种方式运行时，无扰动。在随机切换时，响应速度快、运行稳定。</w:t>
      </w:r>
    </w:p>
    <w:p w14:paraId="09A88470">
      <w:pPr>
        <w:spacing w:line="360" w:lineRule="auto"/>
        <w:ind w:firstLine="480" w:firstLineChars="200"/>
        <w:rPr>
          <w:rFonts w:ascii="宋体"/>
          <w:sz w:val="24"/>
        </w:rPr>
      </w:pPr>
      <w:r>
        <w:rPr>
          <w:rFonts w:hint="eastAsia" w:ascii="宋体"/>
          <w:sz w:val="24"/>
        </w:rPr>
        <w:t>控制单元能同时显示转速、扭矩和油门位置的设定命令值和实际测量值，试验过程中能随时进行控制参数的调整变换。</w:t>
      </w:r>
    </w:p>
    <w:p w14:paraId="2D947E07">
      <w:pPr>
        <w:spacing w:line="360" w:lineRule="auto"/>
        <w:ind w:firstLine="480" w:firstLineChars="200"/>
        <w:rPr>
          <w:rFonts w:ascii="宋体"/>
          <w:sz w:val="24"/>
        </w:rPr>
      </w:pPr>
      <w:r>
        <w:rPr>
          <w:rFonts w:hint="eastAsia" w:ascii="宋体"/>
          <w:sz w:val="24"/>
        </w:rPr>
        <w:t>控制方式切换和扭矩、转速调节方便。面板上设置显示屏显示测量主要参数（转速、扭矩、功率、油耗、水温、润滑油压力、排温等），控制调节时可方便观察调节内容和结果。</w:t>
      </w:r>
    </w:p>
    <w:p w14:paraId="48430201">
      <w:pPr>
        <w:spacing w:line="360" w:lineRule="auto"/>
        <w:rPr>
          <w:rFonts w:ascii="宋体"/>
          <w:sz w:val="24"/>
        </w:rPr>
      </w:pPr>
      <w:r>
        <w:rPr>
          <w:rFonts w:ascii="宋体"/>
          <w:sz w:val="24"/>
        </w:rPr>
        <w:t>6.6工</w:t>
      </w:r>
      <w:r>
        <w:rPr>
          <w:rFonts w:hint="eastAsia" w:ascii="宋体"/>
          <w:sz w:val="24"/>
        </w:rPr>
        <w:t>控机</w:t>
      </w:r>
    </w:p>
    <w:p w14:paraId="4D39B8B2">
      <w:pPr>
        <w:spacing w:line="360" w:lineRule="auto"/>
        <w:ind w:firstLine="480" w:firstLineChars="200"/>
        <w:rPr>
          <w:rFonts w:ascii="宋体"/>
          <w:sz w:val="24"/>
        </w:rPr>
      </w:pPr>
      <w:r>
        <w:rPr>
          <w:rFonts w:ascii="宋体"/>
          <w:sz w:val="24"/>
        </w:rPr>
        <w:t>工</w:t>
      </w:r>
      <w:r>
        <w:rPr>
          <w:rFonts w:hint="eastAsia" w:ascii="宋体"/>
          <w:sz w:val="24"/>
        </w:rPr>
        <w:t>控制选用研华主流产品I</w:t>
      </w:r>
      <w:r>
        <w:rPr>
          <w:rFonts w:ascii="宋体"/>
          <w:sz w:val="24"/>
        </w:rPr>
        <w:t>PC610L机型，配</w:t>
      </w:r>
      <w:r>
        <w:rPr>
          <w:rFonts w:hint="eastAsia" w:ascii="宋体"/>
          <w:sz w:val="24"/>
        </w:rPr>
        <w:t>置不低于</w:t>
      </w:r>
      <w:r>
        <w:rPr>
          <w:rFonts w:ascii="宋体"/>
          <w:sz w:val="24"/>
        </w:rPr>
        <w:t>表8</w:t>
      </w:r>
      <w:r>
        <w:rPr>
          <w:rFonts w:hint="eastAsia" w:ascii="宋体"/>
          <w:sz w:val="24"/>
        </w:rPr>
        <w:t>要求。</w:t>
      </w:r>
    </w:p>
    <w:p w14:paraId="2C1BB131">
      <w:pPr>
        <w:spacing w:line="360" w:lineRule="auto"/>
        <w:ind w:firstLine="480" w:firstLineChars="200"/>
        <w:jc w:val="center"/>
        <w:rPr>
          <w:rFonts w:ascii="宋体"/>
          <w:sz w:val="24"/>
        </w:rPr>
      </w:pPr>
      <w:r>
        <w:rPr>
          <w:rFonts w:ascii="宋体"/>
          <w:sz w:val="24"/>
        </w:rPr>
        <w:t xml:space="preserve">表8  </w:t>
      </w:r>
      <w:r>
        <w:rPr>
          <w:rFonts w:hint="eastAsia" w:ascii="宋体"/>
          <w:sz w:val="24"/>
        </w:rPr>
        <w:t>工控机主要配置</w:t>
      </w:r>
    </w:p>
    <w:tbl>
      <w:tblPr>
        <w:tblStyle w:val="3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1"/>
        <w:gridCol w:w="2409"/>
        <w:gridCol w:w="5437"/>
      </w:tblGrid>
      <w:tr w14:paraId="100DE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shd w:val="clear" w:color="auto" w:fill="auto"/>
          </w:tcPr>
          <w:p w14:paraId="52019D50">
            <w:pPr>
              <w:spacing w:line="360" w:lineRule="auto"/>
              <w:jc w:val="center"/>
              <w:rPr>
                <w:rFonts w:ascii="宋体"/>
                <w:sz w:val="24"/>
              </w:rPr>
            </w:pPr>
            <w:r>
              <w:rPr>
                <w:rFonts w:hint="eastAsia" w:ascii="宋体"/>
                <w:sz w:val="24"/>
              </w:rPr>
              <w:t>序号</w:t>
            </w:r>
          </w:p>
        </w:tc>
        <w:tc>
          <w:tcPr>
            <w:tcW w:w="2409" w:type="dxa"/>
            <w:shd w:val="clear" w:color="auto" w:fill="auto"/>
          </w:tcPr>
          <w:p w14:paraId="0334BD5D">
            <w:pPr>
              <w:spacing w:line="360" w:lineRule="auto"/>
              <w:jc w:val="center"/>
              <w:rPr>
                <w:rFonts w:ascii="宋体"/>
                <w:sz w:val="24"/>
              </w:rPr>
            </w:pPr>
            <w:r>
              <w:rPr>
                <w:rFonts w:hint="eastAsia" w:ascii="宋体"/>
                <w:sz w:val="24"/>
              </w:rPr>
              <w:t>项目</w:t>
            </w:r>
          </w:p>
        </w:tc>
        <w:tc>
          <w:tcPr>
            <w:tcW w:w="5437" w:type="dxa"/>
            <w:shd w:val="clear" w:color="auto" w:fill="auto"/>
          </w:tcPr>
          <w:p w14:paraId="09DC0E67">
            <w:pPr>
              <w:spacing w:line="360" w:lineRule="auto"/>
              <w:jc w:val="center"/>
              <w:rPr>
                <w:rFonts w:ascii="宋体"/>
                <w:sz w:val="24"/>
              </w:rPr>
            </w:pPr>
            <w:r>
              <w:rPr>
                <w:rFonts w:hint="eastAsia" w:ascii="宋体"/>
                <w:sz w:val="24"/>
              </w:rPr>
              <w:t>要求</w:t>
            </w:r>
          </w:p>
        </w:tc>
      </w:tr>
      <w:tr w14:paraId="4F9BD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shd w:val="clear" w:color="auto" w:fill="auto"/>
          </w:tcPr>
          <w:p w14:paraId="43DABD4B">
            <w:pPr>
              <w:spacing w:line="360" w:lineRule="auto"/>
              <w:jc w:val="center"/>
              <w:rPr>
                <w:rFonts w:ascii="宋体"/>
                <w:sz w:val="24"/>
              </w:rPr>
            </w:pPr>
            <w:r>
              <w:rPr>
                <w:rFonts w:hint="eastAsia" w:ascii="宋体"/>
                <w:sz w:val="24"/>
              </w:rPr>
              <w:t>1</w:t>
            </w:r>
          </w:p>
        </w:tc>
        <w:tc>
          <w:tcPr>
            <w:tcW w:w="2409" w:type="dxa"/>
            <w:shd w:val="clear" w:color="auto" w:fill="auto"/>
          </w:tcPr>
          <w:p w14:paraId="5F5B9D63">
            <w:pPr>
              <w:spacing w:line="360" w:lineRule="auto"/>
              <w:rPr>
                <w:rFonts w:ascii="宋体"/>
                <w:sz w:val="24"/>
              </w:rPr>
            </w:pPr>
            <w:r>
              <w:rPr>
                <w:rFonts w:hint="eastAsia" w:ascii="宋体"/>
                <w:sz w:val="24"/>
              </w:rPr>
              <w:t>C</w:t>
            </w:r>
            <w:r>
              <w:rPr>
                <w:rFonts w:ascii="宋体"/>
                <w:sz w:val="24"/>
              </w:rPr>
              <w:t>PU</w:t>
            </w:r>
          </w:p>
        </w:tc>
        <w:tc>
          <w:tcPr>
            <w:tcW w:w="5437" w:type="dxa"/>
            <w:shd w:val="clear" w:color="auto" w:fill="auto"/>
            <w:vAlign w:val="center"/>
          </w:tcPr>
          <w:p w14:paraId="3EA07254">
            <w:pPr>
              <w:spacing w:line="360" w:lineRule="auto"/>
              <w:jc w:val="both"/>
              <w:rPr>
                <w:rFonts w:ascii="宋体"/>
                <w:sz w:val="24"/>
              </w:rPr>
            </w:pPr>
            <w:r>
              <w:rPr>
                <w:rFonts w:ascii="宋体"/>
                <w:sz w:val="24"/>
              </w:rPr>
              <w:t>Core i7</w:t>
            </w:r>
          </w:p>
        </w:tc>
      </w:tr>
      <w:tr w14:paraId="3068C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shd w:val="clear" w:color="auto" w:fill="auto"/>
          </w:tcPr>
          <w:p w14:paraId="63ECB30E">
            <w:pPr>
              <w:spacing w:line="360" w:lineRule="auto"/>
              <w:jc w:val="center"/>
              <w:rPr>
                <w:rFonts w:ascii="宋体"/>
                <w:sz w:val="24"/>
              </w:rPr>
            </w:pPr>
            <w:r>
              <w:rPr>
                <w:rFonts w:hint="eastAsia" w:ascii="宋体"/>
                <w:sz w:val="24"/>
              </w:rPr>
              <w:t>2</w:t>
            </w:r>
          </w:p>
        </w:tc>
        <w:tc>
          <w:tcPr>
            <w:tcW w:w="2409" w:type="dxa"/>
            <w:shd w:val="clear" w:color="auto" w:fill="auto"/>
          </w:tcPr>
          <w:p w14:paraId="3FA1BCED">
            <w:pPr>
              <w:spacing w:line="360" w:lineRule="auto"/>
              <w:rPr>
                <w:rFonts w:ascii="宋体"/>
                <w:sz w:val="24"/>
              </w:rPr>
            </w:pPr>
            <w:r>
              <w:rPr>
                <w:rFonts w:hint="eastAsia" w:ascii="宋体"/>
                <w:sz w:val="24"/>
              </w:rPr>
              <w:t>内存</w:t>
            </w:r>
          </w:p>
        </w:tc>
        <w:tc>
          <w:tcPr>
            <w:tcW w:w="5437" w:type="dxa"/>
            <w:shd w:val="clear" w:color="auto" w:fill="auto"/>
            <w:vAlign w:val="center"/>
          </w:tcPr>
          <w:p w14:paraId="63D7CB3A">
            <w:pPr>
              <w:spacing w:line="360" w:lineRule="auto"/>
              <w:jc w:val="both"/>
              <w:rPr>
                <w:rFonts w:ascii="宋体"/>
                <w:sz w:val="24"/>
              </w:rPr>
            </w:pPr>
            <w:r>
              <w:rPr>
                <w:rFonts w:ascii="宋体"/>
                <w:sz w:val="24"/>
              </w:rPr>
              <w:t>32G DDR4</w:t>
            </w:r>
          </w:p>
        </w:tc>
      </w:tr>
      <w:tr w14:paraId="2CA39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shd w:val="clear" w:color="auto" w:fill="auto"/>
          </w:tcPr>
          <w:p w14:paraId="657E086E">
            <w:pPr>
              <w:spacing w:line="360" w:lineRule="auto"/>
              <w:jc w:val="center"/>
              <w:rPr>
                <w:rFonts w:ascii="宋体"/>
                <w:sz w:val="24"/>
              </w:rPr>
            </w:pPr>
            <w:r>
              <w:rPr>
                <w:rFonts w:hint="eastAsia" w:ascii="宋体"/>
                <w:sz w:val="24"/>
              </w:rPr>
              <w:t>3</w:t>
            </w:r>
          </w:p>
        </w:tc>
        <w:tc>
          <w:tcPr>
            <w:tcW w:w="2409" w:type="dxa"/>
            <w:shd w:val="clear" w:color="auto" w:fill="auto"/>
          </w:tcPr>
          <w:p w14:paraId="5D5D6B68">
            <w:pPr>
              <w:spacing w:line="360" w:lineRule="auto"/>
              <w:rPr>
                <w:rFonts w:ascii="宋体"/>
                <w:sz w:val="24"/>
              </w:rPr>
            </w:pPr>
            <w:r>
              <w:rPr>
                <w:rFonts w:hint="eastAsia" w:ascii="宋体"/>
                <w:sz w:val="24"/>
              </w:rPr>
              <w:t>硬盘</w:t>
            </w:r>
          </w:p>
        </w:tc>
        <w:tc>
          <w:tcPr>
            <w:tcW w:w="5437" w:type="dxa"/>
            <w:shd w:val="clear" w:color="auto" w:fill="auto"/>
            <w:vAlign w:val="center"/>
          </w:tcPr>
          <w:p w14:paraId="0129117C">
            <w:pPr>
              <w:spacing w:line="360" w:lineRule="auto"/>
              <w:jc w:val="both"/>
              <w:rPr>
                <w:rFonts w:ascii="宋体"/>
                <w:sz w:val="24"/>
              </w:rPr>
            </w:pPr>
            <w:r>
              <w:t>SSD 256G + HDD 2T</w:t>
            </w:r>
          </w:p>
        </w:tc>
      </w:tr>
      <w:tr w14:paraId="71A84D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shd w:val="clear" w:color="auto" w:fill="auto"/>
          </w:tcPr>
          <w:p w14:paraId="32ACBD6C">
            <w:pPr>
              <w:spacing w:line="360" w:lineRule="auto"/>
              <w:jc w:val="center"/>
              <w:rPr>
                <w:rFonts w:ascii="宋体"/>
                <w:sz w:val="24"/>
              </w:rPr>
            </w:pPr>
            <w:r>
              <w:rPr>
                <w:rFonts w:hint="eastAsia" w:ascii="宋体"/>
                <w:sz w:val="24"/>
              </w:rPr>
              <w:t>4</w:t>
            </w:r>
          </w:p>
        </w:tc>
        <w:tc>
          <w:tcPr>
            <w:tcW w:w="2409" w:type="dxa"/>
            <w:shd w:val="clear" w:color="auto" w:fill="auto"/>
          </w:tcPr>
          <w:p w14:paraId="35190CEB">
            <w:pPr>
              <w:spacing w:line="360" w:lineRule="auto"/>
              <w:rPr>
                <w:rFonts w:ascii="宋体"/>
                <w:sz w:val="24"/>
              </w:rPr>
            </w:pPr>
            <w:r>
              <w:rPr>
                <w:rFonts w:hint="eastAsia" w:ascii="宋体"/>
                <w:sz w:val="24"/>
              </w:rPr>
              <w:t>键盘</w:t>
            </w:r>
          </w:p>
        </w:tc>
        <w:tc>
          <w:tcPr>
            <w:tcW w:w="5437" w:type="dxa"/>
            <w:shd w:val="clear" w:color="auto" w:fill="auto"/>
          </w:tcPr>
          <w:p w14:paraId="3D7A989D">
            <w:pPr>
              <w:spacing w:line="360" w:lineRule="auto"/>
              <w:rPr>
                <w:rFonts w:ascii="宋体"/>
                <w:sz w:val="24"/>
              </w:rPr>
            </w:pPr>
            <w:r>
              <w:rPr>
                <w:rFonts w:ascii="宋体"/>
                <w:sz w:val="24"/>
              </w:rPr>
              <w:t>全尺寸</w:t>
            </w:r>
            <w:r>
              <w:rPr>
                <w:rFonts w:hint="eastAsia" w:ascii="宋体"/>
                <w:sz w:val="24"/>
              </w:rPr>
              <w:t>1</w:t>
            </w:r>
            <w:r>
              <w:rPr>
                <w:rFonts w:ascii="宋体"/>
                <w:sz w:val="24"/>
              </w:rPr>
              <w:t>04键，（双</w:t>
            </w:r>
            <w:r>
              <w:rPr>
                <w:rFonts w:hint="eastAsia" w:ascii="宋体"/>
                <w:sz w:val="24"/>
              </w:rPr>
              <w:t>飞燕</w:t>
            </w:r>
            <w:r>
              <w:rPr>
                <w:rFonts w:ascii="宋体"/>
                <w:sz w:val="24"/>
              </w:rPr>
              <w:t>、罗</w:t>
            </w:r>
            <w:r>
              <w:rPr>
                <w:rFonts w:hint="eastAsia" w:ascii="宋体"/>
                <w:sz w:val="24"/>
              </w:rPr>
              <w:t>技</w:t>
            </w:r>
            <w:r>
              <w:rPr>
                <w:rFonts w:ascii="宋体"/>
                <w:sz w:val="24"/>
              </w:rPr>
              <w:t>）</w:t>
            </w:r>
          </w:p>
        </w:tc>
      </w:tr>
      <w:tr w14:paraId="7D2D0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shd w:val="clear" w:color="auto" w:fill="auto"/>
          </w:tcPr>
          <w:p w14:paraId="25A70087">
            <w:pPr>
              <w:spacing w:line="360" w:lineRule="auto"/>
              <w:jc w:val="center"/>
              <w:rPr>
                <w:rFonts w:ascii="宋体"/>
                <w:sz w:val="24"/>
              </w:rPr>
            </w:pPr>
            <w:r>
              <w:rPr>
                <w:rFonts w:hint="eastAsia" w:ascii="宋体"/>
                <w:sz w:val="24"/>
              </w:rPr>
              <w:t>5</w:t>
            </w:r>
          </w:p>
        </w:tc>
        <w:tc>
          <w:tcPr>
            <w:tcW w:w="2409" w:type="dxa"/>
            <w:shd w:val="clear" w:color="auto" w:fill="auto"/>
          </w:tcPr>
          <w:p w14:paraId="79096EA8">
            <w:pPr>
              <w:spacing w:line="360" w:lineRule="auto"/>
              <w:rPr>
                <w:rFonts w:ascii="宋体"/>
                <w:sz w:val="24"/>
              </w:rPr>
            </w:pPr>
            <w:r>
              <w:rPr>
                <w:rFonts w:hint="eastAsia" w:ascii="宋体"/>
                <w:sz w:val="24"/>
              </w:rPr>
              <w:t>鼠标</w:t>
            </w:r>
          </w:p>
        </w:tc>
        <w:tc>
          <w:tcPr>
            <w:tcW w:w="5437" w:type="dxa"/>
            <w:shd w:val="clear" w:color="auto" w:fill="auto"/>
          </w:tcPr>
          <w:p w14:paraId="1B2975AD">
            <w:pPr>
              <w:spacing w:line="360" w:lineRule="auto"/>
              <w:rPr>
                <w:rFonts w:ascii="宋体"/>
                <w:sz w:val="24"/>
              </w:rPr>
            </w:pPr>
            <w:r>
              <w:rPr>
                <w:rFonts w:ascii="宋体"/>
                <w:sz w:val="24"/>
              </w:rPr>
              <w:t>（双</w:t>
            </w:r>
            <w:r>
              <w:rPr>
                <w:rFonts w:hint="eastAsia" w:ascii="宋体"/>
                <w:sz w:val="24"/>
              </w:rPr>
              <w:t>飞燕</w:t>
            </w:r>
            <w:r>
              <w:rPr>
                <w:rFonts w:ascii="宋体"/>
                <w:sz w:val="24"/>
              </w:rPr>
              <w:t>、罗</w:t>
            </w:r>
            <w:r>
              <w:rPr>
                <w:rFonts w:hint="eastAsia" w:ascii="宋体"/>
                <w:sz w:val="24"/>
              </w:rPr>
              <w:t>技</w:t>
            </w:r>
            <w:r>
              <w:rPr>
                <w:rFonts w:ascii="宋体"/>
                <w:sz w:val="24"/>
              </w:rPr>
              <w:t>）</w:t>
            </w:r>
          </w:p>
        </w:tc>
      </w:tr>
      <w:tr w14:paraId="1E3EE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shd w:val="clear" w:color="auto" w:fill="auto"/>
          </w:tcPr>
          <w:p w14:paraId="3F601CA0">
            <w:pPr>
              <w:spacing w:line="360" w:lineRule="auto"/>
              <w:jc w:val="center"/>
              <w:rPr>
                <w:rFonts w:ascii="宋体"/>
                <w:sz w:val="24"/>
              </w:rPr>
            </w:pPr>
            <w:r>
              <w:rPr>
                <w:rFonts w:hint="eastAsia" w:ascii="宋体"/>
                <w:sz w:val="24"/>
              </w:rPr>
              <w:t>6</w:t>
            </w:r>
          </w:p>
        </w:tc>
        <w:tc>
          <w:tcPr>
            <w:tcW w:w="2409" w:type="dxa"/>
            <w:shd w:val="clear" w:color="auto" w:fill="auto"/>
          </w:tcPr>
          <w:p w14:paraId="1A8747A3">
            <w:pPr>
              <w:spacing w:line="360" w:lineRule="auto"/>
              <w:rPr>
                <w:rFonts w:ascii="宋体"/>
                <w:sz w:val="24"/>
              </w:rPr>
            </w:pPr>
            <w:r>
              <w:rPr>
                <w:rFonts w:hint="eastAsia" w:ascii="宋体"/>
                <w:sz w:val="24"/>
              </w:rPr>
              <w:t>P</w:t>
            </w:r>
            <w:r>
              <w:rPr>
                <w:rFonts w:ascii="宋体"/>
                <w:sz w:val="24"/>
              </w:rPr>
              <w:t>CI网</w:t>
            </w:r>
            <w:r>
              <w:rPr>
                <w:rFonts w:hint="eastAsia" w:ascii="宋体"/>
                <w:sz w:val="24"/>
              </w:rPr>
              <w:t>卡</w:t>
            </w:r>
          </w:p>
        </w:tc>
        <w:tc>
          <w:tcPr>
            <w:tcW w:w="5437" w:type="dxa"/>
            <w:shd w:val="clear" w:color="auto" w:fill="auto"/>
          </w:tcPr>
          <w:p w14:paraId="5A8170E1">
            <w:pPr>
              <w:spacing w:line="360" w:lineRule="auto"/>
              <w:rPr>
                <w:rFonts w:ascii="宋体"/>
                <w:sz w:val="24"/>
              </w:rPr>
            </w:pPr>
            <w:r>
              <w:rPr>
                <w:rFonts w:ascii="宋体"/>
                <w:sz w:val="24"/>
              </w:rPr>
              <w:t xml:space="preserve">1000MB/10MB </w:t>
            </w:r>
            <w:r>
              <w:rPr>
                <w:rFonts w:hint="eastAsia" w:ascii="宋体"/>
                <w:sz w:val="24"/>
              </w:rPr>
              <w:t>双网口</w:t>
            </w:r>
            <w:r>
              <w:rPr>
                <w:rFonts w:ascii="宋体"/>
                <w:sz w:val="24"/>
              </w:rPr>
              <w:t>，同时配</w:t>
            </w:r>
            <w:r>
              <w:rPr>
                <w:rFonts w:hint="eastAsia" w:ascii="宋体"/>
                <w:sz w:val="24"/>
              </w:rPr>
              <w:t>无线网卡</w:t>
            </w:r>
          </w:p>
        </w:tc>
      </w:tr>
      <w:tr w14:paraId="2B7E1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shd w:val="clear" w:color="auto" w:fill="auto"/>
          </w:tcPr>
          <w:p w14:paraId="57C231F1">
            <w:pPr>
              <w:spacing w:line="360" w:lineRule="auto"/>
              <w:jc w:val="center"/>
              <w:rPr>
                <w:rFonts w:ascii="宋体"/>
                <w:sz w:val="24"/>
              </w:rPr>
            </w:pPr>
            <w:r>
              <w:rPr>
                <w:rFonts w:hint="eastAsia" w:ascii="宋体"/>
                <w:sz w:val="24"/>
              </w:rPr>
              <w:t>7</w:t>
            </w:r>
          </w:p>
        </w:tc>
        <w:tc>
          <w:tcPr>
            <w:tcW w:w="2409" w:type="dxa"/>
            <w:shd w:val="clear" w:color="auto" w:fill="auto"/>
          </w:tcPr>
          <w:p w14:paraId="1D8C3FE1">
            <w:pPr>
              <w:spacing w:line="360" w:lineRule="auto"/>
              <w:rPr>
                <w:rFonts w:ascii="宋体"/>
                <w:sz w:val="24"/>
              </w:rPr>
            </w:pPr>
            <w:r>
              <w:rPr>
                <w:rFonts w:hint="eastAsia" w:ascii="宋体"/>
                <w:sz w:val="24"/>
              </w:rPr>
              <w:t>显示器</w:t>
            </w:r>
          </w:p>
        </w:tc>
        <w:tc>
          <w:tcPr>
            <w:tcW w:w="5437" w:type="dxa"/>
            <w:shd w:val="clear" w:color="auto" w:fill="auto"/>
          </w:tcPr>
          <w:p w14:paraId="0AC8F695">
            <w:pPr>
              <w:spacing w:line="360" w:lineRule="auto"/>
              <w:rPr>
                <w:rFonts w:ascii="宋体"/>
                <w:sz w:val="24"/>
              </w:rPr>
            </w:pPr>
            <w:r>
              <w:rPr>
                <w:rFonts w:ascii="宋体"/>
                <w:sz w:val="24"/>
              </w:rPr>
              <w:t>2</w:t>
            </w:r>
            <w:r>
              <w:rPr>
                <w:rFonts w:hint="eastAsia" w:ascii="宋体"/>
                <w:sz w:val="24"/>
              </w:rPr>
              <w:t>台宽屏彩色液晶显示器（戴尔</w:t>
            </w:r>
            <w:r>
              <w:rPr>
                <w:rFonts w:ascii="宋体"/>
                <w:sz w:val="24"/>
              </w:rPr>
              <w:t>24</w:t>
            </w:r>
            <w:r>
              <w:rPr>
                <w:rFonts w:hint="eastAsia" w:ascii="宋体"/>
                <w:sz w:val="24"/>
              </w:rPr>
              <w:t>英寸）</w:t>
            </w:r>
            <w:r>
              <w:rPr>
                <w:rFonts w:ascii="宋体"/>
                <w:sz w:val="24"/>
              </w:rPr>
              <w:t xml:space="preserve"> </w:t>
            </w:r>
          </w:p>
        </w:tc>
      </w:tr>
      <w:tr w14:paraId="57DB7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shd w:val="clear" w:color="auto" w:fill="auto"/>
          </w:tcPr>
          <w:p w14:paraId="05F3F0C1">
            <w:pPr>
              <w:spacing w:line="360" w:lineRule="auto"/>
              <w:jc w:val="center"/>
              <w:rPr>
                <w:rFonts w:ascii="宋体"/>
                <w:sz w:val="24"/>
              </w:rPr>
            </w:pPr>
            <w:r>
              <w:rPr>
                <w:rFonts w:hint="eastAsia" w:ascii="宋体"/>
                <w:sz w:val="24"/>
              </w:rPr>
              <w:t>8</w:t>
            </w:r>
          </w:p>
        </w:tc>
        <w:tc>
          <w:tcPr>
            <w:tcW w:w="2409" w:type="dxa"/>
            <w:shd w:val="clear" w:color="auto" w:fill="auto"/>
          </w:tcPr>
          <w:p w14:paraId="0948B90C">
            <w:pPr>
              <w:spacing w:line="360" w:lineRule="auto"/>
              <w:rPr>
                <w:rFonts w:ascii="宋体"/>
                <w:sz w:val="24"/>
              </w:rPr>
            </w:pPr>
            <w:r>
              <w:rPr>
                <w:rFonts w:hint="eastAsia" w:ascii="宋体"/>
                <w:sz w:val="24"/>
              </w:rPr>
              <w:t>通讯接口</w:t>
            </w:r>
          </w:p>
        </w:tc>
        <w:tc>
          <w:tcPr>
            <w:tcW w:w="5437" w:type="dxa"/>
            <w:shd w:val="clear" w:color="auto" w:fill="auto"/>
          </w:tcPr>
          <w:p w14:paraId="1AB5F244">
            <w:pPr>
              <w:spacing w:line="360" w:lineRule="auto"/>
              <w:rPr>
                <w:rFonts w:ascii="宋体"/>
                <w:sz w:val="24"/>
              </w:rPr>
            </w:pPr>
            <w:r>
              <w:rPr>
                <w:rFonts w:ascii="宋体"/>
                <w:sz w:val="24"/>
              </w:rPr>
              <w:t>2</w:t>
            </w:r>
            <w:r>
              <w:rPr>
                <w:rFonts w:hint="eastAsia" w:ascii="宋体"/>
                <w:sz w:val="24"/>
              </w:rPr>
              <w:t>个</w:t>
            </w:r>
            <w:r>
              <w:rPr>
                <w:rFonts w:ascii="宋体"/>
                <w:sz w:val="24"/>
              </w:rPr>
              <w:t>RS232</w:t>
            </w:r>
            <w:r>
              <w:rPr>
                <w:rFonts w:hint="eastAsia" w:ascii="宋体"/>
                <w:sz w:val="24"/>
              </w:rPr>
              <w:t>，</w:t>
            </w:r>
            <w:r>
              <w:rPr>
                <w:rFonts w:ascii="宋体"/>
                <w:sz w:val="24"/>
              </w:rPr>
              <w:t>4</w:t>
            </w:r>
            <w:r>
              <w:rPr>
                <w:rFonts w:hint="eastAsia" w:ascii="宋体"/>
                <w:sz w:val="24"/>
              </w:rPr>
              <w:t>个R</w:t>
            </w:r>
            <w:r>
              <w:rPr>
                <w:rFonts w:ascii="宋体"/>
                <w:sz w:val="24"/>
              </w:rPr>
              <w:t>S232/RS485</w:t>
            </w:r>
            <w:r>
              <w:rPr>
                <w:rFonts w:hint="eastAsia" w:ascii="宋体"/>
                <w:sz w:val="24"/>
              </w:rPr>
              <w:t>；</w:t>
            </w:r>
            <w:r>
              <w:rPr>
                <w:rFonts w:ascii="宋体"/>
                <w:sz w:val="24"/>
              </w:rPr>
              <w:t xml:space="preserve">6个USB </w:t>
            </w:r>
          </w:p>
        </w:tc>
      </w:tr>
      <w:tr w14:paraId="1966D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shd w:val="clear" w:color="auto" w:fill="auto"/>
          </w:tcPr>
          <w:p w14:paraId="46EC63FC">
            <w:pPr>
              <w:spacing w:line="360" w:lineRule="auto"/>
              <w:jc w:val="center"/>
              <w:rPr>
                <w:rFonts w:ascii="宋体"/>
                <w:sz w:val="24"/>
              </w:rPr>
            </w:pPr>
            <w:r>
              <w:rPr>
                <w:rFonts w:ascii="宋体"/>
                <w:sz w:val="24"/>
              </w:rPr>
              <w:t>9</w:t>
            </w:r>
          </w:p>
        </w:tc>
        <w:tc>
          <w:tcPr>
            <w:tcW w:w="2409" w:type="dxa"/>
            <w:shd w:val="clear" w:color="auto" w:fill="auto"/>
          </w:tcPr>
          <w:p w14:paraId="45E6DBC5">
            <w:pPr>
              <w:spacing w:line="360" w:lineRule="auto"/>
              <w:rPr>
                <w:rFonts w:ascii="宋体"/>
                <w:sz w:val="24"/>
              </w:rPr>
            </w:pPr>
            <w:r>
              <w:rPr>
                <w:rFonts w:hint="eastAsia" w:ascii="宋体"/>
                <w:sz w:val="24"/>
              </w:rPr>
              <w:t>系统软件</w:t>
            </w:r>
          </w:p>
        </w:tc>
        <w:tc>
          <w:tcPr>
            <w:tcW w:w="5437" w:type="dxa"/>
            <w:shd w:val="clear" w:color="auto" w:fill="auto"/>
          </w:tcPr>
          <w:p w14:paraId="4E00F04F">
            <w:pPr>
              <w:spacing w:line="360" w:lineRule="auto"/>
              <w:rPr>
                <w:rFonts w:ascii="宋体"/>
                <w:sz w:val="24"/>
              </w:rPr>
            </w:pPr>
            <w:r>
              <w:rPr>
                <w:rFonts w:hint="eastAsia" w:ascii="宋体"/>
                <w:sz w:val="24"/>
              </w:rPr>
              <w:t>操作系统W</w:t>
            </w:r>
            <w:r>
              <w:rPr>
                <w:rFonts w:ascii="宋体"/>
                <w:sz w:val="24"/>
              </w:rPr>
              <w:t>in10或</w:t>
            </w:r>
            <w:r>
              <w:rPr>
                <w:rFonts w:hint="eastAsia" w:ascii="宋体"/>
                <w:sz w:val="24"/>
              </w:rPr>
              <w:t>以上；所有软件应为正版</w:t>
            </w:r>
            <w:r>
              <w:rPr>
                <w:rFonts w:ascii="宋体"/>
                <w:sz w:val="24"/>
              </w:rPr>
              <w:t xml:space="preserve"> </w:t>
            </w:r>
          </w:p>
        </w:tc>
      </w:tr>
      <w:tr w14:paraId="0278D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shd w:val="clear" w:color="auto" w:fill="auto"/>
          </w:tcPr>
          <w:p w14:paraId="6FC2C617">
            <w:pPr>
              <w:spacing w:line="360" w:lineRule="auto"/>
              <w:jc w:val="center"/>
              <w:rPr>
                <w:rFonts w:ascii="宋体"/>
                <w:sz w:val="24"/>
              </w:rPr>
            </w:pPr>
          </w:p>
        </w:tc>
        <w:tc>
          <w:tcPr>
            <w:tcW w:w="2409" w:type="dxa"/>
            <w:shd w:val="clear" w:color="auto" w:fill="auto"/>
          </w:tcPr>
          <w:p w14:paraId="182AC46A">
            <w:pPr>
              <w:spacing w:line="360" w:lineRule="auto"/>
              <w:rPr>
                <w:rFonts w:ascii="宋体"/>
                <w:sz w:val="24"/>
              </w:rPr>
            </w:pPr>
          </w:p>
        </w:tc>
        <w:tc>
          <w:tcPr>
            <w:tcW w:w="5437" w:type="dxa"/>
            <w:shd w:val="clear" w:color="auto" w:fill="auto"/>
          </w:tcPr>
          <w:p w14:paraId="3925DA57">
            <w:pPr>
              <w:spacing w:line="360" w:lineRule="auto"/>
              <w:rPr>
                <w:rFonts w:ascii="宋体"/>
                <w:sz w:val="24"/>
              </w:rPr>
            </w:pPr>
          </w:p>
        </w:tc>
      </w:tr>
    </w:tbl>
    <w:p w14:paraId="19565E87">
      <w:pPr>
        <w:spacing w:line="360" w:lineRule="auto"/>
        <w:rPr>
          <w:rFonts w:ascii="宋体"/>
          <w:sz w:val="24"/>
        </w:rPr>
      </w:pPr>
      <w:r>
        <w:rPr>
          <w:rFonts w:hint="eastAsia" w:ascii="宋体"/>
          <w:sz w:val="24"/>
        </w:rPr>
        <w:t>6</w:t>
      </w:r>
      <w:r>
        <w:rPr>
          <w:rFonts w:ascii="宋体"/>
          <w:sz w:val="24"/>
        </w:rPr>
        <w:t>.7测</w:t>
      </w:r>
      <w:r>
        <w:rPr>
          <w:rFonts w:hint="eastAsia" w:ascii="宋体"/>
          <w:sz w:val="24"/>
        </w:rPr>
        <w:t>控柜和操作台</w:t>
      </w:r>
    </w:p>
    <w:p w14:paraId="3E89972D">
      <w:pPr>
        <w:spacing w:line="360" w:lineRule="auto"/>
        <w:ind w:firstLine="480" w:firstLineChars="200"/>
        <w:rPr>
          <w:rFonts w:ascii="宋体"/>
          <w:sz w:val="24"/>
        </w:rPr>
      </w:pPr>
      <w:r>
        <w:rPr>
          <w:rFonts w:hint="eastAsia" w:ascii="宋体"/>
          <w:sz w:val="24"/>
        </w:rPr>
        <w:t>选用19</w:t>
      </w:r>
      <w:r>
        <w:rPr>
          <w:rFonts w:ascii="Arial" w:hAnsi="Arial" w:cs="Arial"/>
          <w:sz w:val="24"/>
        </w:rPr>
        <w:t>”</w:t>
      </w:r>
      <w:r>
        <w:rPr>
          <w:rFonts w:ascii="宋体"/>
          <w:sz w:val="24"/>
        </w:rPr>
        <w:t xml:space="preserve"> </w:t>
      </w:r>
      <w:r>
        <w:rPr>
          <w:rFonts w:hint="eastAsia" w:ascii="宋体"/>
          <w:sz w:val="24"/>
        </w:rPr>
        <w:t>立式控制柜，控制柜内安装下位机、上位机、操作开关、指示灯及仪表等，在合适位置应留有一个面板安装位，用于安装招标方的发动机线束的开关。</w:t>
      </w:r>
    </w:p>
    <w:p w14:paraId="7CDEC1D6">
      <w:pPr>
        <w:spacing w:line="360" w:lineRule="auto"/>
        <w:ind w:firstLine="480" w:firstLineChars="200"/>
        <w:rPr>
          <w:rFonts w:ascii="宋体"/>
          <w:sz w:val="24"/>
        </w:rPr>
      </w:pPr>
      <w:r>
        <w:rPr>
          <w:rFonts w:ascii="宋体"/>
          <w:sz w:val="24"/>
        </w:rPr>
        <w:t>操作</w:t>
      </w:r>
      <w:r>
        <w:rPr>
          <w:rFonts w:hint="eastAsia" w:ascii="宋体"/>
          <w:sz w:val="24"/>
        </w:rPr>
        <w:t>台</w:t>
      </w:r>
      <w:r>
        <w:rPr>
          <w:rFonts w:ascii="宋体"/>
          <w:sz w:val="24"/>
        </w:rPr>
        <w:t>采用卧</w:t>
      </w:r>
      <w:r>
        <w:rPr>
          <w:rFonts w:hint="eastAsia" w:ascii="宋体"/>
          <w:sz w:val="24"/>
        </w:rPr>
        <w:t>式结构，</w:t>
      </w:r>
      <w:r>
        <w:rPr>
          <w:rFonts w:ascii="宋体"/>
          <w:sz w:val="24"/>
        </w:rPr>
        <w:t>长</w:t>
      </w:r>
      <w:r>
        <w:rPr>
          <w:rFonts w:hint="eastAsia" w:ascii="宋体"/>
          <w:sz w:val="24"/>
        </w:rPr>
        <w:t>度不小于1</w:t>
      </w:r>
      <w:r>
        <w:rPr>
          <w:rFonts w:ascii="宋体"/>
          <w:sz w:val="24"/>
        </w:rPr>
        <w:t>200mm。</w:t>
      </w:r>
    </w:p>
    <w:p w14:paraId="0834F8DF">
      <w:pPr>
        <w:spacing w:line="360" w:lineRule="auto"/>
        <w:ind w:firstLine="480" w:firstLineChars="200"/>
        <w:rPr>
          <w:rFonts w:ascii="宋体"/>
          <w:sz w:val="24"/>
        </w:rPr>
      </w:pPr>
      <w:r>
        <w:rPr>
          <w:rFonts w:ascii="宋体"/>
          <w:sz w:val="24"/>
        </w:rPr>
        <w:t>坐凳</w:t>
      </w:r>
      <w:r>
        <w:rPr>
          <w:rFonts w:hint="eastAsia" w:ascii="宋体"/>
          <w:sz w:val="24"/>
        </w:rPr>
        <w:t>利旧，用膨胀</w:t>
      </w:r>
      <w:r>
        <w:rPr>
          <w:rFonts w:ascii="宋体"/>
          <w:sz w:val="24"/>
        </w:rPr>
        <w:t>螺栓固</w:t>
      </w:r>
      <w:r>
        <w:rPr>
          <w:rFonts w:hint="eastAsia" w:ascii="宋体"/>
          <w:sz w:val="24"/>
        </w:rPr>
        <w:t>定。</w:t>
      </w:r>
    </w:p>
    <w:p w14:paraId="15E2E5F6">
      <w:pPr>
        <w:spacing w:line="360" w:lineRule="auto"/>
        <w:rPr>
          <w:rFonts w:ascii="宋体"/>
          <w:sz w:val="24"/>
        </w:rPr>
      </w:pPr>
      <w:r>
        <w:rPr>
          <w:rFonts w:hint="eastAsia" w:ascii="宋体"/>
          <w:sz w:val="24"/>
        </w:rPr>
        <w:t>6</w:t>
      </w:r>
      <w:r>
        <w:rPr>
          <w:rFonts w:ascii="宋体"/>
          <w:sz w:val="24"/>
        </w:rPr>
        <w:t>.8 ECU电源</w:t>
      </w:r>
    </w:p>
    <w:p w14:paraId="590CC7CD">
      <w:pPr>
        <w:spacing w:line="360" w:lineRule="auto"/>
        <w:ind w:firstLine="480" w:firstLineChars="200"/>
        <w:rPr>
          <w:rFonts w:ascii="宋体"/>
          <w:sz w:val="24"/>
        </w:rPr>
      </w:pPr>
      <w:r>
        <w:rPr>
          <w:rFonts w:ascii="宋体"/>
          <w:sz w:val="24"/>
        </w:rPr>
        <w:t>选</w:t>
      </w:r>
      <w:r>
        <w:rPr>
          <w:rFonts w:hint="eastAsia" w:ascii="宋体"/>
          <w:sz w:val="24"/>
        </w:rPr>
        <w:t>用明</w:t>
      </w:r>
      <w:r>
        <w:rPr>
          <w:rFonts w:ascii="宋体"/>
          <w:sz w:val="24"/>
        </w:rPr>
        <w:t>纬</w:t>
      </w:r>
      <w:r>
        <w:rPr>
          <w:rFonts w:hint="eastAsia" w:ascii="宋体"/>
          <w:sz w:val="24"/>
        </w:rPr>
        <w:t>开关电源，输出直流电压2</w:t>
      </w:r>
      <w:r>
        <w:rPr>
          <w:rFonts w:ascii="宋体"/>
          <w:sz w:val="24"/>
        </w:rPr>
        <w:t>4V，输</w:t>
      </w:r>
      <w:r>
        <w:rPr>
          <w:rFonts w:hint="eastAsia" w:ascii="宋体"/>
          <w:sz w:val="24"/>
        </w:rPr>
        <w:t>出</w:t>
      </w:r>
      <w:r>
        <w:rPr>
          <w:rFonts w:ascii="宋体"/>
          <w:sz w:val="24"/>
        </w:rPr>
        <w:t>额</w:t>
      </w:r>
      <w:r>
        <w:rPr>
          <w:rFonts w:hint="eastAsia" w:ascii="宋体"/>
          <w:sz w:val="24"/>
        </w:rPr>
        <w:t>定</w:t>
      </w:r>
      <w:r>
        <w:rPr>
          <w:rFonts w:ascii="宋体"/>
          <w:sz w:val="24"/>
        </w:rPr>
        <w:t>电</w:t>
      </w:r>
      <w:r>
        <w:rPr>
          <w:rFonts w:hint="eastAsia" w:ascii="宋体"/>
          <w:sz w:val="24"/>
        </w:rPr>
        <w:t>流不小于3</w:t>
      </w:r>
      <w:r>
        <w:rPr>
          <w:rFonts w:ascii="宋体"/>
          <w:sz w:val="24"/>
        </w:rPr>
        <w:t>0A。</w:t>
      </w:r>
    </w:p>
    <w:p w14:paraId="6C51EECB">
      <w:pPr>
        <w:spacing w:line="360" w:lineRule="auto"/>
        <w:rPr>
          <w:rFonts w:ascii="宋体"/>
          <w:sz w:val="24"/>
        </w:rPr>
      </w:pPr>
      <w:r>
        <w:rPr>
          <w:rFonts w:hint="eastAsia" w:ascii="宋体"/>
          <w:sz w:val="24"/>
        </w:rPr>
        <w:t>6</w:t>
      </w:r>
      <w:r>
        <w:rPr>
          <w:rFonts w:ascii="宋体"/>
          <w:sz w:val="24"/>
        </w:rPr>
        <w:t>.9</w:t>
      </w:r>
      <w:r>
        <w:rPr>
          <w:rFonts w:hint="eastAsia" w:ascii="宋体"/>
          <w:sz w:val="24"/>
        </w:rPr>
        <w:t>每个台架配备油门执行器一套，用以驱动机械泵发动机的油门，从测功机端往发动机端为油门增方向，反之为油门减方向；另配5m长油门拉索一根及拉索支架，用以驱动不同型号的机械泵油门。配有电子油门一套，作为电控发动机的油门信号源。输出信号与控制系统间应有隔离器，双路输出，信号1：0</w:t>
      </w:r>
      <w:r>
        <w:rPr>
          <w:rFonts w:ascii="宋体"/>
          <w:sz w:val="24"/>
        </w:rPr>
        <w:t>.75</w:t>
      </w:r>
      <w:r>
        <w:rPr>
          <w:rFonts w:ascii="Arial" w:hAnsi="Arial" w:cs="Arial"/>
          <w:sz w:val="24"/>
        </w:rPr>
        <w:t>~</w:t>
      </w:r>
      <w:r>
        <w:rPr>
          <w:rFonts w:ascii="宋体"/>
          <w:sz w:val="24"/>
        </w:rPr>
        <w:t>3.84 V,</w:t>
      </w:r>
      <w:r>
        <w:rPr>
          <w:rFonts w:hint="eastAsia" w:ascii="宋体"/>
          <w:sz w:val="24"/>
        </w:rPr>
        <w:t>信号2：</w:t>
      </w:r>
      <w:r>
        <w:rPr>
          <w:rFonts w:ascii="宋体"/>
          <w:sz w:val="24"/>
        </w:rPr>
        <w:t xml:space="preserve"> 0.375</w:t>
      </w:r>
      <w:r>
        <w:rPr>
          <w:rFonts w:ascii="Arial" w:hAnsi="Arial" w:cs="Arial"/>
          <w:sz w:val="24"/>
        </w:rPr>
        <w:t xml:space="preserve">~ </w:t>
      </w:r>
      <w:r>
        <w:rPr>
          <w:rFonts w:ascii="宋体"/>
          <w:sz w:val="24"/>
        </w:rPr>
        <w:t>1.92 V，</w:t>
      </w:r>
      <w:r>
        <w:rPr>
          <w:rFonts w:hint="eastAsia" w:ascii="宋体"/>
          <w:sz w:val="24"/>
        </w:rPr>
        <w:t>两路信号同步变动，信号地与发动机台架共地。</w:t>
      </w:r>
    </w:p>
    <w:p w14:paraId="72E23378">
      <w:pPr>
        <w:spacing w:line="360" w:lineRule="auto"/>
        <w:rPr>
          <w:rFonts w:ascii="宋体"/>
          <w:sz w:val="24"/>
        </w:rPr>
      </w:pPr>
      <w:r>
        <w:rPr>
          <w:rFonts w:hint="eastAsia" w:ascii="宋体"/>
          <w:sz w:val="24"/>
        </w:rPr>
        <w:t>6</w:t>
      </w:r>
      <w:r>
        <w:rPr>
          <w:rFonts w:ascii="宋体"/>
          <w:sz w:val="24"/>
        </w:rPr>
        <w:t>.10台架</w:t>
      </w:r>
      <w:r>
        <w:rPr>
          <w:rFonts w:hint="eastAsia" w:ascii="宋体"/>
          <w:sz w:val="24"/>
        </w:rPr>
        <w:t>急停装置</w:t>
      </w:r>
    </w:p>
    <w:p w14:paraId="50DBA6B2">
      <w:pPr>
        <w:spacing w:line="360" w:lineRule="auto"/>
        <w:ind w:firstLine="480" w:firstLineChars="200"/>
        <w:rPr>
          <w:rFonts w:ascii="宋体"/>
          <w:sz w:val="24"/>
        </w:rPr>
      </w:pPr>
      <w:r>
        <w:rPr>
          <w:rFonts w:ascii="宋体"/>
          <w:sz w:val="24"/>
        </w:rPr>
        <w:t>在</w:t>
      </w:r>
      <w:r>
        <w:rPr>
          <w:rFonts w:hint="eastAsia" w:ascii="宋体"/>
          <w:sz w:val="24"/>
        </w:rPr>
        <w:t>台架间和</w:t>
      </w:r>
      <w:r>
        <w:rPr>
          <w:rFonts w:ascii="宋体"/>
          <w:sz w:val="24"/>
        </w:rPr>
        <w:t>控</w:t>
      </w:r>
      <w:r>
        <w:rPr>
          <w:rFonts w:hint="eastAsia" w:ascii="宋体"/>
          <w:sz w:val="24"/>
        </w:rPr>
        <w:t>制间均设有急停按钮，手动按下后能可靠地停止发动机和电力测功机运转。</w:t>
      </w:r>
    </w:p>
    <w:p w14:paraId="45FF870F">
      <w:pPr>
        <w:spacing w:line="360" w:lineRule="auto"/>
        <w:ind w:firstLine="480" w:firstLineChars="200"/>
        <w:rPr>
          <w:rFonts w:ascii="宋体"/>
          <w:sz w:val="24"/>
        </w:rPr>
      </w:pPr>
      <w:r>
        <w:rPr>
          <w:rFonts w:ascii="宋体"/>
          <w:sz w:val="24"/>
        </w:rPr>
        <w:t>在台架运</w:t>
      </w:r>
      <w:r>
        <w:rPr>
          <w:rFonts w:hint="eastAsia" w:ascii="宋体"/>
          <w:sz w:val="24"/>
        </w:rPr>
        <w:t>行过程中测量参数超限时，根据紧急情况，触发不同等级的报警保护，即声光报警、发动机回怠速、紧急停车三个级别。</w:t>
      </w:r>
    </w:p>
    <w:p w14:paraId="68572B8B">
      <w:pPr>
        <w:spacing w:line="360" w:lineRule="auto"/>
        <w:rPr>
          <w:rFonts w:ascii="宋体"/>
          <w:sz w:val="24"/>
        </w:rPr>
      </w:pPr>
      <w:r>
        <w:rPr>
          <w:rFonts w:hint="eastAsia" w:ascii="宋体"/>
          <w:sz w:val="24"/>
        </w:rPr>
        <w:t>6</w:t>
      </w:r>
      <w:r>
        <w:rPr>
          <w:rFonts w:ascii="宋体"/>
          <w:sz w:val="24"/>
        </w:rPr>
        <w:t>.11每</w:t>
      </w:r>
      <w:r>
        <w:rPr>
          <w:rFonts w:hint="eastAsia" w:ascii="宋体"/>
          <w:sz w:val="24"/>
        </w:rPr>
        <w:t>个台</w:t>
      </w:r>
      <w:r>
        <w:rPr>
          <w:rFonts w:ascii="宋体"/>
          <w:sz w:val="24"/>
        </w:rPr>
        <w:t>架配</w:t>
      </w:r>
      <w:r>
        <w:rPr>
          <w:rFonts w:hint="eastAsia" w:ascii="宋体"/>
          <w:sz w:val="24"/>
        </w:rPr>
        <w:t>斑马一维二维通用扫描枪</w:t>
      </w:r>
      <w:r>
        <w:rPr>
          <w:rFonts w:ascii="宋体"/>
          <w:sz w:val="24"/>
        </w:rPr>
        <w:t>，用</w:t>
      </w:r>
      <w:r>
        <w:rPr>
          <w:rFonts w:hint="eastAsia" w:ascii="宋体"/>
          <w:sz w:val="24"/>
        </w:rPr>
        <w:t>于读取待试发动机条码纸上的</w:t>
      </w:r>
      <w:r>
        <w:rPr>
          <w:rFonts w:ascii="宋体"/>
          <w:sz w:val="24"/>
        </w:rPr>
        <w:t>订</w:t>
      </w:r>
      <w:r>
        <w:rPr>
          <w:rFonts w:hint="eastAsia" w:ascii="宋体"/>
          <w:sz w:val="24"/>
        </w:rPr>
        <w:t>货号</w:t>
      </w:r>
      <w:r>
        <w:rPr>
          <w:rFonts w:ascii="宋体"/>
          <w:sz w:val="24"/>
        </w:rPr>
        <w:t>、发</w:t>
      </w:r>
      <w:r>
        <w:rPr>
          <w:rFonts w:hint="eastAsia" w:ascii="宋体"/>
          <w:sz w:val="24"/>
        </w:rPr>
        <w:t>动机号等信息</w:t>
      </w:r>
      <w:r>
        <w:rPr>
          <w:rFonts w:ascii="宋体"/>
          <w:sz w:val="24"/>
        </w:rPr>
        <w:t>，以</w:t>
      </w:r>
      <w:r>
        <w:rPr>
          <w:rFonts w:hint="eastAsia" w:ascii="宋体"/>
          <w:sz w:val="24"/>
        </w:rPr>
        <w:t>订货号自动检索并</w:t>
      </w:r>
      <w:r>
        <w:rPr>
          <w:rFonts w:ascii="宋体"/>
          <w:sz w:val="24"/>
        </w:rPr>
        <w:t>关联试车规范，以</w:t>
      </w:r>
      <w:r>
        <w:rPr>
          <w:rFonts w:hint="eastAsia" w:ascii="宋体"/>
          <w:sz w:val="24"/>
        </w:rPr>
        <w:t>发动机号作为</w:t>
      </w:r>
      <w:r>
        <w:rPr>
          <w:rFonts w:ascii="宋体"/>
          <w:sz w:val="24"/>
        </w:rPr>
        <w:t>测</w:t>
      </w:r>
      <w:r>
        <w:rPr>
          <w:rFonts w:hint="eastAsia" w:ascii="宋体"/>
          <w:sz w:val="24"/>
        </w:rPr>
        <w:t>试记录</w:t>
      </w:r>
      <w:r>
        <w:rPr>
          <w:rFonts w:ascii="宋体"/>
          <w:sz w:val="24"/>
        </w:rPr>
        <w:t>数据文件</w:t>
      </w:r>
      <w:r>
        <w:rPr>
          <w:rFonts w:hint="eastAsia" w:ascii="宋体"/>
          <w:sz w:val="24"/>
        </w:rPr>
        <w:t>的</w:t>
      </w:r>
      <w:r>
        <w:rPr>
          <w:rFonts w:ascii="宋体"/>
          <w:sz w:val="24"/>
        </w:rPr>
        <w:t>名称，文件名称同时含</w:t>
      </w:r>
      <w:r>
        <w:rPr>
          <w:rFonts w:hint="eastAsia" w:ascii="宋体"/>
          <w:sz w:val="24"/>
        </w:rPr>
        <w:t>有</w:t>
      </w:r>
      <w:r>
        <w:rPr>
          <w:rFonts w:ascii="宋体"/>
          <w:sz w:val="24"/>
        </w:rPr>
        <w:t>发</w:t>
      </w:r>
      <w:r>
        <w:rPr>
          <w:rFonts w:hint="eastAsia" w:ascii="宋体"/>
          <w:sz w:val="24"/>
        </w:rPr>
        <w:t>动机</w:t>
      </w:r>
      <w:r>
        <w:rPr>
          <w:rFonts w:ascii="宋体"/>
          <w:sz w:val="24"/>
        </w:rPr>
        <w:t>起</w:t>
      </w:r>
      <w:r>
        <w:rPr>
          <w:rFonts w:hint="eastAsia" w:ascii="宋体"/>
          <w:sz w:val="24"/>
        </w:rPr>
        <w:t>动时的日期和时间信息，用以区分重复上台架的发动机的测试数据。</w:t>
      </w:r>
    </w:p>
    <w:p w14:paraId="7F721E9F">
      <w:pPr>
        <w:spacing w:line="360" w:lineRule="auto"/>
        <w:ind w:firstLine="480" w:firstLineChars="200"/>
        <w:rPr>
          <w:rFonts w:ascii="宋体"/>
          <w:sz w:val="24"/>
        </w:rPr>
      </w:pPr>
    </w:p>
    <w:p w14:paraId="0651353E">
      <w:pPr>
        <w:spacing w:line="360" w:lineRule="auto"/>
        <w:rPr>
          <w:rFonts w:ascii="宋体"/>
          <w:b/>
          <w:sz w:val="24"/>
        </w:rPr>
      </w:pPr>
      <w:r>
        <w:rPr>
          <w:rFonts w:ascii="宋体"/>
          <w:b/>
          <w:sz w:val="24"/>
        </w:rPr>
        <w:t>7.测</w:t>
      </w:r>
      <w:r>
        <w:rPr>
          <w:rFonts w:hint="eastAsia" w:ascii="宋体"/>
          <w:b/>
          <w:sz w:val="24"/>
        </w:rPr>
        <w:t>控软件</w:t>
      </w:r>
    </w:p>
    <w:p w14:paraId="52B49928">
      <w:pPr>
        <w:spacing w:line="360" w:lineRule="auto"/>
        <w:rPr>
          <w:rFonts w:ascii="宋体"/>
          <w:sz w:val="24"/>
        </w:rPr>
      </w:pPr>
      <w:r>
        <w:rPr>
          <w:rFonts w:hint="eastAsia" w:ascii="宋体"/>
          <w:sz w:val="24"/>
        </w:rPr>
        <w:t>7</w:t>
      </w:r>
      <w:r>
        <w:rPr>
          <w:rFonts w:ascii="宋体"/>
          <w:sz w:val="24"/>
        </w:rPr>
        <w:t>.1投</w:t>
      </w:r>
      <w:r>
        <w:rPr>
          <w:rFonts w:hint="eastAsia" w:ascii="宋体"/>
          <w:sz w:val="24"/>
        </w:rPr>
        <w:t>标方提供的测控软件应具有自主知识产权，全中文界面，能完成实时数据采集、处理程序。</w:t>
      </w:r>
    </w:p>
    <w:p w14:paraId="32DEC765">
      <w:pPr>
        <w:spacing w:line="360" w:lineRule="auto"/>
        <w:rPr>
          <w:rFonts w:ascii="宋体"/>
          <w:b/>
          <w:sz w:val="24"/>
        </w:rPr>
      </w:pPr>
      <w:r>
        <w:rPr>
          <w:rFonts w:ascii="宋体"/>
          <w:bCs/>
          <w:sz w:val="24"/>
        </w:rPr>
        <w:t>7.2</w:t>
      </w:r>
      <w:r>
        <w:rPr>
          <w:rFonts w:hint="eastAsia" w:ascii="宋体"/>
          <w:bCs/>
          <w:sz w:val="24"/>
        </w:rPr>
        <w:t>可通过C</w:t>
      </w:r>
      <w:r>
        <w:rPr>
          <w:rFonts w:ascii="宋体"/>
          <w:bCs/>
          <w:sz w:val="24"/>
        </w:rPr>
        <w:t>AN卡</w:t>
      </w:r>
      <w:r>
        <w:rPr>
          <w:rFonts w:hint="eastAsia" w:ascii="宋体"/>
          <w:bCs/>
          <w:sz w:val="24"/>
        </w:rPr>
        <w:t>读取</w:t>
      </w:r>
      <w:r>
        <w:rPr>
          <w:rFonts w:ascii="宋体"/>
          <w:bCs/>
          <w:sz w:val="24"/>
        </w:rPr>
        <w:t>ECU</w:t>
      </w:r>
      <w:r>
        <w:rPr>
          <w:rFonts w:hint="eastAsia" w:ascii="宋体"/>
          <w:bCs/>
          <w:sz w:val="24"/>
        </w:rPr>
        <w:t>中的机油压力、出水温度等项目，并在测试软件中同步显示和记录。</w:t>
      </w:r>
      <w:r>
        <w:rPr>
          <w:rFonts w:ascii="宋体"/>
          <w:bCs/>
          <w:sz w:val="24"/>
        </w:rPr>
        <w:t>D</w:t>
      </w:r>
      <w:r>
        <w:rPr>
          <w:rFonts w:hint="eastAsia" w:ascii="宋体"/>
          <w:bCs/>
          <w:sz w:val="24"/>
        </w:rPr>
        <w:t>B</w:t>
      </w:r>
      <w:r>
        <w:rPr>
          <w:rFonts w:ascii="宋体"/>
          <w:bCs/>
          <w:sz w:val="24"/>
        </w:rPr>
        <w:t>C文件</w:t>
      </w:r>
      <w:r>
        <w:rPr>
          <w:rFonts w:hint="eastAsia" w:ascii="宋体"/>
          <w:bCs/>
          <w:sz w:val="24"/>
        </w:rPr>
        <w:t>由招标方提供</w:t>
      </w:r>
      <w:r>
        <w:rPr>
          <w:rFonts w:ascii="宋体"/>
          <w:bCs/>
          <w:sz w:val="24"/>
        </w:rPr>
        <w:t>。</w:t>
      </w:r>
    </w:p>
    <w:p w14:paraId="1F29F063">
      <w:pPr>
        <w:spacing w:line="360" w:lineRule="auto"/>
        <w:rPr>
          <w:rFonts w:ascii="宋体"/>
          <w:sz w:val="24"/>
        </w:rPr>
      </w:pPr>
      <w:r>
        <w:rPr>
          <w:rFonts w:hint="eastAsia" w:ascii="宋体"/>
          <w:sz w:val="24"/>
        </w:rPr>
        <w:t>7</w:t>
      </w:r>
      <w:r>
        <w:rPr>
          <w:rFonts w:ascii="宋体"/>
          <w:sz w:val="24"/>
        </w:rPr>
        <w:t>.3</w:t>
      </w:r>
      <w:r>
        <w:rPr>
          <w:rFonts w:hint="eastAsia" w:ascii="宋体"/>
          <w:sz w:val="24"/>
        </w:rPr>
        <w:t>软件应具有人员的分级管理功能，可进行账号登陆，设定不同人员的操作权限，主要功能要有客户端操作界面。</w:t>
      </w:r>
    </w:p>
    <w:p w14:paraId="4823F18B">
      <w:pPr>
        <w:spacing w:line="360" w:lineRule="auto"/>
        <w:rPr>
          <w:rFonts w:ascii="宋体"/>
          <w:sz w:val="24"/>
        </w:rPr>
      </w:pPr>
      <w:r>
        <w:rPr>
          <w:rFonts w:ascii="宋体"/>
          <w:sz w:val="24"/>
        </w:rPr>
        <w:t>7.4</w:t>
      </w:r>
      <w:r>
        <w:rPr>
          <w:rFonts w:hint="eastAsia" w:ascii="宋体"/>
          <w:sz w:val="24"/>
        </w:rPr>
        <w:t>软件具有友好的招标方试验工艺流程编制控制程序操作界面，能够实现自动磨合和手动磨合双模式，试验过程所采集的试验数据必须在发动机处于稳定工况下，发动机稳定的判定方式必须合理。</w:t>
      </w:r>
    </w:p>
    <w:p w14:paraId="193ED214">
      <w:pPr>
        <w:spacing w:line="360" w:lineRule="auto"/>
        <w:rPr>
          <w:rFonts w:ascii="宋体"/>
          <w:sz w:val="24"/>
        </w:rPr>
      </w:pPr>
      <w:r>
        <w:rPr>
          <w:rFonts w:hint="eastAsia" w:ascii="宋体"/>
          <w:sz w:val="24"/>
        </w:rPr>
        <w:t>7</w:t>
      </w:r>
      <w:r>
        <w:rPr>
          <w:rFonts w:ascii="宋体"/>
          <w:sz w:val="24"/>
        </w:rPr>
        <w:t>.5系统</w:t>
      </w:r>
      <w:r>
        <w:rPr>
          <w:rFonts w:hint="eastAsia" w:ascii="宋体"/>
          <w:sz w:val="24"/>
        </w:rPr>
        <w:t>可根据</w:t>
      </w:r>
      <w:r>
        <w:rPr>
          <w:rFonts w:ascii="宋体"/>
          <w:sz w:val="24"/>
        </w:rPr>
        <w:t>GB/T18297</w:t>
      </w:r>
      <w:r>
        <w:rPr>
          <w:rFonts w:hint="eastAsia" w:ascii="宋体"/>
          <w:sz w:val="24"/>
        </w:rPr>
        <w:t>标准计算功率、扭矩、油耗（或气耗）的修正值，将修正值作为数据列记录、保存。</w:t>
      </w:r>
    </w:p>
    <w:p w14:paraId="06E07849">
      <w:pPr>
        <w:spacing w:line="360" w:lineRule="auto"/>
        <w:rPr>
          <w:rFonts w:ascii="宋体"/>
          <w:sz w:val="24"/>
        </w:rPr>
      </w:pPr>
      <w:r>
        <w:rPr>
          <w:rFonts w:ascii="宋体"/>
          <w:sz w:val="24"/>
        </w:rPr>
        <w:t>7.6</w:t>
      </w:r>
      <w:r>
        <w:rPr>
          <w:rFonts w:hint="eastAsia" w:ascii="宋体"/>
          <w:sz w:val="24"/>
        </w:rPr>
        <w:t>系统应是一个开放系统，应有一个开放的通用编程软件，该程序应是一个简易的、可视化编程系统，招标方经短期培训便可用该程序编制用户自定义试验程序。</w:t>
      </w:r>
    </w:p>
    <w:p w14:paraId="41C4F83C">
      <w:pPr>
        <w:spacing w:line="360" w:lineRule="auto"/>
        <w:rPr>
          <w:rFonts w:ascii="宋体"/>
          <w:sz w:val="24"/>
        </w:rPr>
      </w:pPr>
      <w:r>
        <w:rPr>
          <w:rFonts w:hint="eastAsia" w:ascii="宋体"/>
          <w:sz w:val="24"/>
        </w:rPr>
        <w:t>7</w:t>
      </w:r>
      <w:r>
        <w:rPr>
          <w:rFonts w:ascii="宋体"/>
          <w:sz w:val="24"/>
        </w:rPr>
        <w:t>.7系统</w:t>
      </w:r>
      <w:r>
        <w:rPr>
          <w:rFonts w:hint="eastAsia" w:ascii="宋体"/>
          <w:sz w:val="24"/>
        </w:rPr>
        <w:t>应具有黑</w:t>
      </w:r>
      <w:r>
        <w:rPr>
          <w:rFonts w:ascii="宋体"/>
          <w:sz w:val="24"/>
        </w:rPr>
        <w:t>匣子功能，每</w:t>
      </w:r>
      <w:r>
        <w:rPr>
          <w:rFonts w:hint="eastAsia" w:ascii="宋体"/>
          <w:sz w:val="24"/>
        </w:rPr>
        <w:t>秒自动记录一行全部数据，以便质量信息和设备状态追溯。</w:t>
      </w:r>
    </w:p>
    <w:p w14:paraId="47B95D25">
      <w:pPr>
        <w:spacing w:line="360" w:lineRule="auto"/>
        <w:ind w:firstLine="480" w:firstLineChars="200"/>
        <w:rPr>
          <w:rFonts w:ascii="宋体"/>
          <w:sz w:val="24"/>
        </w:rPr>
      </w:pPr>
    </w:p>
    <w:p w14:paraId="2C1FA61F">
      <w:pPr>
        <w:spacing w:line="360" w:lineRule="auto"/>
        <w:rPr>
          <w:rFonts w:ascii="宋体"/>
          <w:b/>
          <w:sz w:val="24"/>
        </w:rPr>
      </w:pPr>
      <w:r>
        <w:rPr>
          <w:rFonts w:ascii="宋体"/>
          <w:b/>
          <w:sz w:val="24"/>
        </w:rPr>
        <w:t>8.数据</w:t>
      </w:r>
      <w:r>
        <w:rPr>
          <w:rFonts w:hint="eastAsia" w:ascii="宋体"/>
          <w:b/>
          <w:sz w:val="24"/>
        </w:rPr>
        <w:t>采集系统要求</w:t>
      </w:r>
    </w:p>
    <w:p w14:paraId="45979F91">
      <w:pPr>
        <w:spacing w:line="360" w:lineRule="auto"/>
        <w:ind w:firstLine="480" w:firstLineChars="200"/>
        <w:rPr>
          <w:rFonts w:ascii="宋体"/>
          <w:sz w:val="24"/>
        </w:rPr>
      </w:pPr>
      <w:r>
        <w:rPr>
          <w:rFonts w:ascii="宋体"/>
          <w:sz w:val="24"/>
        </w:rPr>
        <w:t>台</w:t>
      </w:r>
      <w:r>
        <w:rPr>
          <w:rFonts w:hint="eastAsia" w:ascii="宋体"/>
          <w:sz w:val="24"/>
        </w:rPr>
        <w:t>架能</w:t>
      </w:r>
      <w:r>
        <w:rPr>
          <w:rFonts w:ascii="宋体"/>
          <w:sz w:val="24"/>
        </w:rPr>
        <w:t>实</w:t>
      </w:r>
      <w:r>
        <w:rPr>
          <w:rFonts w:hint="eastAsia" w:ascii="宋体"/>
          <w:sz w:val="24"/>
        </w:rPr>
        <w:t>时</w:t>
      </w:r>
      <w:r>
        <w:rPr>
          <w:rFonts w:ascii="宋体"/>
          <w:sz w:val="24"/>
        </w:rPr>
        <w:t>采</w:t>
      </w:r>
      <w:r>
        <w:rPr>
          <w:rFonts w:hint="eastAsia" w:ascii="宋体"/>
          <w:sz w:val="24"/>
        </w:rPr>
        <w:t>集</w:t>
      </w:r>
      <w:r>
        <w:rPr>
          <w:rFonts w:ascii="宋体"/>
          <w:sz w:val="24"/>
        </w:rPr>
        <w:t>试验</w:t>
      </w:r>
      <w:r>
        <w:rPr>
          <w:rFonts w:hint="eastAsia" w:ascii="宋体"/>
          <w:sz w:val="24"/>
        </w:rPr>
        <w:t>过程中的各种</w:t>
      </w:r>
      <w:r>
        <w:rPr>
          <w:rFonts w:ascii="宋体"/>
          <w:sz w:val="24"/>
        </w:rPr>
        <w:t>参数，例</w:t>
      </w:r>
      <w:r>
        <w:rPr>
          <w:rFonts w:hint="eastAsia" w:ascii="宋体"/>
          <w:sz w:val="24"/>
        </w:rPr>
        <w:t>如温度</w:t>
      </w:r>
      <w:r>
        <w:rPr>
          <w:rFonts w:ascii="宋体"/>
          <w:sz w:val="24"/>
        </w:rPr>
        <w:t>、压</w:t>
      </w:r>
      <w:r>
        <w:rPr>
          <w:rFonts w:hint="eastAsia" w:ascii="宋体"/>
          <w:sz w:val="24"/>
        </w:rPr>
        <w:t>力</w:t>
      </w:r>
      <w:r>
        <w:rPr>
          <w:rFonts w:ascii="宋体"/>
          <w:sz w:val="24"/>
        </w:rPr>
        <w:t>等，通</w:t>
      </w:r>
      <w:r>
        <w:rPr>
          <w:rFonts w:hint="eastAsia" w:ascii="宋体"/>
          <w:sz w:val="24"/>
        </w:rPr>
        <w:t>过不同的传</w:t>
      </w:r>
      <w:r>
        <w:rPr>
          <w:rFonts w:ascii="宋体"/>
          <w:sz w:val="24"/>
        </w:rPr>
        <w:t>感</w:t>
      </w:r>
      <w:r>
        <w:rPr>
          <w:rFonts w:hint="eastAsia" w:ascii="宋体"/>
          <w:sz w:val="24"/>
        </w:rPr>
        <w:t>器</w:t>
      </w:r>
      <w:r>
        <w:rPr>
          <w:rFonts w:ascii="宋体"/>
          <w:sz w:val="24"/>
        </w:rPr>
        <w:t>经数据</w:t>
      </w:r>
      <w:r>
        <w:rPr>
          <w:rFonts w:hint="eastAsia" w:ascii="宋体"/>
          <w:sz w:val="24"/>
        </w:rPr>
        <w:t>处理后</w:t>
      </w:r>
      <w:r>
        <w:rPr>
          <w:rFonts w:ascii="宋体"/>
          <w:sz w:val="24"/>
        </w:rPr>
        <w:t>，进行</w:t>
      </w:r>
      <w:r>
        <w:rPr>
          <w:rFonts w:hint="eastAsia" w:ascii="宋体"/>
          <w:sz w:val="24"/>
        </w:rPr>
        <w:t>显示和记录</w:t>
      </w:r>
      <w:r>
        <w:rPr>
          <w:rFonts w:ascii="宋体"/>
          <w:sz w:val="24"/>
        </w:rPr>
        <w:t>。</w:t>
      </w:r>
    </w:p>
    <w:p w14:paraId="4400A3DD">
      <w:pPr>
        <w:spacing w:line="360" w:lineRule="auto"/>
        <w:rPr>
          <w:rFonts w:ascii="宋体"/>
          <w:sz w:val="24"/>
        </w:rPr>
      </w:pPr>
      <w:r>
        <w:rPr>
          <w:rFonts w:hint="eastAsia" w:ascii="宋体"/>
          <w:sz w:val="24"/>
        </w:rPr>
        <w:t>8</w:t>
      </w:r>
      <w:r>
        <w:rPr>
          <w:rFonts w:ascii="宋体"/>
          <w:sz w:val="24"/>
        </w:rPr>
        <w:t>.1数据</w:t>
      </w:r>
      <w:r>
        <w:rPr>
          <w:rFonts w:hint="eastAsia" w:ascii="宋体"/>
          <w:sz w:val="24"/>
        </w:rPr>
        <w:t>采集箱</w:t>
      </w:r>
    </w:p>
    <w:p w14:paraId="2F03307F">
      <w:pPr>
        <w:spacing w:line="360" w:lineRule="auto"/>
        <w:ind w:firstLine="480" w:firstLineChars="200"/>
        <w:rPr>
          <w:rFonts w:ascii="宋体"/>
          <w:sz w:val="24"/>
        </w:rPr>
      </w:pPr>
      <w:r>
        <w:rPr>
          <w:rFonts w:ascii="宋体"/>
          <w:sz w:val="24"/>
        </w:rPr>
        <w:t>数据</w:t>
      </w:r>
      <w:r>
        <w:rPr>
          <w:rFonts w:hint="eastAsia" w:ascii="宋体"/>
          <w:sz w:val="24"/>
        </w:rPr>
        <w:t>采集箱安装在</w:t>
      </w:r>
      <w:r>
        <w:rPr>
          <w:rFonts w:ascii="宋体"/>
          <w:sz w:val="24"/>
        </w:rPr>
        <w:t>台架间</w:t>
      </w:r>
      <w:r>
        <w:rPr>
          <w:rFonts w:hint="eastAsia" w:ascii="宋体"/>
          <w:sz w:val="24"/>
        </w:rPr>
        <w:t>侧面</w:t>
      </w:r>
      <w:r>
        <w:rPr>
          <w:rFonts w:ascii="宋体"/>
          <w:sz w:val="24"/>
        </w:rPr>
        <w:t>墙</w:t>
      </w:r>
      <w:r>
        <w:rPr>
          <w:rFonts w:hint="eastAsia" w:ascii="宋体"/>
          <w:sz w:val="24"/>
        </w:rPr>
        <w:t>上或立柱安装</w:t>
      </w:r>
      <w:r>
        <w:rPr>
          <w:rFonts w:ascii="宋体"/>
          <w:sz w:val="24"/>
        </w:rPr>
        <w:t>，用</w:t>
      </w:r>
      <w:r>
        <w:rPr>
          <w:rFonts w:hint="eastAsia" w:ascii="宋体"/>
          <w:sz w:val="24"/>
        </w:rPr>
        <w:t>于安装采集模块、压力传感器等。布置应满足维护、检修需求。采集箱本身应具有防水功能。</w:t>
      </w:r>
    </w:p>
    <w:p w14:paraId="79235429">
      <w:pPr>
        <w:spacing w:line="360" w:lineRule="auto"/>
        <w:rPr>
          <w:rFonts w:ascii="宋体"/>
          <w:sz w:val="24"/>
        </w:rPr>
      </w:pPr>
      <w:r>
        <w:rPr>
          <w:rFonts w:hint="eastAsia" w:ascii="宋体"/>
          <w:sz w:val="24"/>
        </w:rPr>
        <w:t>8</w:t>
      </w:r>
      <w:r>
        <w:rPr>
          <w:rFonts w:ascii="宋体"/>
          <w:sz w:val="24"/>
        </w:rPr>
        <w:t>.2温</w:t>
      </w:r>
      <w:r>
        <w:rPr>
          <w:rFonts w:hint="eastAsia" w:ascii="宋体"/>
          <w:sz w:val="24"/>
        </w:rPr>
        <w:t>度传感器</w:t>
      </w:r>
    </w:p>
    <w:p w14:paraId="2C7D1232">
      <w:pPr>
        <w:spacing w:line="360" w:lineRule="auto"/>
        <w:ind w:firstLine="480" w:firstLineChars="200"/>
        <w:rPr>
          <w:rFonts w:ascii="宋体"/>
          <w:sz w:val="24"/>
        </w:rPr>
      </w:pPr>
      <w:r>
        <w:rPr>
          <w:rFonts w:hint="eastAsia" w:ascii="宋体"/>
          <w:sz w:val="24"/>
        </w:rPr>
        <w:t>每个电力测功机台架配普通温度传感器</w:t>
      </w:r>
      <w:r>
        <w:rPr>
          <w:rFonts w:ascii="宋体"/>
          <w:sz w:val="24"/>
        </w:rPr>
        <w:t>9</w:t>
      </w:r>
      <w:r>
        <w:rPr>
          <w:rFonts w:hint="eastAsia" w:ascii="宋体"/>
          <w:sz w:val="24"/>
        </w:rPr>
        <w:t>件，测量范围0～200℃，测量精度±1℃，选用靖江扬子P</w:t>
      </w:r>
      <w:r>
        <w:rPr>
          <w:rFonts w:ascii="宋体"/>
          <w:sz w:val="24"/>
        </w:rPr>
        <w:t>t100传</w:t>
      </w:r>
      <w:r>
        <w:rPr>
          <w:rFonts w:hint="eastAsia" w:ascii="宋体"/>
          <w:sz w:val="24"/>
        </w:rPr>
        <w:t>感器</w:t>
      </w:r>
      <w:r>
        <w:rPr>
          <w:rFonts w:ascii="宋体"/>
          <w:sz w:val="24"/>
        </w:rPr>
        <w:t>。</w:t>
      </w:r>
      <w:r>
        <w:rPr>
          <w:rFonts w:hint="eastAsia" w:ascii="宋体"/>
          <w:sz w:val="24"/>
        </w:rPr>
        <w:t>(</w:t>
      </w:r>
      <w:r>
        <w:rPr>
          <w:rFonts w:ascii="宋体"/>
          <w:sz w:val="24"/>
        </w:rPr>
        <w:t>中</w:t>
      </w:r>
      <w:r>
        <w:rPr>
          <w:rFonts w:hint="eastAsia" w:ascii="宋体"/>
          <w:sz w:val="24"/>
        </w:rPr>
        <w:t>冷前温</w:t>
      </w:r>
      <w:r>
        <w:rPr>
          <w:rFonts w:ascii="宋体"/>
          <w:sz w:val="24"/>
        </w:rPr>
        <w:t>、中</w:t>
      </w:r>
      <w:r>
        <w:rPr>
          <w:rFonts w:hint="eastAsia" w:ascii="宋体"/>
          <w:sz w:val="24"/>
        </w:rPr>
        <w:t>冷</w:t>
      </w:r>
      <w:r>
        <w:rPr>
          <w:rFonts w:ascii="宋体"/>
          <w:sz w:val="24"/>
        </w:rPr>
        <w:t>后温、机</w:t>
      </w:r>
      <w:r>
        <w:rPr>
          <w:rFonts w:hint="eastAsia" w:ascii="宋体"/>
          <w:sz w:val="24"/>
        </w:rPr>
        <w:t>油温度</w:t>
      </w:r>
      <w:r>
        <w:rPr>
          <w:rFonts w:ascii="宋体"/>
          <w:sz w:val="24"/>
        </w:rPr>
        <w:t>、燃</w:t>
      </w:r>
      <w:r>
        <w:rPr>
          <w:rFonts w:hint="eastAsia" w:ascii="宋体"/>
          <w:sz w:val="24"/>
        </w:rPr>
        <w:t>油</w:t>
      </w:r>
      <w:r>
        <w:rPr>
          <w:rFonts w:ascii="宋体"/>
          <w:sz w:val="24"/>
        </w:rPr>
        <w:t>温</w:t>
      </w:r>
      <w:r>
        <w:rPr>
          <w:rFonts w:hint="eastAsia" w:ascii="宋体"/>
          <w:sz w:val="24"/>
        </w:rPr>
        <w:t>度</w:t>
      </w:r>
      <w:r>
        <w:rPr>
          <w:rFonts w:ascii="宋体"/>
          <w:sz w:val="24"/>
        </w:rPr>
        <w:t>、进</w:t>
      </w:r>
      <w:r>
        <w:rPr>
          <w:rFonts w:hint="eastAsia" w:ascii="宋体"/>
          <w:sz w:val="24"/>
        </w:rPr>
        <w:t>气温度</w:t>
      </w:r>
      <w:r>
        <w:rPr>
          <w:rFonts w:ascii="宋体"/>
          <w:sz w:val="24"/>
        </w:rPr>
        <w:t>、进</w:t>
      </w:r>
      <w:r>
        <w:rPr>
          <w:rFonts w:hint="eastAsia" w:ascii="宋体"/>
          <w:sz w:val="24"/>
        </w:rPr>
        <w:t>水温</w:t>
      </w:r>
      <w:r>
        <w:rPr>
          <w:rFonts w:ascii="宋体"/>
          <w:sz w:val="24"/>
        </w:rPr>
        <w:t>、出</w:t>
      </w:r>
      <w:r>
        <w:rPr>
          <w:rFonts w:hint="eastAsia" w:ascii="宋体"/>
          <w:sz w:val="24"/>
        </w:rPr>
        <w:t>水温</w:t>
      </w:r>
      <w:r>
        <w:rPr>
          <w:rFonts w:ascii="宋体"/>
          <w:sz w:val="24"/>
        </w:rPr>
        <w:t>、前</w:t>
      </w:r>
      <w:r>
        <w:rPr>
          <w:rFonts w:hint="eastAsia" w:ascii="宋体"/>
          <w:sz w:val="24"/>
        </w:rPr>
        <w:t>轴承温</w:t>
      </w:r>
      <w:r>
        <w:rPr>
          <w:rFonts w:ascii="宋体"/>
          <w:sz w:val="24"/>
        </w:rPr>
        <w:t>、后</w:t>
      </w:r>
      <w:r>
        <w:rPr>
          <w:rFonts w:hint="eastAsia" w:ascii="宋体"/>
          <w:sz w:val="24"/>
        </w:rPr>
        <w:t>轴承温)</w:t>
      </w:r>
    </w:p>
    <w:p w14:paraId="6F512584">
      <w:pPr>
        <w:spacing w:line="360" w:lineRule="auto"/>
        <w:ind w:firstLine="480" w:firstLineChars="200"/>
        <w:rPr>
          <w:rFonts w:ascii="宋体"/>
          <w:sz w:val="24"/>
        </w:rPr>
      </w:pPr>
      <w:r>
        <w:rPr>
          <w:rFonts w:ascii="宋体"/>
          <w:sz w:val="24"/>
        </w:rPr>
        <w:t>增程</w:t>
      </w:r>
      <w:r>
        <w:rPr>
          <w:rFonts w:hint="eastAsia" w:ascii="宋体"/>
          <w:sz w:val="24"/>
        </w:rPr>
        <w:t>器</w:t>
      </w:r>
      <w:r>
        <w:rPr>
          <w:rFonts w:ascii="宋体"/>
          <w:sz w:val="24"/>
        </w:rPr>
        <w:t>台架在</w:t>
      </w:r>
      <w:r>
        <w:rPr>
          <w:rFonts w:hint="eastAsia" w:ascii="宋体"/>
          <w:sz w:val="24"/>
        </w:rPr>
        <w:t>电力测功机台架基础上</w:t>
      </w:r>
      <w:r>
        <w:rPr>
          <w:rFonts w:ascii="宋体"/>
          <w:sz w:val="24"/>
        </w:rPr>
        <w:t>额</w:t>
      </w:r>
      <w:r>
        <w:rPr>
          <w:rFonts w:hint="eastAsia" w:ascii="宋体"/>
          <w:sz w:val="24"/>
        </w:rPr>
        <w:t>外增加5件温度</w:t>
      </w:r>
      <w:r>
        <w:rPr>
          <w:rFonts w:ascii="宋体"/>
          <w:sz w:val="24"/>
        </w:rPr>
        <w:t>传</w:t>
      </w:r>
      <w:r>
        <w:rPr>
          <w:rFonts w:hint="eastAsia" w:ascii="宋体"/>
          <w:sz w:val="24"/>
        </w:rPr>
        <w:t>感器</w:t>
      </w:r>
      <w:r>
        <w:rPr>
          <w:rFonts w:ascii="宋体"/>
          <w:sz w:val="24"/>
        </w:rPr>
        <w:t>。（控</w:t>
      </w:r>
      <w:r>
        <w:rPr>
          <w:rFonts w:hint="eastAsia" w:ascii="宋体"/>
          <w:sz w:val="24"/>
        </w:rPr>
        <w:t>制器进水温</w:t>
      </w:r>
      <w:r>
        <w:rPr>
          <w:rFonts w:ascii="宋体"/>
          <w:sz w:val="24"/>
        </w:rPr>
        <w:t>、控</w:t>
      </w:r>
      <w:r>
        <w:rPr>
          <w:rFonts w:hint="eastAsia" w:ascii="宋体"/>
          <w:sz w:val="24"/>
        </w:rPr>
        <w:t>制器出水温</w:t>
      </w:r>
      <w:r>
        <w:rPr>
          <w:rFonts w:ascii="宋体"/>
          <w:sz w:val="24"/>
        </w:rPr>
        <w:t>、电</w:t>
      </w:r>
      <w:r>
        <w:rPr>
          <w:rFonts w:hint="eastAsia" w:ascii="宋体"/>
          <w:sz w:val="24"/>
        </w:rPr>
        <w:t>机出水温</w:t>
      </w:r>
      <w:r>
        <w:rPr>
          <w:rFonts w:ascii="宋体"/>
          <w:sz w:val="24"/>
        </w:rPr>
        <w:t>、冷</w:t>
      </w:r>
      <w:r>
        <w:rPr>
          <w:rFonts w:hint="eastAsia" w:ascii="宋体"/>
          <w:sz w:val="24"/>
        </w:rPr>
        <w:t>却</w:t>
      </w:r>
      <w:r>
        <w:rPr>
          <w:rFonts w:ascii="宋体"/>
          <w:sz w:val="24"/>
        </w:rPr>
        <w:t>介质</w:t>
      </w:r>
      <w:r>
        <w:rPr>
          <w:rFonts w:hint="eastAsia" w:ascii="宋体"/>
          <w:sz w:val="24"/>
        </w:rPr>
        <w:t>1温、冷却介质2温）</w:t>
      </w:r>
    </w:p>
    <w:p w14:paraId="5FF92076">
      <w:pPr>
        <w:spacing w:line="360" w:lineRule="auto"/>
        <w:ind w:firstLine="480" w:firstLineChars="200"/>
        <w:rPr>
          <w:rFonts w:ascii="宋体"/>
          <w:sz w:val="24"/>
        </w:rPr>
      </w:pPr>
      <w:r>
        <w:rPr>
          <w:rFonts w:ascii="宋体"/>
          <w:sz w:val="24"/>
        </w:rPr>
        <w:t>每个台架配</w:t>
      </w:r>
      <w:r>
        <w:rPr>
          <w:rFonts w:hint="eastAsia" w:ascii="宋体"/>
          <w:sz w:val="24"/>
        </w:rPr>
        <w:t>排温传感器2件，测量范围0～</w:t>
      </w:r>
      <w:r>
        <w:rPr>
          <w:rFonts w:ascii="宋体"/>
          <w:sz w:val="24"/>
        </w:rPr>
        <w:t>1</w:t>
      </w:r>
      <w:r>
        <w:rPr>
          <w:rFonts w:hint="eastAsia" w:ascii="宋体"/>
          <w:sz w:val="24"/>
        </w:rPr>
        <w:t>0</w:t>
      </w:r>
      <w:r>
        <w:rPr>
          <w:rFonts w:ascii="宋体"/>
          <w:sz w:val="24"/>
        </w:rPr>
        <w:t>0</w:t>
      </w:r>
      <w:r>
        <w:rPr>
          <w:rFonts w:hint="eastAsia" w:ascii="宋体"/>
          <w:sz w:val="24"/>
        </w:rPr>
        <w:t>0℃，测量精度±</w:t>
      </w:r>
      <w:r>
        <w:rPr>
          <w:rFonts w:ascii="宋体"/>
          <w:sz w:val="24"/>
        </w:rPr>
        <w:t>3</w:t>
      </w:r>
      <w:r>
        <w:rPr>
          <w:rFonts w:hint="eastAsia" w:ascii="宋体"/>
          <w:sz w:val="24"/>
        </w:rPr>
        <w:t>℃，选用靖江扬子</w:t>
      </w:r>
      <w:r>
        <w:rPr>
          <w:rFonts w:ascii="宋体"/>
          <w:sz w:val="24"/>
        </w:rPr>
        <w:t>K分度热</w:t>
      </w:r>
      <w:r>
        <w:rPr>
          <w:rFonts w:hint="eastAsia" w:ascii="宋体"/>
          <w:sz w:val="24"/>
        </w:rPr>
        <w:t>电</w:t>
      </w:r>
      <w:r>
        <w:rPr>
          <w:rFonts w:ascii="宋体"/>
          <w:sz w:val="24"/>
        </w:rPr>
        <w:t>偶。</w:t>
      </w:r>
    </w:p>
    <w:p w14:paraId="0FD16B7B">
      <w:pPr>
        <w:spacing w:line="360" w:lineRule="auto"/>
        <w:rPr>
          <w:rFonts w:ascii="宋体"/>
          <w:sz w:val="24"/>
        </w:rPr>
      </w:pPr>
      <w:r>
        <w:rPr>
          <w:rFonts w:ascii="宋体"/>
          <w:sz w:val="24"/>
        </w:rPr>
        <w:t>8.3压</w:t>
      </w:r>
      <w:r>
        <w:rPr>
          <w:rFonts w:hint="eastAsia" w:ascii="宋体"/>
          <w:sz w:val="24"/>
        </w:rPr>
        <w:t>力传感器</w:t>
      </w:r>
    </w:p>
    <w:p w14:paraId="1A99D65E">
      <w:pPr>
        <w:spacing w:line="360" w:lineRule="auto"/>
        <w:ind w:firstLine="480" w:firstLineChars="200"/>
        <w:rPr>
          <w:sz w:val="23"/>
          <w:szCs w:val="23"/>
        </w:rPr>
      </w:pPr>
      <w:r>
        <w:rPr>
          <w:rFonts w:ascii="宋体"/>
          <w:sz w:val="24"/>
        </w:rPr>
        <w:t>每</w:t>
      </w:r>
      <w:r>
        <w:rPr>
          <w:rFonts w:hint="eastAsia" w:ascii="宋体"/>
          <w:sz w:val="24"/>
        </w:rPr>
        <w:t>个台架</w:t>
      </w:r>
      <w:r>
        <w:rPr>
          <w:rFonts w:ascii="宋体"/>
          <w:sz w:val="24"/>
        </w:rPr>
        <w:t>配</w:t>
      </w:r>
      <w:r>
        <w:rPr>
          <w:rFonts w:hint="eastAsia" w:ascii="宋体"/>
          <w:sz w:val="24"/>
        </w:rPr>
        <w:t>压力传感器</w:t>
      </w:r>
      <w:r>
        <w:rPr>
          <w:rFonts w:ascii="宋体"/>
          <w:sz w:val="24"/>
        </w:rPr>
        <w:t>8</w:t>
      </w:r>
      <w:r>
        <w:rPr>
          <w:rFonts w:hint="eastAsia" w:ascii="宋体"/>
          <w:sz w:val="24"/>
        </w:rPr>
        <w:t>件（机油压力、中冷前压、中冷后压、燃油进油压力、防冻液系统压力、进气压力、排气背压、曲轴箱压力），量程为：0～</w:t>
      </w:r>
      <w:r>
        <w:rPr>
          <w:rFonts w:ascii="宋体"/>
          <w:sz w:val="24"/>
        </w:rPr>
        <w:t>10</w:t>
      </w:r>
      <w:r>
        <w:rPr>
          <w:rFonts w:hint="eastAsia" w:ascii="宋体"/>
          <w:sz w:val="24"/>
        </w:rPr>
        <w:t>00 kPa，</w:t>
      </w:r>
      <w:r>
        <w:rPr>
          <w:rFonts w:ascii="宋体"/>
          <w:sz w:val="24"/>
        </w:rPr>
        <w:t>1</w:t>
      </w:r>
      <w:r>
        <w:rPr>
          <w:rFonts w:hint="eastAsia" w:ascii="宋体"/>
          <w:sz w:val="24"/>
        </w:rPr>
        <w:t>件；0～</w:t>
      </w:r>
      <w:r>
        <w:rPr>
          <w:rFonts w:ascii="宋体"/>
          <w:sz w:val="24"/>
        </w:rPr>
        <w:t>4</w:t>
      </w:r>
      <w:r>
        <w:rPr>
          <w:rFonts w:hint="eastAsia" w:ascii="宋体"/>
          <w:sz w:val="24"/>
        </w:rPr>
        <w:t>00 kPa，</w:t>
      </w:r>
      <w:r>
        <w:rPr>
          <w:rFonts w:ascii="宋体"/>
          <w:sz w:val="24"/>
        </w:rPr>
        <w:t>4</w:t>
      </w:r>
      <w:r>
        <w:rPr>
          <w:rFonts w:hint="eastAsia" w:ascii="宋体"/>
          <w:sz w:val="24"/>
        </w:rPr>
        <w:t>件；</w:t>
      </w:r>
      <w:r>
        <w:rPr>
          <w:rFonts w:ascii="宋体"/>
          <w:sz w:val="24"/>
        </w:rPr>
        <w:t>-10</w:t>
      </w:r>
      <w:r>
        <w:rPr>
          <w:rFonts w:hint="eastAsia" w:ascii="宋体"/>
          <w:sz w:val="24"/>
        </w:rPr>
        <w:t>～</w:t>
      </w:r>
      <w:r>
        <w:rPr>
          <w:rFonts w:ascii="宋体"/>
          <w:sz w:val="24"/>
        </w:rPr>
        <w:t>50</w:t>
      </w:r>
      <w:r>
        <w:rPr>
          <w:rFonts w:hint="eastAsia" w:ascii="宋体"/>
          <w:sz w:val="24"/>
        </w:rPr>
        <w:t xml:space="preserve"> kPa，</w:t>
      </w:r>
      <w:r>
        <w:rPr>
          <w:rFonts w:ascii="宋体"/>
          <w:sz w:val="24"/>
        </w:rPr>
        <w:t>3</w:t>
      </w:r>
      <w:r>
        <w:rPr>
          <w:rFonts w:hint="eastAsia" w:ascii="宋体"/>
          <w:sz w:val="24"/>
        </w:rPr>
        <w:t>件；测量精度：±</w:t>
      </w:r>
      <w:r>
        <w:rPr>
          <w:sz w:val="23"/>
          <w:szCs w:val="23"/>
        </w:rPr>
        <w:t>0.25%F.S.。压</w:t>
      </w:r>
      <w:r>
        <w:rPr>
          <w:rFonts w:hint="eastAsia"/>
          <w:sz w:val="23"/>
          <w:szCs w:val="23"/>
        </w:rPr>
        <w:t>力传感器选用德鲁克或W</w:t>
      </w:r>
      <w:r>
        <w:rPr>
          <w:sz w:val="23"/>
          <w:szCs w:val="23"/>
        </w:rPr>
        <w:t>IKA，</w:t>
      </w:r>
      <w:r>
        <w:rPr>
          <w:rFonts w:hint="eastAsia"/>
          <w:sz w:val="23"/>
          <w:szCs w:val="23"/>
        </w:rPr>
        <w:t>安装在</w:t>
      </w:r>
      <w:r>
        <w:rPr>
          <w:sz w:val="23"/>
          <w:szCs w:val="23"/>
        </w:rPr>
        <w:t>数据</w:t>
      </w:r>
      <w:r>
        <w:rPr>
          <w:rFonts w:hint="eastAsia"/>
          <w:sz w:val="23"/>
          <w:szCs w:val="23"/>
        </w:rPr>
        <w:t>采集箱内</w:t>
      </w:r>
      <w:r>
        <w:rPr>
          <w:sz w:val="23"/>
          <w:szCs w:val="23"/>
        </w:rPr>
        <w:t>，通过</w:t>
      </w:r>
      <w:r>
        <w:rPr>
          <w:rFonts w:hint="eastAsia"/>
          <w:sz w:val="23"/>
          <w:szCs w:val="23"/>
        </w:rPr>
        <w:t>特</w:t>
      </w:r>
      <w:r>
        <w:rPr>
          <w:sz w:val="23"/>
          <w:szCs w:val="23"/>
        </w:rPr>
        <w:t>氟龙</w:t>
      </w:r>
      <w:r>
        <w:rPr>
          <w:rFonts w:hint="eastAsia"/>
          <w:sz w:val="23"/>
          <w:szCs w:val="23"/>
        </w:rPr>
        <w:t>软管与</w:t>
      </w:r>
      <w:r>
        <w:rPr>
          <w:sz w:val="23"/>
          <w:szCs w:val="23"/>
        </w:rPr>
        <w:t>各</w:t>
      </w:r>
      <w:r>
        <w:rPr>
          <w:rFonts w:hint="eastAsia"/>
          <w:sz w:val="23"/>
          <w:szCs w:val="23"/>
        </w:rPr>
        <w:t>被测点连接</w:t>
      </w:r>
      <w:r>
        <w:rPr>
          <w:sz w:val="23"/>
          <w:szCs w:val="23"/>
        </w:rPr>
        <w:t>。</w:t>
      </w:r>
    </w:p>
    <w:p w14:paraId="6D880603">
      <w:pPr>
        <w:spacing w:line="360" w:lineRule="auto"/>
        <w:ind w:firstLine="480" w:firstLineChars="200"/>
        <w:rPr>
          <w:rFonts w:ascii="宋体"/>
          <w:sz w:val="24"/>
        </w:rPr>
      </w:pPr>
      <w:r>
        <w:rPr>
          <w:rFonts w:hint="eastAsia" w:ascii="宋体"/>
          <w:sz w:val="24"/>
        </w:rPr>
        <w:t>投标方的采集系统需另将招标方产品零件机油压力传感器（参数定义见图3）进行信号解析、记录。要求与ECU解析得到的数据对比，同一工况误差不大于±5kPa。</w:t>
      </w:r>
    </w:p>
    <w:p w14:paraId="6ADF18FE">
      <w:pPr>
        <w:spacing w:line="360" w:lineRule="auto"/>
        <w:jc w:val="center"/>
        <w:rPr>
          <w:rFonts w:ascii="宋体"/>
          <w:sz w:val="24"/>
        </w:rPr>
      </w:pPr>
      <w:r>
        <w:rPr>
          <w:rFonts w:ascii="宋体"/>
          <w:sz w:val="24"/>
        </w:rPr>
        <w:t>图</w:t>
      </w:r>
      <w:r>
        <w:rPr>
          <w:rFonts w:hint="eastAsia" w:ascii="宋体"/>
          <w:sz w:val="24"/>
        </w:rPr>
        <w:t>3</w:t>
      </w:r>
      <w:r>
        <w:rPr>
          <w:rFonts w:ascii="宋体"/>
          <w:sz w:val="24"/>
        </w:rPr>
        <w:t xml:space="preserve">  机</w:t>
      </w:r>
      <w:r>
        <w:rPr>
          <w:rFonts w:hint="eastAsia" w:ascii="宋体"/>
          <w:sz w:val="24"/>
        </w:rPr>
        <w:t>油压</w:t>
      </w:r>
      <w:r>
        <w:rPr>
          <w:rFonts w:ascii="宋体"/>
          <w:sz w:val="24"/>
        </w:rPr>
        <w:t>力</w:t>
      </w:r>
      <w:r>
        <w:rPr>
          <w:rFonts w:hint="eastAsia" w:ascii="宋体"/>
          <w:sz w:val="24"/>
        </w:rPr>
        <w:t>传感器参数定义</w:t>
      </w:r>
    </w:p>
    <w:p w14:paraId="54FF5D50">
      <w:pPr>
        <w:spacing w:line="360" w:lineRule="auto"/>
        <w:rPr>
          <w:rFonts w:ascii="宋体"/>
          <w:sz w:val="24"/>
        </w:rPr>
      </w:pPr>
      <w:r>
        <w:rPr>
          <w:rFonts w:ascii="宋体"/>
          <w:sz w:val="24"/>
        </w:rPr>
        <w:drawing>
          <wp:inline distT="0" distB="0" distL="0" distR="0">
            <wp:extent cx="5286375" cy="3648075"/>
            <wp:effectExtent l="0" t="0" r="1905" b="9525"/>
            <wp:docPr id="31" name="图片 31" descr="微信图片_20251022154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微信图片_2025102215413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a:xfrm>
                      <a:off x="0" y="0"/>
                      <a:ext cx="5286375" cy="3648075"/>
                    </a:xfrm>
                    <a:prstGeom prst="rect">
                      <a:avLst/>
                    </a:prstGeom>
                    <a:noFill/>
                    <a:ln>
                      <a:noFill/>
                    </a:ln>
                  </pic:spPr>
                </pic:pic>
              </a:graphicData>
            </a:graphic>
          </wp:inline>
        </w:drawing>
      </w:r>
    </w:p>
    <w:p w14:paraId="535F1133">
      <w:pPr>
        <w:spacing w:line="360" w:lineRule="auto"/>
        <w:rPr>
          <w:rFonts w:ascii="宋体"/>
          <w:sz w:val="24"/>
        </w:rPr>
      </w:pPr>
      <w:r>
        <w:rPr>
          <w:rFonts w:hint="eastAsia" w:ascii="宋体"/>
          <w:sz w:val="24"/>
        </w:rPr>
        <w:t>8</w:t>
      </w:r>
      <w:r>
        <w:rPr>
          <w:rFonts w:ascii="宋体"/>
          <w:sz w:val="24"/>
        </w:rPr>
        <w:t>.4数据采</w:t>
      </w:r>
      <w:r>
        <w:rPr>
          <w:rFonts w:hint="eastAsia" w:ascii="宋体"/>
          <w:sz w:val="24"/>
        </w:rPr>
        <w:t>集模块</w:t>
      </w:r>
    </w:p>
    <w:p w14:paraId="0AE58AD2">
      <w:pPr>
        <w:spacing w:line="360" w:lineRule="auto"/>
        <w:ind w:firstLine="480" w:firstLineChars="200"/>
        <w:rPr>
          <w:rFonts w:ascii="宋体"/>
          <w:sz w:val="24"/>
        </w:rPr>
      </w:pPr>
      <w:r>
        <w:rPr>
          <w:rFonts w:hint="eastAsia" w:ascii="宋体"/>
          <w:sz w:val="24"/>
        </w:rPr>
        <w:t>每个台架配备P</w:t>
      </w:r>
      <w:r>
        <w:rPr>
          <w:rFonts w:ascii="宋体"/>
          <w:sz w:val="24"/>
        </w:rPr>
        <w:t>t100</w:t>
      </w:r>
      <w:r>
        <w:rPr>
          <w:rFonts w:hint="eastAsia" w:ascii="宋体"/>
          <w:sz w:val="24"/>
        </w:rPr>
        <w:t>数据采集模块</w:t>
      </w:r>
      <w:r>
        <w:rPr>
          <w:rFonts w:ascii="宋体"/>
          <w:sz w:val="24"/>
        </w:rPr>
        <w:t>3块，研</w:t>
      </w:r>
      <w:r>
        <w:rPr>
          <w:rFonts w:hint="eastAsia" w:ascii="宋体"/>
          <w:sz w:val="24"/>
        </w:rPr>
        <w:t>华4</w:t>
      </w:r>
      <w:r>
        <w:rPr>
          <w:rFonts w:ascii="宋体"/>
          <w:sz w:val="24"/>
        </w:rPr>
        <w:t>015；压</w:t>
      </w:r>
      <w:r>
        <w:rPr>
          <w:rFonts w:hint="eastAsia" w:ascii="宋体"/>
          <w:sz w:val="24"/>
        </w:rPr>
        <w:t>力</w:t>
      </w:r>
      <w:r>
        <w:rPr>
          <w:rFonts w:ascii="宋体"/>
          <w:sz w:val="24"/>
        </w:rPr>
        <w:t>、</w:t>
      </w:r>
      <w:r>
        <w:rPr>
          <w:rFonts w:hint="eastAsia" w:ascii="宋体"/>
          <w:sz w:val="24"/>
        </w:rPr>
        <w:t>K分度采集模块3块，研华</w:t>
      </w:r>
      <w:r>
        <w:rPr>
          <w:rFonts w:ascii="宋体"/>
          <w:sz w:val="24"/>
        </w:rPr>
        <w:t>4118；开关</w:t>
      </w:r>
      <w:r>
        <w:rPr>
          <w:rFonts w:hint="eastAsia" w:ascii="宋体"/>
          <w:sz w:val="24"/>
        </w:rPr>
        <w:t>量</w:t>
      </w:r>
      <w:r>
        <w:rPr>
          <w:rFonts w:ascii="宋体"/>
          <w:sz w:val="24"/>
        </w:rPr>
        <w:t>输</w:t>
      </w:r>
      <w:r>
        <w:rPr>
          <w:rFonts w:hint="eastAsia" w:ascii="宋体"/>
          <w:sz w:val="24"/>
        </w:rPr>
        <w:t>入</w:t>
      </w:r>
      <w:r>
        <w:rPr>
          <w:rFonts w:ascii="宋体"/>
          <w:sz w:val="24"/>
        </w:rPr>
        <w:t>输出模</w:t>
      </w:r>
      <w:r>
        <w:rPr>
          <w:rFonts w:hint="eastAsia" w:ascii="宋体"/>
          <w:sz w:val="24"/>
        </w:rPr>
        <w:t>块1块，研华4</w:t>
      </w:r>
      <w:r>
        <w:rPr>
          <w:rFonts w:ascii="宋体"/>
          <w:sz w:val="24"/>
        </w:rPr>
        <w:t>050。</w:t>
      </w:r>
    </w:p>
    <w:p w14:paraId="01087588">
      <w:pPr>
        <w:spacing w:line="360" w:lineRule="auto"/>
        <w:ind w:firstLine="480" w:firstLineChars="200"/>
        <w:rPr>
          <w:rFonts w:ascii="宋体"/>
          <w:sz w:val="24"/>
        </w:rPr>
      </w:pPr>
      <w:r>
        <w:rPr>
          <w:rFonts w:ascii="宋体"/>
          <w:sz w:val="24"/>
        </w:rPr>
        <w:t>每</w:t>
      </w:r>
      <w:r>
        <w:rPr>
          <w:rFonts w:hint="eastAsia" w:ascii="宋体"/>
          <w:sz w:val="24"/>
        </w:rPr>
        <w:t>个台架配备四通道周立功F</w:t>
      </w:r>
      <w:r>
        <w:rPr>
          <w:rFonts w:ascii="宋体"/>
          <w:sz w:val="24"/>
        </w:rPr>
        <w:t>D</w:t>
      </w:r>
      <w:r>
        <w:rPr>
          <w:rFonts w:hint="eastAsia" w:ascii="宋体"/>
          <w:sz w:val="24"/>
        </w:rPr>
        <w:t>卡，通过C</w:t>
      </w:r>
      <w:r>
        <w:rPr>
          <w:rFonts w:ascii="宋体"/>
          <w:sz w:val="24"/>
        </w:rPr>
        <w:t>AN通</w:t>
      </w:r>
      <w:r>
        <w:rPr>
          <w:rFonts w:hint="eastAsia" w:ascii="宋体"/>
          <w:sz w:val="24"/>
        </w:rPr>
        <w:t>讯实时读取电控发动机ECU中的转速、机油压力、水温等参数，作为数据列与台架参数同步实时记录和保存。增程器台架另需通过CAN卡实现控制增程器RCU功能，和通过CAN卡同时控制发动机ECU和电机控制器GCU功能，可程序控制和手动控制，完成增程器相关出厂试验。</w:t>
      </w:r>
    </w:p>
    <w:p w14:paraId="7A793F66">
      <w:pPr>
        <w:spacing w:line="360" w:lineRule="auto"/>
        <w:ind w:firstLine="480" w:firstLineChars="200"/>
        <w:rPr>
          <w:rFonts w:ascii="宋体"/>
          <w:sz w:val="24"/>
        </w:rPr>
      </w:pPr>
      <w:r>
        <w:rPr>
          <w:rFonts w:hint="eastAsia" w:ascii="宋体"/>
          <w:sz w:val="24"/>
        </w:rPr>
        <w:t>8</w:t>
      </w:r>
      <w:r>
        <w:rPr>
          <w:rFonts w:ascii="宋体"/>
          <w:sz w:val="24"/>
        </w:rPr>
        <w:t>.5气象</w:t>
      </w:r>
      <w:r>
        <w:rPr>
          <w:rFonts w:hint="eastAsia" w:ascii="宋体"/>
          <w:sz w:val="24"/>
        </w:rPr>
        <w:t>站</w:t>
      </w:r>
    </w:p>
    <w:p w14:paraId="31E28D4F">
      <w:pPr>
        <w:spacing w:line="360" w:lineRule="auto"/>
        <w:ind w:firstLine="480" w:firstLineChars="200"/>
        <w:rPr>
          <w:rFonts w:ascii="宋体"/>
          <w:sz w:val="24"/>
        </w:rPr>
      </w:pPr>
      <w:r>
        <w:rPr>
          <w:rFonts w:ascii="宋体"/>
          <w:sz w:val="24"/>
        </w:rPr>
        <w:t>整</w:t>
      </w:r>
      <w:r>
        <w:rPr>
          <w:rFonts w:hint="eastAsia" w:ascii="宋体"/>
          <w:sz w:val="24"/>
        </w:rPr>
        <w:t>个项目配备</w:t>
      </w:r>
      <w:r>
        <w:rPr>
          <w:rFonts w:ascii="宋体"/>
          <w:sz w:val="24"/>
        </w:rPr>
        <w:t>一</w:t>
      </w:r>
      <w:r>
        <w:rPr>
          <w:rFonts w:hint="eastAsia" w:ascii="宋体"/>
          <w:sz w:val="24"/>
        </w:rPr>
        <w:t>套</w:t>
      </w:r>
      <w:r>
        <w:rPr>
          <w:rFonts w:ascii="宋体"/>
          <w:sz w:val="24"/>
        </w:rPr>
        <w:t>气象</w:t>
      </w:r>
      <w:r>
        <w:rPr>
          <w:rFonts w:hint="eastAsia" w:ascii="宋体"/>
          <w:sz w:val="24"/>
        </w:rPr>
        <w:t>站</w:t>
      </w:r>
      <w:r>
        <w:rPr>
          <w:rFonts w:ascii="宋体"/>
          <w:sz w:val="24"/>
        </w:rPr>
        <w:t>，安</w:t>
      </w:r>
      <w:r>
        <w:rPr>
          <w:rFonts w:hint="eastAsia" w:ascii="宋体"/>
          <w:sz w:val="24"/>
        </w:rPr>
        <w:t>装在1</w:t>
      </w:r>
      <w:r>
        <w:rPr>
          <w:rFonts w:ascii="宋体"/>
          <w:sz w:val="24"/>
        </w:rPr>
        <w:t>2</w:t>
      </w:r>
      <w:r>
        <w:rPr>
          <w:rFonts w:hint="eastAsia" w:ascii="宋体"/>
          <w:sz w:val="24"/>
        </w:rPr>
        <w:t>#台</w:t>
      </w:r>
      <w:r>
        <w:rPr>
          <w:rFonts w:ascii="宋体"/>
          <w:sz w:val="24"/>
        </w:rPr>
        <w:t>架</w:t>
      </w:r>
      <w:r>
        <w:rPr>
          <w:rFonts w:hint="eastAsia" w:ascii="宋体"/>
          <w:sz w:val="24"/>
        </w:rPr>
        <w:t>适当处</w:t>
      </w:r>
      <w:r>
        <w:rPr>
          <w:rFonts w:ascii="宋体"/>
          <w:sz w:val="24"/>
        </w:rPr>
        <w:t>，通过系统联网供各</w:t>
      </w:r>
      <w:r>
        <w:rPr>
          <w:rFonts w:hint="eastAsia" w:ascii="宋体"/>
          <w:sz w:val="24"/>
        </w:rPr>
        <w:t>个台架共</w:t>
      </w:r>
      <w:r>
        <w:rPr>
          <w:rFonts w:ascii="宋体"/>
          <w:sz w:val="24"/>
        </w:rPr>
        <w:t>用。</w:t>
      </w:r>
    </w:p>
    <w:p w14:paraId="3640A289">
      <w:pPr>
        <w:spacing w:line="360" w:lineRule="auto"/>
        <w:ind w:firstLine="480" w:firstLineChars="200"/>
        <w:rPr>
          <w:rFonts w:ascii="宋体"/>
          <w:sz w:val="24"/>
        </w:rPr>
      </w:pPr>
      <w:r>
        <w:rPr>
          <w:rFonts w:ascii="宋体"/>
          <w:sz w:val="24"/>
        </w:rPr>
        <w:t>温湿</w:t>
      </w:r>
      <w:r>
        <w:rPr>
          <w:rFonts w:hint="eastAsia" w:ascii="宋体"/>
          <w:sz w:val="24"/>
        </w:rPr>
        <w:t>度</w:t>
      </w:r>
      <w:r>
        <w:rPr>
          <w:rFonts w:ascii="宋体"/>
          <w:sz w:val="24"/>
        </w:rPr>
        <w:t>采</w:t>
      </w:r>
      <w:r>
        <w:rPr>
          <w:rFonts w:hint="eastAsia" w:ascii="宋体"/>
          <w:sz w:val="24"/>
        </w:rPr>
        <w:t>用1件Vaisala HMW82。环境温度：量程 -40-60℃，精度 ±0.4℃；环境湿度：量程 0-100%RH，精度0～90%</w:t>
      </w:r>
      <w:r>
        <w:rPr>
          <w:rFonts w:ascii="宋体"/>
          <w:sz w:val="24"/>
        </w:rPr>
        <w:t>RH：</w:t>
      </w:r>
      <w:r>
        <w:rPr>
          <w:rFonts w:hint="eastAsia" w:ascii="宋体"/>
          <w:sz w:val="24"/>
        </w:rPr>
        <w:t>±2%</w:t>
      </w:r>
      <w:r>
        <w:rPr>
          <w:rFonts w:ascii="宋体"/>
          <w:sz w:val="24"/>
        </w:rPr>
        <w:t>RH</w:t>
      </w:r>
      <w:r>
        <w:rPr>
          <w:rFonts w:hint="eastAsia" w:ascii="宋体"/>
          <w:sz w:val="24"/>
        </w:rPr>
        <w:t>；90～100%</w:t>
      </w:r>
      <w:r>
        <w:rPr>
          <w:rFonts w:ascii="宋体"/>
          <w:sz w:val="24"/>
        </w:rPr>
        <w:t>RH：</w:t>
      </w:r>
      <w:r>
        <w:rPr>
          <w:rFonts w:hint="eastAsia" w:ascii="宋体"/>
          <w:sz w:val="24"/>
        </w:rPr>
        <w:t>±3%</w:t>
      </w:r>
      <w:r>
        <w:rPr>
          <w:rFonts w:ascii="宋体"/>
          <w:sz w:val="24"/>
        </w:rPr>
        <w:t>RH</w:t>
      </w:r>
      <w:r>
        <w:rPr>
          <w:rFonts w:hint="eastAsia" w:ascii="宋体"/>
          <w:sz w:val="24"/>
        </w:rPr>
        <w:t>。</w:t>
      </w:r>
    </w:p>
    <w:p w14:paraId="036148C8">
      <w:pPr>
        <w:spacing w:line="360" w:lineRule="auto"/>
        <w:ind w:firstLine="480" w:firstLineChars="200"/>
        <w:rPr>
          <w:rFonts w:ascii="宋体"/>
          <w:sz w:val="24"/>
        </w:rPr>
      </w:pPr>
      <w:r>
        <w:rPr>
          <w:rFonts w:ascii="宋体"/>
          <w:sz w:val="24"/>
        </w:rPr>
        <w:t>大</w:t>
      </w:r>
      <w:r>
        <w:rPr>
          <w:rFonts w:hint="eastAsia" w:ascii="宋体"/>
          <w:sz w:val="24"/>
        </w:rPr>
        <w:t>气压力传感器采用1件</w:t>
      </w:r>
      <w:r>
        <w:rPr>
          <w:rFonts w:ascii="宋体"/>
          <w:sz w:val="24"/>
        </w:rPr>
        <w:t>DRUCK或</w:t>
      </w:r>
      <w:r>
        <w:rPr>
          <w:rFonts w:hint="eastAsia" w:ascii="宋体"/>
          <w:sz w:val="24"/>
        </w:rPr>
        <w:t>W</w:t>
      </w:r>
      <w:r>
        <w:rPr>
          <w:rFonts w:ascii="宋体"/>
          <w:sz w:val="24"/>
        </w:rPr>
        <w:t>IKA,</w:t>
      </w:r>
      <w:r>
        <w:rPr>
          <w:rFonts w:hint="eastAsia"/>
        </w:rPr>
        <w:t xml:space="preserve"> </w:t>
      </w:r>
      <w:r>
        <w:rPr>
          <w:rFonts w:hint="eastAsia" w:ascii="宋体"/>
          <w:sz w:val="24"/>
        </w:rPr>
        <w:t>量程：80-120</w:t>
      </w:r>
      <w:r>
        <w:rPr>
          <w:rFonts w:ascii="宋体"/>
          <w:sz w:val="24"/>
        </w:rPr>
        <w:t>kP</w:t>
      </w:r>
      <w:r>
        <w:rPr>
          <w:rFonts w:hint="eastAsia" w:ascii="宋体"/>
          <w:sz w:val="24"/>
        </w:rPr>
        <w:t>a，系统精度：± 0.25%F</w:t>
      </w:r>
      <w:r>
        <w:rPr>
          <w:rFonts w:ascii="宋体"/>
          <w:sz w:val="24"/>
        </w:rPr>
        <w:t>.</w:t>
      </w:r>
      <w:r>
        <w:rPr>
          <w:rFonts w:hint="eastAsia" w:ascii="宋体"/>
          <w:sz w:val="24"/>
        </w:rPr>
        <w:t>S</w:t>
      </w:r>
      <w:r>
        <w:rPr>
          <w:rFonts w:ascii="宋体"/>
          <w:sz w:val="24"/>
        </w:rPr>
        <w:t>.</w:t>
      </w:r>
      <w:r>
        <w:rPr>
          <w:rFonts w:hint="eastAsia" w:ascii="宋体"/>
          <w:sz w:val="24"/>
        </w:rPr>
        <w:t>。</w:t>
      </w:r>
    </w:p>
    <w:p w14:paraId="3E47DE0E">
      <w:pPr>
        <w:spacing w:line="360" w:lineRule="auto"/>
        <w:ind w:firstLine="480" w:firstLineChars="200"/>
        <w:rPr>
          <w:rFonts w:ascii="宋体"/>
          <w:sz w:val="24"/>
        </w:rPr>
      </w:pPr>
    </w:p>
    <w:p w14:paraId="742F2D85">
      <w:pPr>
        <w:spacing w:line="360" w:lineRule="auto"/>
        <w:rPr>
          <w:rFonts w:ascii="宋体"/>
          <w:b/>
          <w:sz w:val="24"/>
        </w:rPr>
      </w:pPr>
      <w:r>
        <w:rPr>
          <w:rFonts w:hint="eastAsia" w:ascii="宋体"/>
          <w:b/>
          <w:sz w:val="24"/>
        </w:rPr>
        <w:t>9</w:t>
      </w:r>
      <w:r>
        <w:rPr>
          <w:rFonts w:ascii="宋体"/>
          <w:b/>
          <w:sz w:val="24"/>
        </w:rPr>
        <w:t>.条件</w:t>
      </w:r>
      <w:r>
        <w:rPr>
          <w:rFonts w:hint="eastAsia" w:ascii="宋体"/>
          <w:b/>
          <w:sz w:val="24"/>
        </w:rPr>
        <w:t>保证系统</w:t>
      </w:r>
    </w:p>
    <w:p w14:paraId="7D45D67D">
      <w:pPr>
        <w:spacing w:line="360" w:lineRule="auto"/>
        <w:rPr>
          <w:rFonts w:ascii="宋体"/>
          <w:b/>
          <w:sz w:val="24"/>
        </w:rPr>
      </w:pPr>
      <w:r>
        <w:rPr>
          <w:rFonts w:hint="eastAsia" w:ascii="宋体"/>
          <w:b/>
          <w:sz w:val="24"/>
        </w:rPr>
        <w:t>9</w:t>
      </w:r>
      <w:r>
        <w:rPr>
          <w:rFonts w:ascii="宋体"/>
          <w:b/>
          <w:sz w:val="24"/>
        </w:rPr>
        <w:t>.1燃</w:t>
      </w:r>
      <w:r>
        <w:rPr>
          <w:rFonts w:hint="eastAsia" w:ascii="宋体"/>
          <w:b/>
          <w:sz w:val="24"/>
        </w:rPr>
        <w:t>油供给及恒温</w:t>
      </w:r>
    </w:p>
    <w:p w14:paraId="7438F389">
      <w:pPr>
        <w:spacing w:line="360" w:lineRule="auto"/>
        <w:rPr>
          <w:rFonts w:ascii="宋体"/>
          <w:sz w:val="24"/>
        </w:rPr>
      </w:pPr>
      <w:r>
        <w:rPr>
          <w:rFonts w:hint="eastAsia" w:ascii="宋体"/>
          <w:sz w:val="24"/>
        </w:rPr>
        <w:t>9</w:t>
      </w:r>
      <w:r>
        <w:rPr>
          <w:rFonts w:ascii="宋体"/>
          <w:sz w:val="24"/>
        </w:rPr>
        <w:t>.1.1</w:t>
      </w:r>
      <w:r>
        <w:rPr>
          <w:rFonts w:hint="eastAsia" w:ascii="宋体"/>
          <w:sz w:val="24"/>
        </w:rPr>
        <w:t>新增9套科里奥利原理的E</w:t>
      </w:r>
      <w:r>
        <w:rPr>
          <w:rFonts w:ascii="宋体"/>
          <w:sz w:val="24"/>
        </w:rPr>
        <w:t>merson</w:t>
      </w:r>
      <w:r>
        <w:rPr>
          <w:rFonts w:hint="eastAsia" w:ascii="宋体"/>
          <w:sz w:val="24"/>
        </w:rPr>
        <w:t>质量</w:t>
      </w:r>
      <w:r>
        <w:rPr>
          <w:rFonts w:ascii="宋体"/>
          <w:sz w:val="24"/>
        </w:rPr>
        <w:t>流</w:t>
      </w:r>
      <w:r>
        <w:rPr>
          <w:rFonts w:hint="eastAsia" w:ascii="宋体"/>
          <w:sz w:val="24"/>
        </w:rPr>
        <w:t>量计，型号为C</w:t>
      </w:r>
      <w:r>
        <w:rPr>
          <w:rFonts w:ascii="宋体"/>
          <w:sz w:val="24"/>
        </w:rPr>
        <w:t>MFS015</w:t>
      </w:r>
      <w:r>
        <w:rPr>
          <w:rFonts w:hint="eastAsia" w:ascii="宋体"/>
          <w:sz w:val="24"/>
        </w:rPr>
        <w:t>，</w:t>
      </w:r>
      <w:r>
        <w:rPr>
          <w:rFonts w:ascii="宋体"/>
          <w:sz w:val="24"/>
        </w:rPr>
        <w:t>主</w:t>
      </w:r>
      <w:r>
        <w:rPr>
          <w:rFonts w:hint="eastAsia" w:ascii="宋体"/>
          <w:sz w:val="24"/>
        </w:rPr>
        <w:t>要</w:t>
      </w:r>
      <w:r>
        <w:rPr>
          <w:rFonts w:ascii="宋体"/>
          <w:sz w:val="24"/>
        </w:rPr>
        <w:t>技术参数如</w:t>
      </w:r>
      <w:r>
        <w:rPr>
          <w:rFonts w:hint="eastAsia" w:ascii="宋体"/>
          <w:sz w:val="24"/>
        </w:rPr>
        <w:t>下</w:t>
      </w:r>
      <w:r>
        <w:rPr>
          <w:rFonts w:ascii="宋体"/>
          <w:sz w:val="24"/>
        </w:rPr>
        <w:t>：</w:t>
      </w:r>
    </w:p>
    <w:p w14:paraId="242A8DD4">
      <w:pPr>
        <w:numPr>
          <w:ilvl w:val="0"/>
          <w:numId w:val="13"/>
        </w:numPr>
        <w:suppressAutoHyphens w:val="0"/>
        <w:overflowPunct/>
        <w:spacing w:line="360" w:lineRule="auto"/>
        <w:ind w:hanging="49"/>
        <w:jc w:val="both"/>
        <w:rPr>
          <w:rFonts w:ascii="宋体"/>
          <w:sz w:val="24"/>
        </w:rPr>
      </w:pPr>
      <w:r>
        <w:rPr>
          <w:rFonts w:hint="eastAsia" w:ascii="宋体"/>
          <w:sz w:val="24"/>
        </w:rPr>
        <w:t>量程：0～1</w:t>
      </w:r>
      <w:r>
        <w:rPr>
          <w:rFonts w:ascii="宋体"/>
          <w:sz w:val="24"/>
        </w:rPr>
        <w:t>25kg/h；</w:t>
      </w:r>
    </w:p>
    <w:p w14:paraId="7D6F3D32">
      <w:pPr>
        <w:numPr>
          <w:ilvl w:val="0"/>
          <w:numId w:val="14"/>
        </w:numPr>
        <w:suppressAutoHyphens w:val="0"/>
        <w:overflowPunct/>
        <w:spacing w:line="360" w:lineRule="auto"/>
        <w:ind w:hanging="49"/>
        <w:jc w:val="both"/>
        <w:rPr>
          <w:rFonts w:ascii="宋体"/>
          <w:sz w:val="24"/>
        </w:rPr>
      </w:pPr>
      <w:r>
        <w:rPr>
          <w:rFonts w:hint="eastAsia" w:ascii="宋体"/>
          <w:sz w:val="24"/>
        </w:rPr>
        <w:t>质量和体积流量精度：± 0.</w:t>
      </w:r>
      <w:r>
        <w:rPr>
          <w:rFonts w:ascii="宋体"/>
          <w:sz w:val="24"/>
        </w:rPr>
        <w:t>12%；</w:t>
      </w:r>
    </w:p>
    <w:p w14:paraId="03FFD6AF">
      <w:pPr>
        <w:numPr>
          <w:ilvl w:val="0"/>
          <w:numId w:val="14"/>
        </w:numPr>
        <w:suppressAutoHyphens w:val="0"/>
        <w:overflowPunct/>
        <w:spacing w:line="360" w:lineRule="auto"/>
        <w:ind w:hanging="49"/>
        <w:jc w:val="both"/>
        <w:rPr>
          <w:rFonts w:ascii="宋体"/>
          <w:sz w:val="24"/>
        </w:rPr>
      </w:pPr>
      <w:r>
        <w:rPr>
          <w:rFonts w:hint="eastAsia" w:ascii="宋体"/>
          <w:sz w:val="24"/>
        </w:rPr>
        <w:t>质量和体积流量重复性：± 0.</w:t>
      </w:r>
      <w:r>
        <w:rPr>
          <w:rFonts w:ascii="宋体"/>
          <w:sz w:val="24"/>
        </w:rPr>
        <w:t>05%；</w:t>
      </w:r>
    </w:p>
    <w:p w14:paraId="51089999">
      <w:pPr>
        <w:numPr>
          <w:ilvl w:val="0"/>
          <w:numId w:val="14"/>
        </w:numPr>
        <w:suppressAutoHyphens w:val="0"/>
        <w:overflowPunct/>
        <w:spacing w:line="360" w:lineRule="auto"/>
        <w:ind w:hanging="49"/>
        <w:jc w:val="both"/>
        <w:rPr>
          <w:rFonts w:ascii="宋体"/>
          <w:sz w:val="24"/>
        </w:rPr>
      </w:pPr>
      <w:r>
        <w:rPr>
          <w:rFonts w:hint="eastAsia" w:ascii="宋体"/>
          <w:sz w:val="24"/>
        </w:rPr>
        <w:t>零点稳定性：0</w:t>
      </w:r>
      <w:r>
        <w:rPr>
          <w:rFonts w:ascii="宋体"/>
          <w:sz w:val="24"/>
        </w:rPr>
        <w:t>.027kg/h；</w:t>
      </w:r>
    </w:p>
    <w:p w14:paraId="233AB5F6">
      <w:pPr>
        <w:numPr>
          <w:ilvl w:val="0"/>
          <w:numId w:val="14"/>
        </w:numPr>
        <w:suppressAutoHyphens w:val="0"/>
        <w:overflowPunct/>
        <w:spacing w:line="360" w:lineRule="auto"/>
        <w:ind w:hanging="49"/>
        <w:jc w:val="both"/>
        <w:rPr>
          <w:rFonts w:ascii="宋体"/>
          <w:sz w:val="24"/>
        </w:rPr>
      </w:pPr>
      <w:r>
        <w:rPr>
          <w:rFonts w:ascii="宋体"/>
          <w:sz w:val="24"/>
        </w:rPr>
        <w:t>传</w:t>
      </w:r>
      <w:r>
        <w:rPr>
          <w:rFonts w:hint="eastAsia" w:ascii="宋体"/>
          <w:sz w:val="24"/>
        </w:rPr>
        <w:t>感器压力</w:t>
      </w:r>
      <w:r>
        <w:rPr>
          <w:rFonts w:ascii="宋体"/>
          <w:sz w:val="24"/>
        </w:rPr>
        <w:t>等级：</w:t>
      </w:r>
      <w:r>
        <w:rPr>
          <w:rFonts w:hint="eastAsia" w:ascii="宋体"/>
          <w:sz w:val="24"/>
        </w:rPr>
        <w:t>≥1</w:t>
      </w:r>
      <w:r>
        <w:rPr>
          <w:rFonts w:ascii="宋体"/>
          <w:sz w:val="24"/>
        </w:rPr>
        <w:t>6 bar；</w:t>
      </w:r>
    </w:p>
    <w:p w14:paraId="28C8B9D9">
      <w:pPr>
        <w:numPr>
          <w:ilvl w:val="0"/>
          <w:numId w:val="14"/>
        </w:numPr>
        <w:suppressAutoHyphens w:val="0"/>
        <w:overflowPunct/>
        <w:spacing w:line="360" w:lineRule="auto"/>
        <w:ind w:hanging="49"/>
        <w:jc w:val="both"/>
        <w:rPr>
          <w:rFonts w:ascii="宋体"/>
          <w:sz w:val="24"/>
        </w:rPr>
      </w:pPr>
      <w:r>
        <w:rPr>
          <w:rFonts w:hint="eastAsia" w:ascii="宋体"/>
          <w:sz w:val="24"/>
        </w:rPr>
        <w:t>材料：3</w:t>
      </w:r>
      <w:r>
        <w:rPr>
          <w:rFonts w:ascii="宋体"/>
          <w:sz w:val="24"/>
        </w:rPr>
        <w:t>16L 不</w:t>
      </w:r>
      <w:r>
        <w:rPr>
          <w:rFonts w:hint="eastAsia" w:ascii="宋体"/>
          <w:sz w:val="24"/>
        </w:rPr>
        <w:t>锈钢；</w:t>
      </w:r>
    </w:p>
    <w:p w14:paraId="754DDBF3">
      <w:pPr>
        <w:numPr>
          <w:ilvl w:val="0"/>
          <w:numId w:val="14"/>
        </w:numPr>
        <w:suppressAutoHyphens w:val="0"/>
        <w:overflowPunct/>
        <w:spacing w:line="360" w:lineRule="auto"/>
        <w:ind w:hanging="49"/>
        <w:jc w:val="both"/>
        <w:rPr>
          <w:rFonts w:ascii="宋体"/>
          <w:sz w:val="24"/>
        </w:rPr>
      </w:pPr>
      <w:r>
        <w:rPr>
          <w:rFonts w:ascii="宋体"/>
          <w:sz w:val="24"/>
        </w:rPr>
        <w:t>测</w:t>
      </w:r>
      <w:r>
        <w:rPr>
          <w:rFonts w:hint="eastAsia" w:ascii="宋体"/>
          <w:sz w:val="24"/>
        </w:rPr>
        <w:t>控系统</w:t>
      </w:r>
      <w:r>
        <w:rPr>
          <w:rFonts w:ascii="宋体"/>
          <w:sz w:val="24"/>
        </w:rPr>
        <w:t>至</w:t>
      </w:r>
      <w:r>
        <w:rPr>
          <w:rFonts w:hint="eastAsia" w:ascii="宋体"/>
          <w:sz w:val="24"/>
        </w:rPr>
        <w:t>少应读取油耗仪的</w:t>
      </w:r>
      <w:r>
        <w:rPr>
          <w:rFonts w:ascii="宋体"/>
          <w:sz w:val="24"/>
        </w:rPr>
        <w:t>累</w:t>
      </w:r>
      <w:r>
        <w:rPr>
          <w:rFonts w:hint="eastAsia" w:ascii="宋体"/>
          <w:sz w:val="24"/>
        </w:rPr>
        <w:t>积</w:t>
      </w:r>
      <w:r>
        <w:rPr>
          <w:rFonts w:ascii="宋体"/>
          <w:sz w:val="24"/>
        </w:rPr>
        <w:t>质量、质量</w:t>
      </w:r>
      <w:r>
        <w:rPr>
          <w:rFonts w:hint="eastAsia" w:ascii="宋体"/>
          <w:sz w:val="24"/>
        </w:rPr>
        <w:t>流量比</w:t>
      </w:r>
      <w:r>
        <w:rPr>
          <w:rFonts w:ascii="宋体"/>
          <w:sz w:val="24"/>
        </w:rPr>
        <w:t>、燃</w:t>
      </w:r>
      <w:r>
        <w:rPr>
          <w:rFonts w:hint="eastAsia" w:ascii="宋体"/>
          <w:sz w:val="24"/>
        </w:rPr>
        <w:t>油</w:t>
      </w:r>
      <w:r>
        <w:rPr>
          <w:rFonts w:ascii="宋体"/>
          <w:sz w:val="24"/>
        </w:rPr>
        <w:t>温</w:t>
      </w:r>
      <w:r>
        <w:rPr>
          <w:rFonts w:hint="eastAsia" w:ascii="宋体"/>
          <w:sz w:val="24"/>
        </w:rPr>
        <w:t>度等参数并记录。</w:t>
      </w:r>
    </w:p>
    <w:p w14:paraId="613F7215">
      <w:pPr>
        <w:spacing w:line="360" w:lineRule="auto"/>
        <w:rPr>
          <w:rFonts w:ascii="宋体"/>
          <w:sz w:val="24"/>
        </w:rPr>
      </w:pPr>
      <w:r>
        <w:rPr>
          <w:rFonts w:hint="eastAsia" w:ascii="宋体"/>
          <w:sz w:val="24"/>
        </w:rPr>
        <w:t>9</w:t>
      </w:r>
      <w:r>
        <w:rPr>
          <w:rFonts w:ascii="宋体"/>
          <w:sz w:val="24"/>
        </w:rPr>
        <w:t>.1.2新</w:t>
      </w:r>
      <w:r>
        <w:rPr>
          <w:rFonts w:hint="eastAsia" w:ascii="宋体"/>
          <w:sz w:val="24"/>
        </w:rPr>
        <w:t>增</w:t>
      </w:r>
      <w:r>
        <w:rPr>
          <w:rFonts w:ascii="宋体"/>
          <w:sz w:val="24"/>
        </w:rPr>
        <w:t>燃</w:t>
      </w:r>
      <w:r>
        <w:rPr>
          <w:rFonts w:hint="eastAsia" w:ascii="宋体"/>
          <w:sz w:val="24"/>
        </w:rPr>
        <w:t>油恒温装置</w:t>
      </w:r>
      <w:r>
        <w:rPr>
          <w:rFonts w:ascii="宋体"/>
          <w:sz w:val="24"/>
        </w:rPr>
        <w:t>，实现</w:t>
      </w:r>
      <w:r>
        <w:rPr>
          <w:rFonts w:hint="eastAsia" w:ascii="宋体"/>
          <w:sz w:val="24"/>
        </w:rPr>
        <w:t>燃油温度自动控制</w:t>
      </w:r>
      <w:r>
        <w:rPr>
          <w:rFonts w:ascii="宋体"/>
          <w:sz w:val="24"/>
        </w:rPr>
        <w:t>，温</w:t>
      </w:r>
      <w:r>
        <w:rPr>
          <w:rFonts w:hint="eastAsia" w:ascii="宋体"/>
          <w:sz w:val="24"/>
        </w:rPr>
        <w:t>度调节</w:t>
      </w:r>
      <w:r>
        <w:rPr>
          <w:rFonts w:ascii="宋体"/>
          <w:sz w:val="24"/>
        </w:rPr>
        <w:t>范</w:t>
      </w:r>
      <w:r>
        <w:rPr>
          <w:rFonts w:hint="eastAsia" w:ascii="宋体"/>
          <w:sz w:val="24"/>
        </w:rPr>
        <w:t>围3</w:t>
      </w:r>
      <w:r>
        <w:rPr>
          <w:rFonts w:ascii="宋体"/>
          <w:sz w:val="24"/>
        </w:rPr>
        <w:t>0</w:t>
      </w:r>
      <w:r>
        <w:rPr>
          <w:rFonts w:hint="eastAsia" w:ascii="宋体"/>
          <w:sz w:val="24"/>
        </w:rPr>
        <w:t>～</w:t>
      </w:r>
      <w:r>
        <w:rPr>
          <w:rFonts w:ascii="宋体"/>
          <w:sz w:val="24"/>
        </w:rPr>
        <w:t>45</w:t>
      </w:r>
      <w:r>
        <w:rPr>
          <w:rFonts w:hint="eastAsia" w:ascii="宋体"/>
          <w:sz w:val="24"/>
        </w:rPr>
        <w:t>℃，控制精度（进油）±2℃，响应时间＜10s。燃油的加热和冷却需通过换热的方式进行。冷却用的介质招标方已具备，无需新增制冷装置。温控采用西门子或博力谋电动执行器，燃油管路设有T</w:t>
      </w:r>
      <w:r>
        <w:rPr>
          <w:rFonts w:ascii="宋体"/>
          <w:sz w:val="24"/>
        </w:rPr>
        <w:t>A-3</w:t>
      </w:r>
      <w:r>
        <w:rPr>
          <w:rFonts w:hint="eastAsia" w:ascii="宋体"/>
          <w:sz w:val="24"/>
        </w:rPr>
        <w:t>自动放气装置。操作台可远程对恒温装置进行控制及参数设定。</w:t>
      </w:r>
    </w:p>
    <w:p w14:paraId="07367192">
      <w:pPr>
        <w:spacing w:line="360" w:lineRule="auto"/>
        <w:rPr>
          <w:rFonts w:ascii="宋体"/>
          <w:sz w:val="24"/>
        </w:rPr>
      </w:pPr>
      <w:r>
        <w:rPr>
          <w:rFonts w:hint="eastAsia" w:ascii="宋体"/>
          <w:sz w:val="24"/>
        </w:rPr>
        <w:t>9</w:t>
      </w:r>
      <w:r>
        <w:rPr>
          <w:rFonts w:ascii="宋体"/>
          <w:sz w:val="24"/>
        </w:rPr>
        <w:t>.1.3燃</w:t>
      </w:r>
      <w:r>
        <w:rPr>
          <w:rFonts w:hint="eastAsia" w:ascii="宋体"/>
          <w:sz w:val="24"/>
        </w:rPr>
        <w:t>油供给系统用管路全部采用不锈钢管和卡套式金属密封。需在台架曲轴中心两侧均布设供发动机联接用的进、回燃油管，末端配球阀。燃油温度传感器和燃油进油压力检测取样口布置在发动机进油管路三通分叉前的总管路上。</w:t>
      </w:r>
    </w:p>
    <w:p w14:paraId="60A51833">
      <w:pPr>
        <w:spacing w:line="360" w:lineRule="auto"/>
        <w:rPr>
          <w:rFonts w:ascii="宋体"/>
          <w:sz w:val="24"/>
        </w:rPr>
      </w:pPr>
      <w:r>
        <w:rPr>
          <w:rFonts w:ascii="宋体"/>
          <w:sz w:val="24"/>
        </w:rPr>
        <w:t>9.1.4油耗</w:t>
      </w:r>
      <w:r>
        <w:rPr>
          <w:rFonts w:hint="eastAsia" w:ascii="宋体"/>
          <w:sz w:val="24"/>
        </w:rPr>
        <w:t>仪前设稳压单元</w:t>
      </w:r>
      <w:r>
        <w:rPr>
          <w:rFonts w:ascii="宋体"/>
          <w:sz w:val="24"/>
        </w:rPr>
        <w:t>，以消</w:t>
      </w:r>
      <w:r>
        <w:rPr>
          <w:rFonts w:hint="eastAsia" w:ascii="宋体"/>
          <w:sz w:val="24"/>
        </w:rPr>
        <w:t>解油库</w:t>
      </w:r>
      <w:r>
        <w:rPr>
          <w:rFonts w:ascii="宋体"/>
          <w:sz w:val="24"/>
        </w:rPr>
        <w:t>气</w:t>
      </w:r>
      <w:r>
        <w:rPr>
          <w:rFonts w:hint="eastAsia" w:ascii="宋体"/>
          <w:sz w:val="24"/>
        </w:rPr>
        <w:t>动隔</w:t>
      </w:r>
      <w:r>
        <w:rPr>
          <w:rFonts w:ascii="宋体"/>
          <w:sz w:val="24"/>
        </w:rPr>
        <w:t>膜</w:t>
      </w:r>
      <w:r>
        <w:rPr>
          <w:rFonts w:hint="eastAsia" w:ascii="宋体"/>
          <w:sz w:val="24"/>
        </w:rPr>
        <w:t>泵的</w:t>
      </w:r>
      <w:r>
        <w:rPr>
          <w:rFonts w:ascii="宋体"/>
          <w:sz w:val="24"/>
        </w:rPr>
        <w:t>供</w:t>
      </w:r>
      <w:r>
        <w:rPr>
          <w:rFonts w:hint="eastAsia" w:ascii="宋体"/>
          <w:sz w:val="24"/>
        </w:rPr>
        <w:t>油</w:t>
      </w:r>
      <w:r>
        <w:rPr>
          <w:rFonts w:ascii="宋体"/>
          <w:sz w:val="24"/>
        </w:rPr>
        <w:t>脉</w:t>
      </w:r>
      <w:r>
        <w:rPr>
          <w:rFonts w:hint="eastAsia" w:ascii="宋体"/>
          <w:sz w:val="24"/>
        </w:rPr>
        <w:t>动</w:t>
      </w:r>
      <w:r>
        <w:rPr>
          <w:rFonts w:ascii="宋体"/>
          <w:sz w:val="24"/>
        </w:rPr>
        <w:t>。稳</w:t>
      </w:r>
      <w:r>
        <w:rPr>
          <w:rFonts w:hint="eastAsia" w:ascii="宋体"/>
          <w:sz w:val="24"/>
        </w:rPr>
        <w:t>压单元供油压力范围为0～</w:t>
      </w:r>
      <w:r>
        <w:rPr>
          <w:rFonts w:ascii="宋体"/>
          <w:sz w:val="24"/>
        </w:rPr>
        <w:t>300kPa</w:t>
      </w:r>
      <w:r>
        <w:rPr>
          <w:rFonts w:hint="eastAsia" w:ascii="宋体"/>
          <w:sz w:val="24"/>
        </w:rPr>
        <w:t>（可手动调节），设有机械油压表</w:t>
      </w:r>
      <w:r>
        <w:rPr>
          <w:rFonts w:ascii="宋体"/>
          <w:sz w:val="24"/>
        </w:rPr>
        <w:t>。油耗</w:t>
      </w:r>
      <w:r>
        <w:rPr>
          <w:rFonts w:hint="eastAsia" w:ascii="宋体"/>
          <w:sz w:val="24"/>
        </w:rPr>
        <w:t>仪</w:t>
      </w:r>
      <w:r>
        <w:rPr>
          <w:rFonts w:ascii="宋体"/>
          <w:sz w:val="24"/>
        </w:rPr>
        <w:t>与</w:t>
      </w:r>
      <w:r>
        <w:rPr>
          <w:rFonts w:hint="eastAsia" w:ascii="宋体"/>
          <w:sz w:val="24"/>
        </w:rPr>
        <w:t>稳压单元之间</w:t>
      </w:r>
      <w:r>
        <w:rPr>
          <w:rFonts w:ascii="宋体"/>
          <w:sz w:val="24"/>
        </w:rPr>
        <w:t>设</w:t>
      </w:r>
      <w:r>
        <w:rPr>
          <w:rFonts w:hint="eastAsia" w:ascii="宋体"/>
          <w:sz w:val="24"/>
        </w:rPr>
        <w:t>有</w:t>
      </w:r>
      <w:r>
        <w:rPr>
          <w:rFonts w:ascii="宋体"/>
          <w:sz w:val="24"/>
        </w:rPr>
        <w:t>燃</w:t>
      </w:r>
      <w:r>
        <w:rPr>
          <w:rFonts w:hint="eastAsia" w:ascii="宋体"/>
          <w:sz w:val="24"/>
        </w:rPr>
        <w:t>油滤清器（燃油滤清器招标方提供</w:t>
      </w:r>
      <w:r>
        <w:rPr>
          <w:rFonts w:ascii="宋体"/>
          <w:sz w:val="24"/>
        </w:rPr>
        <w:t>，投</w:t>
      </w:r>
      <w:r>
        <w:rPr>
          <w:rFonts w:hint="eastAsia" w:ascii="宋体"/>
          <w:sz w:val="24"/>
        </w:rPr>
        <w:t>标方布置并安装</w:t>
      </w:r>
      <w:r>
        <w:rPr>
          <w:rFonts w:ascii="宋体"/>
          <w:sz w:val="24"/>
        </w:rPr>
        <w:t>）。</w:t>
      </w:r>
    </w:p>
    <w:p w14:paraId="6FA25A67">
      <w:pPr>
        <w:spacing w:line="360" w:lineRule="auto"/>
        <w:rPr>
          <w:rFonts w:ascii="宋体"/>
          <w:sz w:val="24"/>
        </w:rPr>
      </w:pPr>
      <w:r>
        <w:rPr>
          <w:rFonts w:hint="eastAsia" w:ascii="宋体"/>
          <w:sz w:val="24"/>
        </w:rPr>
        <w:t>9</w:t>
      </w:r>
      <w:r>
        <w:rPr>
          <w:rFonts w:ascii="宋体"/>
          <w:sz w:val="24"/>
        </w:rPr>
        <w:t>.1.5柴油管</w:t>
      </w:r>
      <w:r>
        <w:rPr>
          <w:rFonts w:hint="eastAsia" w:ascii="宋体"/>
          <w:sz w:val="24"/>
        </w:rPr>
        <w:t>路模块</w:t>
      </w:r>
      <w:r>
        <w:rPr>
          <w:rFonts w:ascii="宋体"/>
          <w:sz w:val="24"/>
        </w:rPr>
        <w:t>的</w:t>
      </w:r>
      <w:r>
        <w:rPr>
          <w:rFonts w:hint="eastAsia" w:ascii="宋体"/>
          <w:sz w:val="24"/>
        </w:rPr>
        <w:t>外侧应有方便装、拆的</w:t>
      </w:r>
      <w:r>
        <w:rPr>
          <w:rFonts w:ascii="宋体"/>
          <w:sz w:val="24"/>
        </w:rPr>
        <w:t>遮挡板，避</w:t>
      </w:r>
      <w:r>
        <w:rPr>
          <w:rFonts w:hint="eastAsia" w:ascii="宋体"/>
          <w:sz w:val="24"/>
        </w:rPr>
        <w:t>免管路泄漏时柴油溅出。</w:t>
      </w:r>
    </w:p>
    <w:p w14:paraId="501E723F">
      <w:pPr>
        <w:spacing w:line="360" w:lineRule="auto"/>
        <w:rPr>
          <w:rFonts w:ascii="宋体"/>
          <w:sz w:val="24"/>
        </w:rPr>
      </w:pPr>
      <w:r>
        <w:rPr>
          <w:rFonts w:hint="eastAsia" w:ascii="宋体"/>
          <w:sz w:val="24"/>
        </w:rPr>
        <w:t>9</w:t>
      </w:r>
      <w:r>
        <w:rPr>
          <w:rFonts w:ascii="宋体"/>
          <w:sz w:val="24"/>
        </w:rPr>
        <w:t>.1.6台架出现</w:t>
      </w:r>
      <w:r>
        <w:rPr>
          <w:rFonts w:hint="eastAsia" w:ascii="宋体"/>
          <w:sz w:val="24"/>
        </w:rPr>
        <w:t>急停</w:t>
      </w:r>
      <w:r>
        <w:rPr>
          <w:rFonts w:ascii="宋体"/>
          <w:sz w:val="24"/>
        </w:rPr>
        <w:t>信号</w:t>
      </w:r>
      <w:r>
        <w:rPr>
          <w:rFonts w:hint="eastAsia" w:ascii="宋体"/>
          <w:sz w:val="24"/>
        </w:rPr>
        <w:t>时</w:t>
      </w:r>
      <w:r>
        <w:rPr>
          <w:rFonts w:ascii="宋体"/>
          <w:sz w:val="24"/>
        </w:rPr>
        <w:t>，能自</w:t>
      </w:r>
      <w:r>
        <w:rPr>
          <w:rFonts w:hint="eastAsia" w:ascii="宋体"/>
          <w:sz w:val="24"/>
        </w:rPr>
        <w:t>动切</w:t>
      </w:r>
      <w:r>
        <w:rPr>
          <w:rFonts w:ascii="宋体"/>
          <w:sz w:val="24"/>
        </w:rPr>
        <w:t>断</w:t>
      </w:r>
      <w:r>
        <w:rPr>
          <w:rFonts w:hint="eastAsia" w:ascii="宋体"/>
          <w:sz w:val="24"/>
        </w:rPr>
        <w:t>燃油</w:t>
      </w:r>
      <w:r>
        <w:rPr>
          <w:rFonts w:ascii="宋体"/>
          <w:sz w:val="24"/>
        </w:rPr>
        <w:t>进</w:t>
      </w:r>
      <w:r>
        <w:rPr>
          <w:rFonts w:hint="eastAsia" w:ascii="宋体"/>
          <w:sz w:val="24"/>
        </w:rPr>
        <w:t>油</w:t>
      </w:r>
      <w:r>
        <w:rPr>
          <w:rFonts w:ascii="宋体"/>
          <w:sz w:val="24"/>
        </w:rPr>
        <w:t>。</w:t>
      </w:r>
    </w:p>
    <w:p w14:paraId="16D0FC3E">
      <w:pPr>
        <w:spacing w:line="360" w:lineRule="auto"/>
        <w:ind w:firstLine="480" w:firstLineChars="200"/>
        <w:rPr>
          <w:rFonts w:ascii="宋体"/>
          <w:sz w:val="24"/>
        </w:rPr>
      </w:pPr>
    </w:p>
    <w:p w14:paraId="49D25A36">
      <w:pPr>
        <w:spacing w:line="360" w:lineRule="auto"/>
        <w:rPr>
          <w:rFonts w:ascii="宋体"/>
          <w:b/>
          <w:sz w:val="24"/>
        </w:rPr>
      </w:pPr>
      <w:r>
        <w:rPr>
          <w:rFonts w:hint="eastAsia" w:ascii="宋体"/>
          <w:b/>
          <w:sz w:val="24"/>
        </w:rPr>
        <w:t>9</w:t>
      </w:r>
      <w:r>
        <w:rPr>
          <w:rFonts w:ascii="宋体"/>
          <w:b/>
          <w:sz w:val="24"/>
        </w:rPr>
        <w:t>.2天</w:t>
      </w:r>
      <w:r>
        <w:rPr>
          <w:rFonts w:hint="eastAsia" w:ascii="宋体"/>
          <w:b/>
          <w:sz w:val="24"/>
        </w:rPr>
        <w:t>然气供给</w:t>
      </w:r>
    </w:p>
    <w:p w14:paraId="099B0C5E">
      <w:pPr>
        <w:spacing w:line="360" w:lineRule="auto"/>
        <w:ind w:firstLine="480" w:firstLineChars="200"/>
        <w:rPr>
          <w:rFonts w:ascii="宋体"/>
          <w:sz w:val="24"/>
        </w:rPr>
      </w:pPr>
      <w:r>
        <w:rPr>
          <w:rFonts w:ascii="宋体"/>
          <w:sz w:val="24"/>
        </w:rPr>
        <w:t>天</w:t>
      </w:r>
      <w:r>
        <w:rPr>
          <w:rFonts w:hint="eastAsia" w:ascii="宋体"/>
          <w:sz w:val="24"/>
        </w:rPr>
        <w:t>然气供</w:t>
      </w:r>
      <w:r>
        <w:rPr>
          <w:rFonts w:ascii="宋体"/>
          <w:sz w:val="24"/>
        </w:rPr>
        <w:t>给</w:t>
      </w:r>
      <w:r>
        <w:rPr>
          <w:rFonts w:hint="eastAsia" w:ascii="宋体"/>
          <w:sz w:val="24"/>
        </w:rPr>
        <w:t>管路招标方已备</w:t>
      </w:r>
      <w:r>
        <w:rPr>
          <w:rFonts w:ascii="宋体"/>
          <w:sz w:val="24"/>
        </w:rPr>
        <w:t>，投</w:t>
      </w:r>
      <w:r>
        <w:rPr>
          <w:rFonts w:hint="eastAsia" w:ascii="宋体"/>
          <w:sz w:val="24"/>
        </w:rPr>
        <w:t>标方</w:t>
      </w:r>
      <w:r>
        <w:rPr>
          <w:rFonts w:ascii="宋体"/>
          <w:sz w:val="24"/>
        </w:rPr>
        <w:t>需将现</w:t>
      </w:r>
      <w:r>
        <w:rPr>
          <w:rFonts w:hint="eastAsia" w:ascii="宋体"/>
          <w:sz w:val="24"/>
        </w:rPr>
        <w:t>场已有的E</w:t>
      </w:r>
      <w:r>
        <w:rPr>
          <w:rFonts w:ascii="宋体"/>
          <w:sz w:val="24"/>
        </w:rPr>
        <w:t>merson瞬</w:t>
      </w:r>
      <w:r>
        <w:rPr>
          <w:rFonts w:hint="eastAsia" w:ascii="宋体"/>
          <w:sz w:val="24"/>
        </w:rPr>
        <w:t>态气耗仪的信号接入台架测控系统，能至少读取气耗仪的</w:t>
      </w:r>
      <w:r>
        <w:rPr>
          <w:rFonts w:ascii="宋体"/>
          <w:sz w:val="24"/>
        </w:rPr>
        <w:t>累</w:t>
      </w:r>
      <w:r>
        <w:rPr>
          <w:rFonts w:hint="eastAsia" w:ascii="宋体"/>
          <w:sz w:val="24"/>
        </w:rPr>
        <w:t>积</w:t>
      </w:r>
      <w:r>
        <w:rPr>
          <w:rFonts w:ascii="宋体"/>
          <w:sz w:val="24"/>
        </w:rPr>
        <w:t>质量、质量</w:t>
      </w:r>
      <w:r>
        <w:rPr>
          <w:rFonts w:hint="eastAsia" w:ascii="宋体"/>
          <w:sz w:val="24"/>
        </w:rPr>
        <w:t>流量比</w:t>
      </w:r>
      <w:r>
        <w:rPr>
          <w:rFonts w:ascii="宋体"/>
          <w:sz w:val="24"/>
        </w:rPr>
        <w:t>、天然</w:t>
      </w:r>
      <w:r>
        <w:rPr>
          <w:rFonts w:hint="eastAsia" w:ascii="宋体"/>
          <w:sz w:val="24"/>
        </w:rPr>
        <w:t>气</w:t>
      </w:r>
      <w:r>
        <w:rPr>
          <w:rFonts w:ascii="宋体"/>
          <w:sz w:val="24"/>
        </w:rPr>
        <w:t>温</w:t>
      </w:r>
      <w:r>
        <w:rPr>
          <w:rFonts w:hint="eastAsia" w:ascii="宋体"/>
          <w:sz w:val="24"/>
        </w:rPr>
        <w:t>度等参数并记录。台架出现急停信号时，能自动切断天然气进气。招标方已将气动切断阀安装在天然气进气管路上。</w:t>
      </w:r>
    </w:p>
    <w:p w14:paraId="36D0257A">
      <w:pPr>
        <w:spacing w:line="360" w:lineRule="auto"/>
        <w:ind w:firstLine="480" w:firstLineChars="200"/>
        <w:rPr>
          <w:rFonts w:ascii="宋体"/>
          <w:sz w:val="24"/>
        </w:rPr>
      </w:pPr>
    </w:p>
    <w:p w14:paraId="28E9FC9F">
      <w:pPr>
        <w:spacing w:line="360" w:lineRule="auto"/>
        <w:ind w:firstLine="480" w:firstLineChars="200"/>
        <w:rPr>
          <w:rFonts w:ascii="宋体"/>
          <w:sz w:val="24"/>
        </w:rPr>
      </w:pPr>
    </w:p>
    <w:p w14:paraId="7BF03BAE">
      <w:pPr>
        <w:spacing w:line="360" w:lineRule="auto"/>
        <w:rPr>
          <w:rFonts w:ascii="宋体"/>
          <w:b/>
          <w:sz w:val="24"/>
        </w:rPr>
      </w:pPr>
      <w:r>
        <w:rPr>
          <w:rFonts w:hint="eastAsia" w:ascii="宋体"/>
          <w:b/>
          <w:sz w:val="24"/>
        </w:rPr>
        <w:t>9</w:t>
      </w:r>
      <w:r>
        <w:rPr>
          <w:rFonts w:ascii="宋体"/>
          <w:b/>
          <w:sz w:val="24"/>
        </w:rPr>
        <w:t>.3台架冷</w:t>
      </w:r>
      <w:r>
        <w:rPr>
          <w:rFonts w:hint="eastAsia" w:ascii="宋体"/>
          <w:b/>
          <w:sz w:val="24"/>
        </w:rPr>
        <w:t>却液恒温系统要求</w:t>
      </w:r>
    </w:p>
    <w:p w14:paraId="0B5D313C">
      <w:pPr>
        <w:spacing w:line="360" w:lineRule="auto"/>
        <w:ind w:firstLine="470" w:firstLineChars="196"/>
        <w:rPr>
          <w:rFonts w:ascii="宋体"/>
          <w:sz w:val="24"/>
        </w:rPr>
      </w:pPr>
      <w:r>
        <w:rPr>
          <w:rFonts w:hint="eastAsia" w:ascii="宋体"/>
          <w:sz w:val="24"/>
        </w:rPr>
        <w:t>发动机冷却液为防冻液，采取闭式循环系统，防冻液冷却介质为软化水。系统设有注液泵、抽液泵、过滤器、膨胀水箱、蓄液箱、自动放气阀、换热器、液位显示等。</w:t>
      </w:r>
    </w:p>
    <w:p w14:paraId="50F455E5">
      <w:pPr>
        <w:spacing w:line="360" w:lineRule="auto"/>
        <w:rPr>
          <w:rFonts w:ascii="宋体" w:hAnsi="宋体" w:cs="宋体"/>
          <w:color w:val="000000"/>
          <w:sz w:val="24"/>
        </w:rPr>
      </w:pPr>
      <w:r>
        <w:rPr>
          <w:rFonts w:ascii="宋体" w:hAnsi="宋体" w:cs="宋体"/>
          <w:color w:val="000000"/>
          <w:sz w:val="24"/>
        </w:rPr>
        <w:t>9.3</w:t>
      </w:r>
      <w:r>
        <w:rPr>
          <w:rFonts w:hint="eastAsia" w:ascii="宋体" w:hAnsi="宋体" w:cs="宋体"/>
          <w:color w:val="000000"/>
          <w:sz w:val="24"/>
        </w:rPr>
        <w:t>.1发动机出水温度可自动控制，+70</w:t>
      </w:r>
      <w:r>
        <w:rPr>
          <w:rFonts w:ascii="Arial" w:hAnsi="Arial" w:cs="Arial"/>
          <w:color w:val="000000"/>
          <w:sz w:val="24"/>
        </w:rPr>
        <w:t>~</w:t>
      </w:r>
      <w:r>
        <w:rPr>
          <w:rFonts w:hint="eastAsia" w:ascii="宋体" w:hAnsi="宋体" w:cs="宋体"/>
          <w:color w:val="000000"/>
          <w:sz w:val="24"/>
        </w:rPr>
        <w:t>+120℃可调，目标温度值在上位机显示界面可快速修改设定。温度控制精度在±</w:t>
      </w:r>
      <w:r>
        <w:rPr>
          <w:rFonts w:ascii="宋体" w:hAnsi="宋体" w:cs="宋体"/>
          <w:color w:val="000000"/>
          <w:sz w:val="24"/>
        </w:rPr>
        <w:t>2</w:t>
      </w:r>
      <w:r>
        <w:rPr>
          <w:rFonts w:hint="eastAsia" w:ascii="宋体" w:hAnsi="宋体" w:cs="宋体"/>
          <w:color w:val="000000"/>
          <w:sz w:val="24"/>
        </w:rPr>
        <w:t>℃之内（发动机出水温度），响应时间＜10秒。采用西门子或博力谋电动三通比例调节阀控制：采用PID 算法，调节防冻液不同走向的流量，达到温控指标，有最佳响应速度，无超调和振荡现象。</w:t>
      </w:r>
    </w:p>
    <w:p w14:paraId="53E80F48">
      <w:pPr>
        <w:spacing w:line="360" w:lineRule="auto"/>
        <w:rPr>
          <w:rFonts w:ascii="宋体" w:hAnsi="宋体" w:cs="宋体"/>
          <w:color w:val="000000"/>
          <w:sz w:val="24"/>
        </w:rPr>
      </w:pPr>
      <w:r>
        <w:rPr>
          <w:rFonts w:ascii="宋体" w:hAnsi="宋体" w:cs="宋体"/>
          <w:color w:val="000000"/>
          <w:sz w:val="24"/>
        </w:rPr>
        <w:t>9.3</w:t>
      </w:r>
      <w:r>
        <w:rPr>
          <w:rFonts w:hint="eastAsia" w:ascii="宋体" w:hAnsi="宋体" w:cs="宋体"/>
          <w:color w:val="000000"/>
          <w:sz w:val="24"/>
        </w:rPr>
        <w:t>.</w:t>
      </w:r>
      <w:r>
        <w:rPr>
          <w:rFonts w:ascii="宋体" w:hAnsi="宋体" w:cs="宋体"/>
          <w:color w:val="000000"/>
          <w:sz w:val="24"/>
        </w:rPr>
        <w:t>2</w:t>
      </w:r>
      <w:r>
        <w:rPr>
          <w:rFonts w:hint="eastAsia" w:ascii="宋体" w:hAnsi="宋体" w:cs="宋体"/>
          <w:color w:val="000000"/>
          <w:sz w:val="24"/>
        </w:rPr>
        <w:t>热交换器换热面积应满足招标方最大机型功率的匹配要求，采用换热面积不小于6</w:t>
      </w:r>
      <w:r>
        <w:rPr>
          <w:rFonts w:ascii="宋体" w:hAnsi="宋体" w:cs="宋体"/>
          <w:color w:val="000000"/>
          <w:sz w:val="24"/>
        </w:rPr>
        <w:t>.8m</w:t>
      </w:r>
      <w:r>
        <w:rPr>
          <w:rFonts w:ascii="宋体" w:hAnsi="宋体" w:cs="宋体"/>
          <w:color w:val="000000"/>
          <w:sz w:val="24"/>
          <w:vertAlign w:val="superscript"/>
        </w:rPr>
        <w:t>2</w:t>
      </w:r>
      <w:r>
        <w:rPr>
          <w:rFonts w:ascii="宋体" w:hAnsi="宋体" w:cs="宋体"/>
          <w:color w:val="000000"/>
          <w:sz w:val="24"/>
        </w:rPr>
        <w:t>的</w:t>
      </w:r>
      <w:r>
        <w:rPr>
          <w:rFonts w:hint="eastAsia" w:ascii="宋体" w:hAnsi="宋体" w:cs="宋体"/>
          <w:color w:val="000000"/>
          <w:sz w:val="24"/>
        </w:rPr>
        <w:t>B</w:t>
      </w:r>
      <w:r>
        <w:rPr>
          <w:rFonts w:ascii="宋体" w:hAnsi="宋体" w:cs="宋体"/>
          <w:color w:val="000000"/>
          <w:sz w:val="24"/>
        </w:rPr>
        <w:t>R0.2板</w:t>
      </w:r>
      <w:r>
        <w:rPr>
          <w:rFonts w:hint="eastAsia" w:ascii="宋体" w:hAnsi="宋体" w:cs="宋体"/>
          <w:color w:val="000000"/>
          <w:sz w:val="24"/>
        </w:rPr>
        <w:t>式换热器</w:t>
      </w:r>
      <w:r>
        <w:rPr>
          <w:rFonts w:ascii="宋体" w:hAnsi="宋体" w:cs="宋体"/>
          <w:color w:val="000000"/>
          <w:sz w:val="24"/>
        </w:rPr>
        <w:t>。</w:t>
      </w:r>
      <w:r>
        <w:rPr>
          <w:rFonts w:hint="eastAsia" w:ascii="宋体" w:hAnsi="宋体" w:cs="宋体"/>
          <w:color w:val="000000"/>
          <w:sz w:val="24"/>
        </w:rPr>
        <w:t>安装位置应便于后期维护和更换，冷却介质管路设有Y型过滤器，且方便拆卸。</w:t>
      </w:r>
    </w:p>
    <w:p w14:paraId="6CFE0A78">
      <w:pPr>
        <w:spacing w:line="360" w:lineRule="auto"/>
        <w:rPr>
          <w:rFonts w:ascii="宋体" w:hAnsi="宋体" w:cs="宋体"/>
          <w:color w:val="000000"/>
          <w:sz w:val="24"/>
        </w:rPr>
      </w:pPr>
      <w:r>
        <w:rPr>
          <w:rFonts w:ascii="宋体" w:hAnsi="宋体" w:cs="宋体"/>
          <w:color w:val="000000"/>
          <w:sz w:val="24"/>
        </w:rPr>
        <w:t>9.3</w:t>
      </w:r>
      <w:r>
        <w:rPr>
          <w:rFonts w:hint="eastAsia" w:ascii="宋体" w:hAnsi="宋体" w:cs="宋体"/>
          <w:color w:val="000000"/>
          <w:sz w:val="24"/>
        </w:rPr>
        <w:t>.</w:t>
      </w:r>
      <w:r>
        <w:rPr>
          <w:rFonts w:ascii="宋体" w:hAnsi="宋体" w:cs="宋体"/>
          <w:color w:val="000000"/>
          <w:sz w:val="24"/>
        </w:rPr>
        <w:t>4</w:t>
      </w:r>
      <w:r>
        <w:rPr>
          <w:rFonts w:hint="eastAsia" w:ascii="宋体" w:hAnsi="宋体" w:cs="宋体"/>
          <w:color w:val="000000"/>
          <w:sz w:val="24"/>
        </w:rPr>
        <w:t>试验完成后台架具有向发动机通入压缩空气吹水的功能，吹水次数、时间及间隔通过PLC可调，吹水压力通过减压阀人工调整设定。</w:t>
      </w:r>
    </w:p>
    <w:p w14:paraId="2EED48E0">
      <w:pPr>
        <w:spacing w:line="360" w:lineRule="auto"/>
        <w:rPr>
          <w:rFonts w:ascii="宋体" w:hAnsi="宋体" w:cs="宋体"/>
          <w:color w:val="000000"/>
          <w:sz w:val="24"/>
        </w:rPr>
      </w:pPr>
      <w:r>
        <w:rPr>
          <w:rFonts w:ascii="宋体" w:hAnsi="宋体" w:cs="宋体"/>
          <w:color w:val="000000"/>
          <w:sz w:val="24"/>
        </w:rPr>
        <w:t>9.3.5</w:t>
      </w:r>
      <w:r>
        <w:rPr>
          <w:rFonts w:hint="eastAsia" w:ascii="宋体" w:hAnsi="宋体" w:cs="宋体"/>
          <w:color w:val="000000"/>
          <w:sz w:val="24"/>
        </w:rPr>
        <w:t>蓄液箱容积要求大于1</w:t>
      </w:r>
      <w:r>
        <w:rPr>
          <w:rFonts w:ascii="宋体" w:hAnsi="宋体" w:cs="宋体"/>
          <w:color w:val="000000"/>
          <w:sz w:val="24"/>
        </w:rPr>
        <w:t>0</w:t>
      </w:r>
      <w:r>
        <w:rPr>
          <w:rFonts w:hint="eastAsia" w:ascii="宋体" w:hAnsi="宋体" w:cs="宋体"/>
          <w:color w:val="000000"/>
          <w:sz w:val="24"/>
        </w:rPr>
        <w:t>0L，带盖，设有清理口，具有液位指示功能，采用不锈材质制作。正面配有透明观察窗（孔），可查看到防冻液的液面。蓄液箱的发动机回液管口配有过滤袋，收集杂质，箱内设磁力架，用以吸附铁质异物。箱盖应能整体开启，以便对箱体内壁进行清理。</w:t>
      </w:r>
    </w:p>
    <w:p w14:paraId="49C6EEB0">
      <w:pPr>
        <w:spacing w:line="360" w:lineRule="auto"/>
        <w:rPr>
          <w:rFonts w:ascii="宋体" w:hAnsi="宋体" w:cs="宋体"/>
          <w:color w:val="000000"/>
          <w:sz w:val="24"/>
        </w:rPr>
      </w:pPr>
      <w:r>
        <w:rPr>
          <w:rFonts w:ascii="宋体" w:hAnsi="宋体" w:cs="宋体"/>
          <w:color w:val="000000"/>
          <w:sz w:val="24"/>
        </w:rPr>
        <w:t>9.3.6</w:t>
      </w:r>
      <w:r>
        <w:rPr>
          <w:rFonts w:hint="eastAsia" w:ascii="宋体" w:hAnsi="宋体" w:cs="宋体"/>
          <w:color w:val="000000"/>
          <w:sz w:val="24"/>
        </w:rPr>
        <w:t>膨胀水箱顶部配有车用水箱盖，开启压力9</w:t>
      </w:r>
      <w:r>
        <w:rPr>
          <w:rFonts w:ascii="宋体" w:hAnsi="宋体" w:cs="宋体"/>
          <w:color w:val="000000"/>
          <w:sz w:val="24"/>
        </w:rPr>
        <w:t>0</w:t>
      </w:r>
      <w:r>
        <w:rPr>
          <w:rFonts w:hint="eastAsia" w:ascii="宋体" w:hAnsi="宋体" w:cs="宋体"/>
          <w:color w:val="000000"/>
          <w:sz w:val="24"/>
        </w:rPr>
        <w:t>±</w:t>
      </w:r>
      <w:r>
        <w:rPr>
          <w:rFonts w:ascii="宋体" w:hAnsi="宋体" w:cs="宋体"/>
          <w:color w:val="000000"/>
          <w:sz w:val="24"/>
        </w:rPr>
        <w:t>10KPa</w:t>
      </w:r>
      <w:r>
        <w:rPr>
          <w:rFonts w:hint="eastAsia" w:ascii="宋体" w:hAnsi="宋体" w:cs="宋体"/>
          <w:color w:val="000000"/>
          <w:sz w:val="24"/>
        </w:rPr>
        <w:t>。膨胀水箱带液位指示，具有高、低液位传感器，检测信号接到控制间操作台，用于低液位报警等。同时系统可根据膨胀水箱的高、低液位情况自动补液，若短时连续多次补液应触发报警，以便人工察看现场情况。</w:t>
      </w:r>
    </w:p>
    <w:p w14:paraId="44D019EB">
      <w:pPr>
        <w:spacing w:line="360" w:lineRule="auto"/>
        <w:rPr>
          <w:rFonts w:ascii="宋体" w:hAnsi="宋体" w:cs="宋体"/>
          <w:b/>
          <w:color w:val="000000"/>
          <w:sz w:val="24"/>
        </w:rPr>
      </w:pPr>
      <w:r>
        <w:rPr>
          <w:rFonts w:ascii="宋体" w:hAnsi="宋体" w:cs="宋体"/>
          <w:bCs/>
          <w:color w:val="000000"/>
          <w:sz w:val="24"/>
        </w:rPr>
        <w:t>9.3.7</w:t>
      </w:r>
      <w:r>
        <w:rPr>
          <w:rFonts w:hint="eastAsia" w:ascii="宋体" w:hAnsi="宋体" w:cs="宋体"/>
          <w:bCs/>
          <w:color w:val="000000"/>
          <w:sz w:val="24"/>
        </w:rPr>
        <w:t>招标方的防冻液供给管路已接入台架，用以蓄液箱的补液。蓄液箱的补液应自动完成，并避免溢出、缺液。</w:t>
      </w:r>
    </w:p>
    <w:p w14:paraId="2CCCAC8B">
      <w:pPr>
        <w:spacing w:line="360" w:lineRule="auto"/>
        <w:rPr>
          <w:rFonts w:ascii="宋体"/>
          <w:sz w:val="24"/>
        </w:rPr>
      </w:pPr>
      <w:r>
        <w:rPr>
          <w:rFonts w:hint="eastAsia" w:ascii="宋体"/>
          <w:sz w:val="24"/>
        </w:rPr>
        <w:t>9</w:t>
      </w:r>
      <w:r>
        <w:rPr>
          <w:rFonts w:ascii="宋体"/>
          <w:sz w:val="24"/>
        </w:rPr>
        <w:t>.3.8</w:t>
      </w:r>
      <w:r>
        <w:rPr>
          <w:rFonts w:hint="eastAsia" w:ascii="宋体"/>
          <w:sz w:val="24"/>
        </w:rPr>
        <w:t>发动机冷却液循环系统上的高位出气口应直接联接到膨胀水箱上。冷却系统管路若有局部拱高，则该处应布自动排气阀。</w:t>
      </w:r>
    </w:p>
    <w:p w14:paraId="74F66484">
      <w:pPr>
        <w:spacing w:line="360" w:lineRule="auto"/>
        <w:rPr>
          <w:rFonts w:ascii="宋体"/>
          <w:sz w:val="24"/>
        </w:rPr>
      </w:pPr>
      <w:r>
        <w:rPr>
          <w:rFonts w:hint="eastAsia" w:ascii="宋体"/>
          <w:sz w:val="24"/>
        </w:rPr>
        <w:t>9</w:t>
      </w:r>
      <w:r>
        <w:rPr>
          <w:rFonts w:ascii="宋体"/>
          <w:sz w:val="24"/>
        </w:rPr>
        <w:t>.3.9在台架侧靠</w:t>
      </w:r>
      <w:r>
        <w:rPr>
          <w:rFonts w:hint="eastAsia" w:ascii="宋体"/>
          <w:sz w:val="24"/>
        </w:rPr>
        <w:t>近</w:t>
      </w:r>
      <w:r>
        <w:rPr>
          <w:rFonts w:ascii="宋体"/>
          <w:sz w:val="24"/>
        </w:rPr>
        <w:t>托</w:t>
      </w:r>
      <w:r>
        <w:rPr>
          <w:rFonts w:hint="eastAsia" w:ascii="宋体"/>
          <w:sz w:val="24"/>
        </w:rPr>
        <w:t>盘对</w:t>
      </w:r>
      <w:r>
        <w:rPr>
          <w:rFonts w:ascii="宋体"/>
          <w:sz w:val="24"/>
        </w:rPr>
        <w:t>接板处</w:t>
      </w:r>
      <w:r>
        <w:rPr>
          <w:rFonts w:hint="eastAsia" w:ascii="宋体"/>
          <w:sz w:val="24"/>
        </w:rPr>
        <w:t>的防冻</w:t>
      </w:r>
      <w:r>
        <w:rPr>
          <w:rFonts w:ascii="宋体"/>
          <w:sz w:val="24"/>
        </w:rPr>
        <w:t>液进、出</w:t>
      </w:r>
      <w:r>
        <w:rPr>
          <w:rFonts w:hint="eastAsia" w:ascii="宋体"/>
          <w:sz w:val="24"/>
        </w:rPr>
        <w:t>管路上布置进水温度传感和出水温度传感器。在与发动机水泵进水口高度接近的外围管路上布进水压力检测取样口。</w:t>
      </w:r>
    </w:p>
    <w:p w14:paraId="71D76457">
      <w:pPr>
        <w:spacing w:line="360" w:lineRule="auto"/>
        <w:rPr>
          <w:rFonts w:ascii="宋体"/>
          <w:sz w:val="24"/>
        </w:rPr>
      </w:pPr>
      <w:r>
        <w:rPr>
          <w:rFonts w:hint="eastAsia" w:ascii="宋体"/>
          <w:sz w:val="24"/>
        </w:rPr>
        <w:t>9</w:t>
      </w:r>
      <w:r>
        <w:rPr>
          <w:rFonts w:ascii="宋体"/>
          <w:sz w:val="24"/>
        </w:rPr>
        <w:t>.3.10冷</w:t>
      </w:r>
      <w:r>
        <w:rPr>
          <w:rFonts w:hint="eastAsia" w:ascii="宋体"/>
          <w:sz w:val="24"/>
        </w:rPr>
        <w:t>却循环系统</w:t>
      </w:r>
      <w:r>
        <w:rPr>
          <w:rFonts w:ascii="宋体"/>
          <w:sz w:val="24"/>
        </w:rPr>
        <w:t>无需加</w:t>
      </w:r>
      <w:r>
        <w:rPr>
          <w:rFonts w:hint="eastAsia" w:ascii="宋体"/>
          <w:sz w:val="24"/>
        </w:rPr>
        <w:t>热功能。</w:t>
      </w:r>
    </w:p>
    <w:p w14:paraId="2C3EBCCC">
      <w:pPr>
        <w:spacing w:line="360" w:lineRule="auto"/>
        <w:ind w:firstLine="480" w:firstLineChars="200"/>
        <w:rPr>
          <w:rFonts w:ascii="宋体"/>
          <w:sz w:val="24"/>
        </w:rPr>
      </w:pPr>
    </w:p>
    <w:p w14:paraId="25851586">
      <w:pPr>
        <w:spacing w:line="360" w:lineRule="auto"/>
        <w:rPr>
          <w:rFonts w:ascii="宋体"/>
          <w:sz w:val="24"/>
        </w:rPr>
      </w:pPr>
      <w:r>
        <w:rPr>
          <w:rFonts w:ascii="宋体"/>
          <w:sz w:val="24"/>
        </w:rPr>
        <w:t>9.4</w:t>
      </w:r>
      <w:r>
        <w:rPr>
          <w:rFonts w:hint="eastAsia" w:ascii="宋体"/>
          <w:b/>
          <w:sz w:val="24"/>
        </w:rPr>
        <w:t>试车台架中冷控制系统要求</w:t>
      </w:r>
    </w:p>
    <w:p w14:paraId="46525EE6">
      <w:pPr>
        <w:spacing w:line="360" w:lineRule="auto"/>
        <w:rPr>
          <w:rFonts w:ascii="宋体"/>
          <w:sz w:val="24"/>
        </w:rPr>
      </w:pPr>
      <w:r>
        <w:rPr>
          <w:rFonts w:hint="eastAsia" w:ascii="宋体"/>
          <w:sz w:val="24"/>
        </w:rPr>
        <w:t>9</w:t>
      </w:r>
      <w:r>
        <w:rPr>
          <w:rFonts w:ascii="宋体"/>
          <w:sz w:val="24"/>
        </w:rPr>
        <w:t>.4.1台</w:t>
      </w:r>
      <w:r>
        <w:rPr>
          <w:rFonts w:hint="eastAsia" w:ascii="宋体"/>
          <w:sz w:val="24"/>
        </w:rPr>
        <w:t>架</w:t>
      </w:r>
      <w:r>
        <w:rPr>
          <w:rFonts w:ascii="宋体"/>
          <w:sz w:val="24"/>
        </w:rPr>
        <w:t>发</w:t>
      </w:r>
      <w:r>
        <w:rPr>
          <w:rFonts w:hint="eastAsia" w:ascii="宋体"/>
          <w:sz w:val="24"/>
        </w:rPr>
        <w:t>动机增</w:t>
      </w:r>
      <w:r>
        <w:rPr>
          <w:rFonts w:ascii="宋体"/>
          <w:sz w:val="24"/>
        </w:rPr>
        <w:t>压</w:t>
      </w:r>
      <w:r>
        <w:rPr>
          <w:rFonts w:hint="eastAsia" w:ascii="宋体"/>
          <w:sz w:val="24"/>
        </w:rPr>
        <w:t>空气的冷却采用水空中冷</w:t>
      </w:r>
      <w:r>
        <w:rPr>
          <w:rFonts w:ascii="宋体"/>
          <w:sz w:val="24"/>
        </w:rPr>
        <w:t>形</w:t>
      </w:r>
      <w:r>
        <w:rPr>
          <w:rFonts w:hint="eastAsia" w:ascii="宋体"/>
          <w:sz w:val="24"/>
        </w:rPr>
        <w:t>式</w:t>
      </w:r>
      <w:r>
        <w:rPr>
          <w:rFonts w:ascii="宋体"/>
          <w:sz w:val="24"/>
        </w:rPr>
        <w:t>，</w:t>
      </w:r>
      <w:r>
        <w:rPr>
          <w:rFonts w:hint="eastAsia" w:ascii="宋体"/>
          <w:sz w:val="24"/>
        </w:rPr>
        <w:t>中冷器选用江苏泰州川琦的KL19型，支架采用热镀锌钢材制作，配进出风斗。风斗与招标方现有的中冷前、后管路接口相配合，中冷前、后管路利旧。中冷后的风斗处应布置下沉式冷凝水集液容器，根据液位信号或由台架控制系统通过气动阀自动和手动排出冷凝水。</w:t>
      </w:r>
    </w:p>
    <w:p w14:paraId="70A4BDFE">
      <w:pPr>
        <w:spacing w:line="360" w:lineRule="auto"/>
        <w:rPr>
          <w:rFonts w:ascii="宋体"/>
          <w:sz w:val="24"/>
        </w:rPr>
      </w:pPr>
      <w:r>
        <w:rPr>
          <w:rFonts w:hint="eastAsia" w:ascii="宋体"/>
          <w:sz w:val="24"/>
        </w:rPr>
        <w:t>9</w:t>
      </w:r>
      <w:r>
        <w:rPr>
          <w:rFonts w:ascii="宋体"/>
          <w:sz w:val="24"/>
        </w:rPr>
        <w:t>.4.2</w:t>
      </w:r>
      <w:r>
        <w:rPr>
          <w:rFonts w:hint="eastAsia" w:ascii="宋体"/>
          <w:sz w:val="24"/>
        </w:rPr>
        <w:t>中冷后管路设西门子或同等品牌的电动压差调节阀，远程人工控制阀门开度，无指令时阀门位置应锁定可靠。压差调节范围：0</w:t>
      </w:r>
      <w:r>
        <w:rPr>
          <w:rFonts w:ascii="Arial" w:hAnsi="Arial" w:cs="Arial"/>
          <w:sz w:val="24"/>
        </w:rPr>
        <w:t>~</w:t>
      </w:r>
      <w:r>
        <w:rPr>
          <w:rFonts w:ascii="宋体"/>
          <w:sz w:val="24"/>
        </w:rPr>
        <w:t>25kPa。</w:t>
      </w:r>
      <w:r>
        <w:rPr>
          <w:rFonts w:hint="eastAsia" w:ascii="宋体"/>
          <w:sz w:val="24"/>
        </w:rPr>
        <w:t>在中冷前风斗上布中冷前温度传感器和中冷前压力检测取样接口；在中冷后风斗上布中冷后温度传感器，中压差阀后的管路上布中冷后压力检测取样口。中冷压差调节阀在中冷管路上为法兰连接，拆装方便。为中冷前、中冷后管路各配一件5</w:t>
      </w:r>
      <w:r>
        <w:rPr>
          <w:rFonts w:ascii="Arial" w:hAnsi="Arial" w:cs="Arial"/>
          <w:sz w:val="24"/>
        </w:rPr>
        <w:t>~</w:t>
      </w:r>
      <w:r>
        <w:rPr>
          <w:rFonts w:hint="eastAsia" w:ascii="宋体"/>
          <w:sz w:val="24"/>
        </w:rPr>
        <w:t>9kg弹簧平衡器，吊点现场施工时定。</w:t>
      </w:r>
    </w:p>
    <w:p w14:paraId="1578CB81">
      <w:pPr>
        <w:spacing w:line="360" w:lineRule="auto"/>
        <w:rPr>
          <w:rFonts w:ascii="宋体"/>
          <w:sz w:val="24"/>
        </w:rPr>
      </w:pPr>
      <w:r>
        <w:rPr>
          <w:rFonts w:hint="eastAsia" w:ascii="宋体"/>
          <w:sz w:val="24"/>
        </w:rPr>
        <w:t>9</w:t>
      </w:r>
      <w:r>
        <w:rPr>
          <w:rFonts w:ascii="宋体"/>
          <w:sz w:val="24"/>
        </w:rPr>
        <w:t>.4.3</w:t>
      </w:r>
      <w:r>
        <w:rPr>
          <w:rFonts w:hint="eastAsia" w:ascii="宋体"/>
          <w:sz w:val="24"/>
        </w:rPr>
        <w:t>系统可按设定值自动恒温控制中冷后温度，工艺要求范围为40</w:t>
      </w:r>
      <w:r>
        <w:rPr>
          <w:rFonts w:ascii="Arial" w:hAnsi="Arial" w:cs="Arial"/>
          <w:sz w:val="24"/>
        </w:rPr>
        <w:t>~</w:t>
      </w:r>
      <w:r>
        <w:rPr>
          <w:rFonts w:hint="eastAsia" w:ascii="宋体"/>
          <w:sz w:val="24"/>
        </w:rPr>
        <w:t>55℃，控制精度为±</w:t>
      </w:r>
      <w:r>
        <w:rPr>
          <w:rFonts w:ascii="宋体"/>
          <w:sz w:val="24"/>
        </w:rPr>
        <w:t>2</w:t>
      </w:r>
      <w:r>
        <w:rPr>
          <w:rFonts w:hint="eastAsia" w:ascii="宋体"/>
          <w:sz w:val="24"/>
        </w:rPr>
        <w:t>℃之内，响应时间＜10秒。采用博力谋或西门子二通电控阀，布置在中冷器出水侧管路上。</w:t>
      </w:r>
    </w:p>
    <w:p w14:paraId="4DC9C332">
      <w:pPr>
        <w:spacing w:line="360" w:lineRule="auto"/>
        <w:rPr>
          <w:rFonts w:ascii="宋体"/>
          <w:b/>
          <w:sz w:val="24"/>
        </w:rPr>
      </w:pPr>
      <w:r>
        <w:rPr>
          <w:rFonts w:hint="eastAsia" w:ascii="宋体"/>
          <w:b/>
          <w:sz w:val="24"/>
        </w:rPr>
        <w:t>9</w:t>
      </w:r>
      <w:r>
        <w:rPr>
          <w:rFonts w:ascii="宋体"/>
          <w:b/>
          <w:sz w:val="24"/>
        </w:rPr>
        <w:t>.5漏</w:t>
      </w:r>
      <w:r>
        <w:rPr>
          <w:rFonts w:hint="eastAsia" w:ascii="宋体"/>
          <w:b/>
          <w:sz w:val="24"/>
        </w:rPr>
        <w:t>气量仪</w:t>
      </w:r>
    </w:p>
    <w:p w14:paraId="7293CEEC">
      <w:pPr>
        <w:spacing w:line="360" w:lineRule="auto"/>
        <w:ind w:firstLine="480" w:firstLineChars="200"/>
        <w:rPr>
          <w:rFonts w:ascii="宋体"/>
          <w:sz w:val="24"/>
        </w:rPr>
      </w:pPr>
      <w:r>
        <w:rPr>
          <w:rFonts w:ascii="宋体"/>
          <w:sz w:val="24"/>
        </w:rPr>
        <w:t>每</w:t>
      </w:r>
      <w:r>
        <w:rPr>
          <w:rFonts w:hint="eastAsia" w:ascii="宋体"/>
          <w:sz w:val="24"/>
        </w:rPr>
        <w:t>个台架</w:t>
      </w:r>
      <w:r>
        <w:rPr>
          <w:rFonts w:ascii="宋体"/>
          <w:sz w:val="24"/>
        </w:rPr>
        <w:t>新</w:t>
      </w:r>
      <w:r>
        <w:rPr>
          <w:rFonts w:hint="eastAsia" w:ascii="宋体"/>
          <w:sz w:val="24"/>
        </w:rPr>
        <w:t>增</w:t>
      </w:r>
      <w:r>
        <w:rPr>
          <w:rFonts w:ascii="宋体"/>
          <w:sz w:val="24"/>
        </w:rPr>
        <w:t>1</w:t>
      </w:r>
      <w:r>
        <w:rPr>
          <w:rFonts w:hint="eastAsia" w:ascii="宋体"/>
          <w:sz w:val="24"/>
        </w:rPr>
        <w:t>套漏气量仪，优先采用壁挂式安装方式。主要技术参数：</w:t>
      </w:r>
    </w:p>
    <w:p w14:paraId="0AA5502D">
      <w:pPr>
        <w:numPr>
          <w:ilvl w:val="0"/>
          <w:numId w:val="13"/>
        </w:numPr>
        <w:suppressAutoHyphens w:val="0"/>
        <w:overflowPunct/>
        <w:spacing w:line="360" w:lineRule="auto"/>
        <w:ind w:hanging="49"/>
        <w:jc w:val="both"/>
        <w:rPr>
          <w:rFonts w:ascii="宋体"/>
          <w:sz w:val="24"/>
        </w:rPr>
      </w:pPr>
      <w:r>
        <w:rPr>
          <w:rFonts w:hint="eastAsia" w:ascii="宋体"/>
          <w:sz w:val="24"/>
        </w:rPr>
        <w:t>测量范围：10～</w:t>
      </w:r>
      <w:r>
        <w:rPr>
          <w:rFonts w:ascii="宋体"/>
          <w:sz w:val="24"/>
        </w:rPr>
        <w:t>300L/min；</w:t>
      </w:r>
    </w:p>
    <w:p w14:paraId="4C8BD9F2">
      <w:pPr>
        <w:numPr>
          <w:ilvl w:val="0"/>
          <w:numId w:val="14"/>
        </w:numPr>
        <w:suppressAutoHyphens w:val="0"/>
        <w:overflowPunct/>
        <w:spacing w:line="360" w:lineRule="auto"/>
        <w:ind w:hanging="49"/>
        <w:jc w:val="both"/>
        <w:rPr>
          <w:rFonts w:ascii="宋体"/>
          <w:sz w:val="24"/>
        </w:rPr>
      </w:pPr>
      <w:r>
        <w:rPr>
          <w:rFonts w:ascii="宋体"/>
          <w:sz w:val="24"/>
        </w:rPr>
        <w:t>测量</w:t>
      </w:r>
      <w:r>
        <w:rPr>
          <w:rFonts w:hint="eastAsia" w:ascii="宋体"/>
          <w:sz w:val="24"/>
        </w:rPr>
        <w:t xml:space="preserve">精度：± </w:t>
      </w:r>
      <w:r>
        <w:rPr>
          <w:rFonts w:ascii="宋体"/>
          <w:sz w:val="24"/>
        </w:rPr>
        <w:t>2%F.S.；</w:t>
      </w:r>
    </w:p>
    <w:p w14:paraId="1499603C">
      <w:pPr>
        <w:numPr>
          <w:ilvl w:val="0"/>
          <w:numId w:val="14"/>
        </w:numPr>
        <w:suppressAutoHyphens w:val="0"/>
        <w:overflowPunct/>
        <w:spacing w:line="360" w:lineRule="auto"/>
        <w:ind w:hanging="49"/>
        <w:jc w:val="both"/>
        <w:rPr>
          <w:rFonts w:ascii="宋体"/>
          <w:sz w:val="24"/>
        </w:rPr>
      </w:pPr>
      <w:r>
        <w:rPr>
          <w:rFonts w:ascii="宋体"/>
          <w:sz w:val="24"/>
        </w:rPr>
        <w:t>重复性：</w:t>
      </w:r>
      <w:r>
        <w:rPr>
          <w:rFonts w:hint="eastAsia" w:ascii="宋体"/>
          <w:sz w:val="24"/>
        </w:rPr>
        <w:t xml:space="preserve">± </w:t>
      </w:r>
      <w:r>
        <w:rPr>
          <w:rFonts w:ascii="宋体"/>
          <w:sz w:val="24"/>
        </w:rPr>
        <w:t>1%。</w:t>
      </w:r>
    </w:p>
    <w:p w14:paraId="59479D90">
      <w:pPr>
        <w:spacing w:line="360" w:lineRule="auto"/>
        <w:ind w:firstLine="480" w:firstLineChars="200"/>
        <w:rPr>
          <w:rFonts w:ascii="宋体"/>
          <w:sz w:val="24"/>
        </w:rPr>
      </w:pPr>
      <w:r>
        <w:rPr>
          <w:rFonts w:hint="eastAsia" w:ascii="宋体"/>
          <w:sz w:val="24"/>
        </w:rPr>
        <w:t>漏气量仪通过软管连接至发动机油气分离器出气口，在管路适当位置加装气动三通阀，由台架测控系统控制，在验车阶段额定功率工况时，接入漏气量仪，其它工况通过三通阀转换，直接排出。亦可人工在控制台控制三通阀的动作。在三通阀与发动机之间的管路上布置曲轴箱压力检测取样口。三通阀相位状态示意见图4。</w:t>
      </w:r>
    </w:p>
    <w:p w14:paraId="0F2FB5FE">
      <w:pPr>
        <w:spacing w:line="360" w:lineRule="auto"/>
        <w:jc w:val="center"/>
        <w:rPr>
          <w:rFonts w:ascii="宋体"/>
          <w:sz w:val="24"/>
        </w:rPr>
      </w:pPr>
      <w:r>
        <w:rPr>
          <w:rFonts w:ascii="宋体"/>
          <w:sz w:val="24"/>
        </w:rPr>
        <w:t>图</w:t>
      </w:r>
      <w:r>
        <w:rPr>
          <w:rFonts w:hint="eastAsia" w:ascii="宋体"/>
          <w:sz w:val="24"/>
        </w:rPr>
        <w:t>4</w:t>
      </w:r>
      <w:r>
        <w:rPr>
          <w:rFonts w:ascii="宋体"/>
          <w:sz w:val="24"/>
        </w:rPr>
        <w:t xml:space="preserve">  漏</w:t>
      </w:r>
      <w:r>
        <w:rPr>
          <w:rFonts w:hint="eastAsia" w:ascii="宋体"/>
          <w:sz w:val="24"/>
        </w:rPr>
        <w:t>气量测量</w:t>
      </w:r>
      <w:r>
        <w:rPr>
          <w:rFonts w:ascii="宋体"/>
          <w:sz w:val="24"/>
        </w:rPr>
        <w:t>三</w:t>
      </w:r>
      <w:r>
        <w:rPr>
          <w:rFonts w:hint="eastAsia" w:ascii="宋体"/>
          <w:sz w:val="24"/>
        </w:rPr>
        <w:t>通阀状态示意图</w:t>
      </w:r>
    </w:p>
    <w:p w14:paraId="28FB04BF">
      <w:pPr>
        <w:spacing w:line="360" w:lineRule="auto"/>
        <w:jc w:val="center"/>
        <w:rPr>
          <w:rFonts w:ascii="宋体"/>
          <w:sz w:val="24"/>
        </w:rPr>
      </w:pPr>
      <w:r>
        <w:drawing>
          <wp:inline distT="0" distB="0" distL="0" distR="0">
            <wp:extent cx="5069840" cy="2491105"/>
            <wp:effectExtent l="9525" t="9525" r="10795" b="13970"/>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a:xfrm>
                      <a:off x="0" y="0"/>
                      <a:ext cx="5113696" cy="2512917"/>
                    </a:xfrm>
                    <a:prstGeom prst="rect">
                      <a:avLst/>
                    </a:prstGeom>
                    <a:noFill/>
                    <a:ln w="6350" cmpd="sng">
                      <a:solidFill>
                        <a:srgbClr val="000000"/>
                      </a:solidFill>
                      <a:miter lim="800000"/>
                      <a:headEnd/>
                      <a:tailEnd/>
                    </a:ln>
                    <a:effectLst/>
                  </pic:spPr>
                </pic:pic>
              </a:graphicData>
            </a:graphic>
          </wp:inline>
        </w:drawing>
      </w:r>
    </w:p>
    <w:p w14:paraId="015CEDF1">
      <w:pPr>
        <w:spacing w:line="360" w:lineRule="auto"/>
        <w:rPr>
          <w:rFonts w:ascii="宋体"/>
          <w:sz w:val="24"/>
        </w:rPr>
      </w:pPr>
    </w:p>
    <w:p w14:paraId="3CE8A808">
      <w:pPr>
        <w:spacing w:line="360" w:lineRule="auto"/>
        <w:rPr>
          <w:rFonts w:ascii="宋体"/>
          <w:b/>
          <w:sz w:val="24"/>
        </w:rPr>
      </w:pPr>
      <w:r>
        <w:rPr>
          <w:rFonts w:hint="eastAsia" w:ascii="宋体"/>
          <w:b/>
          <w:sz w:val="24"/>
        </w:rPr>
        <w:t>9</w:t>
      </w:r>
      <w:r>
        <w:rPr>
          <w:rFonts w:ascii="宋体"/>
          <w:b/>
          <w:sz w:val="24"/>
        </w:rPr>
        <w:t>.6烟</w:t>
      </w:r>
      <w:r>
        <w:rPr>
          <w:rFonts w:hint="eastAsia" w:ascii="宋体"/>
          <w:b/>
          <w:sz w:val="24"/>
        </w:rPr>
        <w:t>度仪</w:t>
      </w:r>
    </w:p>
    <w:p w14:paraId="290BBD24">
      <w:pPr>
        <w:spacing w:line="360" w:lineRule="auto"/>
        <w:rPr>
          <w:rFonts w:ascii="宋体"/>
          <w:sz w:val="24"/>
        </w:rPr>
      </w:pPr>
      <w:r>
        <w:rPr>
          <w:rFonts w:hint="eastAsia" w:ascii="宋体"/>
          <w:sz w:val="24"/>
        </w:rPr>
        <w:t>9个台架的</w:t>
      </w:r>
      <w:r>
        <w:rPr>
          <w:rFonts w:ascii="宋体"/>
          <w:sz w:val="24"/>
        </w:rPr>
        <w:t>烟</w:t>
      </w:r>
      <w:r>
        <w:rPr>
          <w:rFonts w:hint="eastAsia" w:ascii="宋体"/>
          <w:sz w:val="24"/>
        </w:rPr>
        <w:t>度仪利旧</w:t>
      </w:r>
      <w:r>
        <w:rPr>
          <w:rFonts w:ascii="宋体"/>
          <w:sz w:val="24"/>
        </w:rPr>
        <w:t>，将</w:t>
      </w:r>
      <w:r>
        <w:rPr>
          <w:rFonts w:hint="eastAsia" w:ascii="宋体"/>
          <w:sz w:val="24"/>
        </w:rPr>
        <w:t>现有A</w:t>
      </w:r>
      <w:r>
        <w:rPr>
          <w:rFonts w:ascii="宋体"/>
          <w:sz w:val="24"/>
        </w:rPr>
        <w:t>VL480烟</w:t>
      </w:r>
      <w:r>
        <w:rPr>
          <w:rFonts w:hint="eastAsia" w:ascii="宋体"/>
          <w:sz w:val="24"/>
        </w:rPr>
        <w:t>度仪的信号接入</w:t>
      </w:r>
      <w:r>
        <w:rPr>
          <w:rFonts w:ascii="宋体"/>
          <w:sz w:val="24"/>
        </w:rPr>
        <w:t>台架测</w:t>
      </w:r>
      <w:r>
        <w:rPr>
          <w:rFonts w:hint="eastAsia" w:ascii="宋体"/>
          <w:sz w:val="24"/>
        </w:rPr>
        <w:t>控系统</w:t>
      </w:r>
      <w:r>
        <w:rPr>
          <w:rFonts w:ascii="宋体"/>
          <w:sz w:val="24"/>
        </w:rPr>
        <w:t>。</w:t>
      </w:r>
    </w:p>
    <w:p w14:paraId="608C3E9C">
      <w:pPr>
        <w:spacing w:line="360" w:lineRule="auto"/>
        <w:rPr>
          <w:rFonts w:ascii="宋体"/>
          <w:sz w:val="24"/>
        </w:rPr>
      </w:pPr>
    </w:p>
    <w:p w14:paraId="19D55649">
      <w:pPr>
        <w:spacing w:line="360" w:lineRule="auto"/>
        <w:rPr>
          <w:rFonts w:ascii="宋体"/>
          <w:b/>
          <w:sz w:val="24"/>
        </w:rPr>
      </w:pPr>
      <w:r>
        <w:rPr>
          <w:rFonts w:hint="eastAsia" w:ascii="宋体"/>
          <w:b/>
          <w:sz w:val="24"/>
        </w:rPr>
        <w:t>9</w:t>
      </w:r>
      <w:r>
        <w:rPr>
          <w:rFonts w:ascii="宋体"/>
          <w:b/>
          <w:sz w:val="24"/>
        </w:rPr>
        <w:t>.7压</w:t>
      </w:r>
      <w:r>
        <w:rPr>
          <w:rFonts w:hint="eastAsia" w:ascii="宋体"/>
          <w:b/>
          <w:sz w:val="24"/>
        </w:rPr>
        <w:t>缩空气增压泵</w:t>
      </w:r>
    </w:p>
    <w:p w14:paraId="22390C86">
      <w:pPr>
        <w:spacing w:line="360" w:lineRule="auto"/>
        <w:ind w:firstLine="460" w:firstLineChars="200"/>
        <w:rPr>
          <w:sz w:val="23"/>
          <w:szCs w:val="23"/>
        </w:rPr>
      </w:pPr>
      <w:r>
        <w:rPr>
          <w:rFonts w:hint="eastAsia"/>
          <w:sz w:val="23"/>
          <w:szCs w:val="23"/>
        </w:rPr>
        <w:t>新增压缩空气增压泵</w:t>
      </w:r>
      <w:r>
        <w:rPr>
          <w:sz w:val="23"/>
          <w:szCs w:val="23"/>
        </w:rPr>
        <w:t>2</w:t>
      </w:r>
      <w:r>
        <w:rPr>
          <w:rFonts w:hint="eastAsia"/>
          <w:sz w:val="23"/>
          <w:szCs w:val="23"/>
        </w:rPr>
        <w:t>台，型号为</w:t>
      </w:r>
      <w:r>
        <w:rPr>
          <w:sz w:val="23"/>
          <w:szCs w:val="23"/>
        </w:rPr>
        <w:t>DPA-100-10-CRVZS20</w:t>
      </w:r>
      <w:r>
        <w:rPr>
          <w:rFonts w:hint="eastAsia"/>
          <w:sz w:val="23"/>
          <w:szCs w:val="23"/>
        </w:rPr>
        <w:t>，品牌为</w:t>
      </w:r>
      <w:r>
        <w:rPr>
          <w:sz w:val="23"/>
          <w:szCs w:val="23"/>
        </w:rPr>
        <w:t>FESTO</w:t>
      </w:r>
      <w:r>
        <w:rPr>
          <w:rFonts w:hint="eastAsia"/>
          <w:sz w:val="23"/>
          <w:szCs w:val="23"/>
        </w:rPr>
        <w:t>。将工厂已有</w:t>
      </w:r>
      <w:r>
        <w:rPr>
          <w:sz w:val="23"/>
          <w:szCs w:val="23"/>
        </w:rPr>
        <w:t>0.6MPa</w:t>
      </w:r>
      <w:r>
        <w:rPr>
          <w:rFonts w:hint="eastAsia"/>
          <w:sz w:val="23"/>
          <w:szCs w:val="23"/>
        </w:rPr>
        <w:t>的压缩空气提升至</w:t>
      </w:r>
      <w:r>
        <w:rPr>
          <w:sz w:val="23"/>
          <w:szCs w:val="23"/>
        </w:rPr>
        <w:t>0.8~0.9MPa</w:t>
      </w:r>
      <w:r>
        <w:rPr>
          <w:rFonts w:hint="eastAsia"/>
          <w:sz w:val="23"/>
          <w:szCs w:val="23"/>
        </w:rPr>
        <w:t>，供国六发动机</w:t>
      </w:r>
      <w:r>
        <w:rPr>
          <w:sz w:val="23"/>
          <w:szCs w:val="23"/>
        </w:rPr>
        <w:t>EGR</w:t>
      </w:r>
      <w:r>
        <w:rPr>
          <w:rFonts w:hint="eastAsia"/>
          <w:sz w:val="23"/>
          <w:szCs w:val="23"/>
        </w:rPr>
        <w:t>阀、脉冲阀等使用。进出气均配</w:t>
      </w:r>
      <w:r>
        <w:rPr>
          <w:rFonts w:hint="eastAsia" w:ascii="宋体" w:hAnsi="宋体" w:eastAsia="宋体"/>
          <w:sz w:val="23"/>
          <w:szCs w:val="23"/>
        </w:rPr>
        <w:t>φ</w:t>
      </w:r>
      <w:r>
        <w:rPr>
          <w:rFonts w:hint="eastAsia"/>
          <w:sz w:val="23"/>
          <w:szCs w:val="23"/>
        </w:rPr>
        <w:t>1</w:t>
      </w:r>
      <w:r>
        <w:rPr>
          <w:sz w:val="23"/>
          <w:szCs w:val="23"/>
        </w:rPr>
        <w:t>6快</w:t>
      </w:r>
      <w:r>
        <w:rPr>
          <w:rFonts w:hint="eastAsia"/>
          <w:sz w:val="23"/>
          <w:szCs w:val="23"/>
        </w:rPr>
        <w:t>插</w:t>
      </w:r>
      <w:r>
        <w:rPr>
          <w:sz w:val="23"/>
          <w:szCs w:val="23"/>
        </w:rPr>
        <w:t>接</w:t>
      </w:r>
      <w:r>
        <w:rPr>
          <w:rFonts w:hint="eastAsia"/>
          <w:sz w:val="23"/>
          <w:szCs w:val="23"/>
        </w:rPr>
        <w:t>头。无需专用支架。</w:t>
      </w:r>
    </w:p>
    <w:p w14:paraId="7FE59DF3">
      <w:pPr>
        <w:spacing w:line="360" w:lineRule="auto"/>
        <w:ind w:firstLine="460" w:firstLineChars="200"/>
        <w:rPr>
          <w:sz w:val="23"/>
          <w:szCs w:val="23"/>
        </w:rPr>
      </w:pPr>
    </w:p>
    <w:p w14:paraId="526A0CCD">
      <w:pPr>
        <w:spacing w:line="360" w:lineRule="auto"/>
        <w:rPr>
          <w:b/>
          <w:sz w:val="23"/>
          <w:szCs w:val="23"/>
        </w:rPr>
      </w:pPr>
      <w:r>
        <w:rPr>
          <w:rFonts w:hint="eastAsia"/>
          <w:b/>
          <w:sz w:val="23"/>
          <w:szCs w:val="23"/>
        </w:rPr>
        <w:t>9</w:t>
      </w:r>
      <w:r>
        <w:rPr>
          <w:b/>
          <w:sz w:val="23"/>
          <w:szCs w:val="23"/>
        </w:rPr>
        <w:t>.8发</w:t>
      </w:r>
      <w:r>
        <w:rPr>
          <w:rFonts w:hint="eastAsia"/>
          <w:b/>
          <w:sz w:val="23"/>
          <w:szCs w:val="23"/>
        </w:rPr>
        <w:t>动机进</w:t>
      </w:r>
      <w:r>
        <w:rPr>
          <w:b/>
          <w:sz w:val="23"/>
          <w:szCs w:val="23"/>
        </w:rPr>
        <w:t>排</w:t>
      </w:r>
      <w:r>
        <w:rPr>
          <w:rFonts w:hint="eastAsia"/>
          <w:b/>
          <w:sz w:val="23"/>
          <w:szCs w:val="23"/>
        </w:rPr>
        <w:t>气</w:t>
      </w:r>
      <w:r>
        <w:rPr>
          <w:b/>
          <w:sz w:val="23"/>
          <w:szCs w:val="23"/>
        </w:rPr>
        <w:t>管路要求</w:t>
      </w:r>
    </w:p>
    <w:p w14:paraId="5A8AA9E3">
      <w:pPr>
        <w:spacing w:line="360" w:lineRule="auto"/>
        <w:rPr>
          <w:sz w:val="23"/>
          <w:szCs w:val="23"/>
        </w:rPr>
      </w:pPr>
      <w:r>
        <w:rPr>
          <w:rFonts w:hint="eastAsia"/>
          <w:sz w:val="23"/>
          <w:szCs w:val="23"/>
        </w:rPr>
        <w:t>9</w:t>
      </w:r>
      <w:r>
        <w:rPr>
          <w:sz w:val="23"/>
          <w:szCs w:val="23"/>
        </w:rPr>
        <w:t>.8.1发</w:t>
      </w:r>
      <w:r>
        <w:rPr>
          <w:rFonts w:hint="eastAsia"/>
          <w:sz w:val="23"/>
          <w:szCs w:val="23"/>
        </w:rPr>
        <w:t>动机进气管路</w:t>
      </w:r>
    </w:p>
    <w:p w14:paraId="16073DDA">
      <w:pPr>
        <w:spacing w:line="360" w:lineRule="auto"/>
        <w:ind w:firstLine="480" w:firstLineChars="200"/>
        <w:rPr>
          <w:rFonts w:ascii="宋体"/>
          <w:sz w:val="24"/>
        </w:rPr>
      </w:pPr>
      <w:r>
        <w:rPr>
          <w:rFonts w:hint="eastAsia" w:ascii="宋体"/>
          <w:sz w:val="24"/>
        </w:rPr>
        <w:t>在台架二层平台布置发动机进气空气滤清器，空滤器由招标方提供，由投标方制作支架并进行安装，位置应远离热源，且便于后期保养或更换滤芯。通过金属硬管引至台架间内，再通过</w:t>
      </w:r>
      <w:r>
        <w:rPr>
          <w:rFonts w:hint="eastAsia" w:ascii="宋体" w:hAnsi="宋体" w:eastAsia="宋体"/>
          <w:sz w:val="23"/>
          <w:szCs w:val="23"/>
        </w:rPr>
        <w:t>φ1</w:t>
      </w:r>
      <w:r>
        <w:rPr>
          <w:rFonts w:ascii="宋体" w:hAnsi="宋体" w:eastAsia="宋体"/>
          <w:sz w:val="23"/>
          <w:szCs w:val="23"/>
        </w:rPr>
        <w:t>50</w:t>
      </w:r>
      <w:r>
        <w:rPr>
          <w:rFonts w:hint="eastAsia" w:ascii="宋体"/>
          <w:sz w:val="24"/>
        </w:rPr>
        <w:t>软管连接至发动机进气口。软管末端与发动机进气口的过渡接管配五种规格，以适应不同的机型。配弹簧平衡器一件，吊点位置现场定。</w:t>
      </w:r>
    </w:p>
    <w:p w14:paraId="69D708B1">
      <w:pPr>
        <w:spacing w:line="360" w:lineRule="auto"/>
        <w:ind w:firstLine="480" w:firstLineChars="200"/>
        <w:rPr>
          <w:rFonts w:ascii="宋体"/>
          <w:sz w:val="24"/>
        </w:rPr>
      </w:pPr>
      <w:r>
        <w:rPr>
          <w:rFonts w:ascii="宋体"/>
          <w:sz w:val="24"/>
        </w:rPr>
        <w:t>在进</w:t>
      </w:r>
      <w:r>
        <w:rPr>
          <w:rFonts w:hint="eastAsia" w:ascii="宋体"/>
          <w:sz w:val="24"/>
        </w:rPr>
        <w:t>气硬管</w:t>
      </w:r>
      <w:r>
        <w:rPr>
          <w:rFonts w:ascii="宋体"/>
          <w:sz w:val="24"/>
        </w:rPr>
        <w:t>段布</w:t>
      </w:r>
      <w:r>
        <w:rPr>
          <w:rFonts w:hint="eastAsia" w:ascii="宋体"/>
          <w:sz w:val="24"/>
        </w:rPr>
        <w:t>置进气温度传感器和进气压力检测取样口。</w:t>
      </w:r>
    </w:p>
    <w:p w14:paraId="6FC58C1C">
      <w:pPr>
        <w:spacing w:line="360" w:lineRule="auto"/>
        <w:rPr>
          <w:rFonts w:ascii="宋体"/>
          <w:sz w:val="24"/>
        </w:rPr>
      </w:pPr>
      <w:r>
        <w:rPr>
          <w:rFonts w:hint="eastAsia" w:ascii="宋体"/>
          <w:sz w:val="24"/>
        </w:rPr>
        <w:t>9</w:t>
      </w:r>
      <w:r>
        <w:rPr>
          <w:rFonts w:ascii="宋体"/>
          <w:sz w:val="24"/>
        </w:rPr>
        <w:t>.8.2排</w:t>
      </w:r>
      <w:r>
        <w:rPr>
          <w:rFonts w:hint="eastAsia" w:ascii="宋体"/>
          <w:sz w:val="24"/>
        </w:rPr>
        <w:t>气管路</w:t>
      </w:r>
    </w:p>
    <w:p w14:paraId="397AFE88">
      <w:pPr>
        <w:spacing w:line="360" w:lineRule="auto"/>
        <w:ind w:firstLine="480" w:firstLineChars="200"/>
        <w:rPr>
          <w:rFonts w:ascii="宋体"/>
          <w:sz w:val="24"/>
        </w:rPr>
      </w:pPr>
      <w:r>
        <w:rPr>
          <w:rFonts w:hint="eastAsia" w:ascii="宋体"/>
          <w:sz w:val="24"/>
        </w:rPr>
        <w:t>新增排气波纹管，管径不小于</w:t>
      </w:r>
      <w:r>
        <w:rPr>
          <w:rFonts w:hint="eastAsia" w:ascii="宋体" w:hAnsi="宋体" w:eastAsia="宋体"/>
          <w:sz w:val="24"/>
        </w:rPr>
        <w:t>φ</w:t>
      </w:r>
      <w:r>
        <w:rPr>
          <w:rFonts w:hint="eastAsia" w:ascii="宋体"/>
          <w:sz w:val="24"/>
        </w:rPr>
        <w:t>100mm，长不小于5m，上端连接至台架顶部已有的排气管上，下端与增压器排气口连接。波纹管应有足够柔性，以适应不同侧、不同朝向的增压器排气口需求。发动机的连接端与现场已有工艺接管法兰相匹配，整体应方便员工装拆。适当位置配两个5</w:t>
      </w:r>
      <w:r>
        <w:rPr>
          <w:rFonts w:ascii="Arial" w:hAnsi="Arial" w:cs="Arial"/>
          <w:sz w:val="24"/>
        </w:rPr>
        <w:t>~</w:t>
      </w:r>
      <w:r>
        <w:rPr>
          <w:rFonts w:hint="eastAsia" w:ascii="宋体"/>
          <w:sz w:val="24"/>
        </w:rPr>
        <w:t>9kg弹簧平衡器用于悬挂波纹管，吊点位置现场施工时定。</w:t>
      </w:r>
    </w:p>
    <w:p w14:paraId="02A8D475">
      <w:pPr>
        <w:spacing w:line="360" w:lineRule="auto"/>
        <w:ind w:firstLine="480" w:firstLineChars="200"/>
        <w:rPr>
          <w:rFonts w:ascii="宋体"/>
          <w:sz w:val="24"/>
        </w:rPr>
      </w:pPr>
      <w:r>
        <w:rPr>
          <w:rFonts w:ascii="宋体"/>
          <w:sz w:val="24"/>
        </w:rPr>
        <w:t>在排</w:t>
      </w:r>
      <w:r>
        <w:rPr>
          <w:rFonts w:hint="eastAsia" w:ascii="宋体"/>
          <w:sz w:val="24"/>
        </w:rPr>
        <w:t>气波</w:t>
      </w:r>
      <w:r>
        <w:rPr>
          <w:rFonts w:ascii="宋体"/>
          <w:sz w:val="24"/>
        </w:rPr>
        <w:t>纹</w:t>
      </w:r>
      <w:r>
        <w:rPr>
          <w:rFonts w:hint="eastAsia" w:ascii="宋体"/>
          <w:sz w:val="24"/>
        </w:rPr>
        <w:t>管下游的固定钢管段适当处</w:t>
      </w:r>
      <w:r>
        <w:rPr>
          <w:rFonts w:ascii="宋体"/>
          <w:sz w:val="24"/>
        </w:rPr>
        <w:t>，布</w:t>
      </w:r>
      <w:r>
        <w:rPr>
          <w:rFonts w:hint="eastAsia" w:ascii="宋体"/>
          <w:sz w:val="24"/>
        </w:rPr>
        <w:t>置排温传感器、排气背压</w:t>
      </w:r>
      <w:r>
        <w:rPr>
          <w:rFonts w:ascii="宋体"/>
          <w:sz w:val="24"/>
        </w:rPr>
        <w:t>检测取</w:t>
      </w:r>
      <w:r>
        <w:rPr>
          <w:rFonts w:hint="eastAsia" w:ascii="宋体"/>
          <w:sz w:val="24"/>
        </w:rPr>
        <w:t>样口和烟度检测取样口</w:t>
      </w:r>
      <w:r>
        <w:rPr>
          <w:rFonts w:ascii="宋体"/>
          <w:sz w:val="24"/>
        </w:rPr>
        <w:t>。</w:t>
      </w:r>
    </w:p>
    <w:p w14:paraId="1A27347F">
      <w:pPr>
        <w:spacing w:line="360" w:lineRule="auto"/>
        <w:ind w:firstLine="480" w:firstLineChars="200"/>
        <w:rPr>
          <w:rFonts w:ascii="宋体"/>
          <w:sz w:val="24"/>
        </w:rPr>
      </w:pPr>
      <w:r>
        <w:rPr>
          <w:rFonts w:ascii="宋体"/>
          <w:sz w:val="24"/>
        </w:rPr>
        <w:t>部分台</w:t>
      </w:r>
      <w:r>
        <w:rPr>
          <w:rFonts w:hint="eastAsia" w:ascii="宋体"/>
          <w:sz w:val="24"/>
        </w:rPr>
        <w:t>架内原配有</w:t>
      </w:r>
      <w:r>
        <w:rPr>
          <w:rFonts w:ascii="宋体"/>
          <w:sz w:val="24"/>
        </w:rPr>
        <w:t>两</w:t>
      </w:r>
      <w:r>
        <w:rPr>
          <w:rFonts w:hint="eastAsia" w:ascii="宋体"/>
          <w:sz w:val="24"/>
        </w:rPr>
        <w:t>路排气管路，改造时只保留一路，另一路拆除。</w:t>
      </w:r>
    </w:p>
    <w:p w14:paraId="5E1EEF6A">
      <w:pPr>
        <w:spacing w:line="360" w:lineRule="auto"/>
        <w:rPr>
          <w:rFonts w:ascii="宋体"/>
          <w:sz w:val="24"/>
        </w:rPr>
      </w:pPr>
      <w:r>
        <w:rPr>
          <w:rFonts w:hint="eastAsia" w:ascii="宋体"/>
          <w:sz w:val="24"/>
        </w:rPr>
        <w:t>9</w:t>
      </w:r>
      <w:r>
        <w:rPr>
          <w:rFonts w:ascii="宋体"/>
          <w:sz w:val="24"/>
        </w:rPr>
        <w:t>.8.3排</w:t>
      </w:r>
      <w:r>
        <w:rPr>
          <w:rFonts w:hint="eastAsia" w:ascii="宋体"/>
          <w:sz w:val="24"/>
        </w:rPr>
        <w:t>气背压阀</w:t>
      </w:r>
    </w:p>
    <w:p w14:paraId="0807EAC7">
      <w:pPr>
        <w:spacing w:line="360" w:lineRule="auto"/>
        <w:ind w:firstLine="460" w:firstLineChars="200"/>
        <w:rPr>
          <w:sz w:val="23"/>
          <w:szCs w:val="23"/>
        </w:rPr>
      </w:pPr>
      <w:r>
        <w:rPr>
          <w:rFonts w:hint="eastAsia"/>
          <w:sz w:val="23"/>
          <w:szCs w:val="23"/>
        </w:rPr>
        <w:t>新增排气背压阀，布置于排气背压检测取样口下游的钢管上，用于调节发动机排气管路的背压。选用威尔孚品牌，阀体材料</w:t>
      </w:r>
      <w:r>
        <w:rPr>
          <w:sz w:val="23"/>
          <w:szCs w:val="23"/>
        </w:rPr>
        <w:t>304</w:t>
      </w:r>
      <w:r>
        <w:rPr>
          <w:rFonts w:hint="eastAsia"/>
          <w:sz w:val="23"/>
          <w:szCs w:val="23"/>
        </w:rPr>
        <w:t>不锈钢，大小与排气管路通径一致</w:t>
      </w:r>
      <w:r>
        <w:rPr>
          <w:sz w:val="23"/>
          <w:szCs w:val="23"/>
        </w:rPr>
        <w:t>，</w:t>
      </w:r>
      <w:r>
        <w:rPr>
          <w:rFonts w:hint="eastAsia"/>
          <w:sz w:val="23"/>
          <w:szCs w:val="23"/>
        </w:rPr>
        <w:t>耐温不低于</w:t>
      </w:r>
      <w:r>
        <w:rPr>
          <w:sz w:val="23"/>
          <w:szCs w:val="23"/>
        </w:rPr>
        <w:t>600℃</w:t>
      </w:r>
      <w:r>
        <w:rPr>
          <w:rFonts w:hint="eastAsia"/>
          <w:sz w:val="23"/>
          <w:szCs w:val="23"/>
        </w:rPr>
        <w:t>。蝶阀驱动采用手动</w:t>
      </w:r>
      <w:r>
        <w:rPr>
          <w:sz w:val="23"/>
          <w:szCs w:val="23"/>
        </w:rPr>
        <w:t>/</w:t>
      </w:r>
      <w:r>
        <w:rPr>
          <w:rFonts w:hint="eastAsia"/>
          <w:sz w:val="23"/>
          <w:szCs w:val="23"/>
        </w:rPr>
        <w:t>电动方式，远程人工控制阀门开度，无指令时阀门位置应锁定可靠。人工可手动调节，阀门上设有阀门开度指示。</w:t>
      </w:r>
    </w:p>
    <w:p w14:paraId="11897851">
      <w:pPr>
        <w:spacing w:line="360" w:lineRule="auto"/>
        <w:rPr>
          <w:rFonts w:ascii="宋体"/>
          <w:sz w:val="24"/>
        </w:rPr>
      </w:pPr>
      <w:r>
        <w:rPr>
          <w:rFonts w:hint="eastAsia" w:ascii="宋体"/>
          <w:sz w:val="24"/>
        </w:rPr>
        <w:t>9</w:t>
      </w:r>
      <w:r>
        <w:rPr>
          <w:rFonts w:ascii="宋体"/>
          <w:sz w:val="24"/>
        </w:rPr>
        <w:t>.8.4</w:t>
      </w:r>
      <w:r>
        <w:rPr>
          <w:rFonts w:hint="eastAsia" w:ascii="宋体"/>
          <w:sz w:val="24"/>
        </w:rPr>
        <w:t>后处理大包</w:t>
      </w:r>
    </w:p>
    <w:p w14:paraId="1711448A">
      <w:pPr>
        <w:spacing w:line="360" w:lineRule="auto"/>
        <w:ind w:firstLine="480" w:firstLineChars="200"/>
        <w:rPr>
          <w:rFonts w:ascii="宋体"/>
          <w:sz w:val="24"/>
        </w:rPr>
      </w:pPr>
      <w:r>
        <w:rPr>
          <w:rFonts w:ascii="宋体"/>
          <w:sz w:val="24"/>
        </w:rPr>
        <w:t>现场已有</w:t>
      </w:r>
      <w:r>
        <w:rPr>
          <w:rFonts w:hint="eastAsia" w:ascii="宋体"/>
          <w:sz w:val="24"/>
        </w:rPr>
        <w:t>的后处理大包（S</w:t>
      </w:r>
      <w:r>
        <w:rPr>
          <w:rFonts w:ascii="宋体"/>
          <w:sz w:val="24"/>
        </w:rPr>
        <w:t>CR）及</w:t>
      </w:r>
      <w:r>
        <w:rPr>
          <w:rFonts w:hint="eastAsia" w:ascii="宋体"/>
          <w:sz w:val="24"/>
        </w:rPr>
        <w:t>其支管</w:t>
      </w:r>
      <w:r>
        <w:rPr>
          <w:rFonts w:ascii="宋体"/>
          <w:sz w:val="24"/>
        </w:rPr>
        <w:t>利</w:t>
      </w:r>
      <w:r>
        <w:rPr>
          <w:rFonts w:hint="eastAsia" w:ascii="宋体"/>
          <w:sz w:val="24"/>
        </w:rPr>
        <w:t>旧，保温层按9</w:t>
      </w:r>
      <w:r>
        <w:rPr>
          <w:rFonts w:ascii="宋体"/>
          <w:sz w:val="24"/>
        </w:rPr>
        <w:t>.8.5条款</w:t>
      </w:r>
      <w:r>
        <w:rPr>
          <w:rFonts w:hint="eastAsia" w:ascii="宋体"/>
          <w:sz w:val="24"/>
        </w:rPr>
        <w:t>重新处理。</w:t>
      </w:r>
    </w:p>
    <w:p w14:paraId="4A66D2F7">
      <w:pPr>
        <w:spacing w:line="360" w:lineRule="auto"/>
        <w:rPr>
          <w:rFonts w:ascii="宋体"/>
          <w:sz w:val="24"/>
        </w:rPr>
      </w:pPr>
      <w:r>
        <w:rPr>
          <w:rFonts w:hint="eastAsia" w:ascii="宋体"/>
          <w:sz w:val="24"/>
        </w:rPr>
        <w:t>9</w:t>
      </w:r>
      <w:r>
        <w:rPr>
          <w:rFonts w:ascii="宋体"/>
          <w:sz w:val="24"/>
        </w:rPr>
        <w:t>.8.5排</w:t>
      </w:r>
      <w:r>
        <w:rPr>
          <w:rFonts w:hint="eastAsia" w:ascii="宋体"/>
          <w:sz w:val="24"/>
        </w:rPr>
        <w:t>气管路固定硬管段的保温层采用50mm厚硅酸铝包裹后外包0.3mm不锈钢板制作。</w:t>
      </w:r>
    </w:p>
    <w:p w14:paraId="51F18066">
      <w:pPr>
        <w:spacing w:line="360" w:lineRule="auto"/>
        <w:rPr>
          <w:rFonts w:ascii="宋体"/>
          <w:sz w:val="24"/>
        </w:rPr>
      </w:pPr>
      <w:r>
        <w:rPr>
          <w:rFonts w:hint="eastAsia" w:ascii="宋体"/>
          <w:sz w:val="24"/>
        </w:rPr>
        <w:t>9</w:t>
      </w:r>
      <w:r>
        <w:rPr>
          <w:rFonts w:ascii="宋体"/>
          <w:sz w:val="24"/>
        </w:rPr>
        <w:t>.8.6排</w:t>
      </w:r>
      <w:r>
        <w:rPr>
          <w:rFonts w:hint="eastAsia" w:ascii="宋体"/>
          <w:sz w:val="24"/>
        </w:rPr>
        <w:t>气</w:t>
      </w:r>
      <w:r>
        <w:rPr>
          <w:rFonts w:ascii="宋体"/>
          <w:sz w:val="24"/>
        </w:rPr>
        <w:t>泄</w:t>
      </w:r>
      <w:r>
        <w:rPr>
          <w:rFonts w:hint="eastAsia" w:ascii="宋体"/>
          <w:sz w:val="24"/>
        </w:rPr>
        <w:t>压阀</w:t>
      </w:r>
    </w:p>
    <w:p w14:paraId="3023F22E">
      <w:pPr>
        <w:spacing w:line="360" w:lineRule="auto"/>
        <w:ind w:firstLine="480" w:firstLineChars="200"/>
        <w:rPr>
          <w:rFonts w:ascii="宋体"/>
          <w:sz w:val="24"/>
        </w:rPr>
      </w:pPr>
      <w:r>
        <w:rPr>
          <w:rFonts w:ascii="宋体"/>
          <w:sz w:val="24"/>
        </w:rPr>
        <w:t>对</w:t>
      </w:r>
      <w:r>
        <w:rPr>
          <w:rFonts w:hint="eastAsia" w:ascii="宋体"/>
          <w:sz w:val="24"/>
        </w:rPr>
        <w:t>于2个天然气天架和1个增程器台架，在其二层平台的排气管路上加装泄压阀，布置于消声器前端。消声器抬高后，其下游的排气管重新对接联妥，并按9</w:t>
      </w:r>
      <w:r>
        <w:rPr>
          <w:rFonts w:ascii="宋体"/>
          <w:sz w:val="24"/>
        </w:rPr>
        <w:t>.8.5条</w:t>
      </w:r>
      <w:r>
        <w:rPr>
          <w:rFonts w:hint="eastAsia" w:ascii="宋体"/>
          <w:sz w:val="24"/>
        </w:rPr>
        <w:t>款</w:t>
      </w:r>
      <w:r>
        <w:rPr>
          <w:rFonts w:ascii="宋体"/>
          <w:sz w:val="24"/>
        </w:rPr>
        <w:t>恢</w:t>
      </w:r>
      <w:r>
        <w:rPr>
          <w:rFonts w:hint="eastAsia" w:ascii="宋体"/>
          <w:sz w:val="24"/>
        </w:rPr>
        <w:t>复保温层</w:t>
      </w:r>
      <w:r>
        <w:rPr>
          <w:rFonts w:ascii="宋体"/>
          <w:sz w:val="24"/>
        </w:rPr>
        <w:t>。</w:t>
      </w:r>
    </w:p>
    <w:p w14:paraId="04458740">
      <w:pPr>
        <w:spacing w:line="360" w:lineRule="auto"/>
        <w:rPr>
          <w:rFonts w:ascii="宋体"/>
          <w:sz w:val="24"/>
        </w:rPr>
      </w:pPr>
      <w:r>
        <w:rPr>
          <w:rFonts w:ascii="宋体"/>
          <w:sz w:val="24"/>
        </w:rPr>
        <w:t>9.8.7台</w:t>
      </w:r>
      <w:r>
        <w:rPr>
          <w:rFonts w:hint="eastAsia" w:ascii="宋体"/>
          <w:sz w:val="24"/>
        </w:rPr>
        <w:t>架二层</w:t>
      </w:r>
      <w:r>
        <w:rPr>
          <w:rFonts w:ascii="宋体"/>
          <w:sz w:val="24"/>
        </w:rPr>
        <w:t>的</w:t>
      </w:r>
      <w:r>
        <w:rPr>
          <w:rFonts w:hint="eastAsia" w:ascii="宋体"/>
          <w:sz w:val="24"/>
        </w:rPr>
        <w:t>排气消声器、排烟管、阀门、排烟风机等均利旧。</w:t>
      </w:r>
    </w:p>
    <w:p w14:paraId="44082C1F">
      <w:pPr>
        <w:spacing w:line="360" w:lineRule="auto"/>
        <w:rPr>
          <w:rFonts w:ascii="宋体"/>
          <w:sz w:val="24"/>
        </w:rPr>
      </w:pPr>
    </w:p>
    <w:p w14:paraId="565F10EC">
      <w:pPr>
        <w:spacing w:line="360" w:lineRule="auto"/>
        <w:rPr>
          <w:rFonts w:ascii="宋体"/>
          <w:b/>
          <w:sz w:val="24"/>
        </w:rPr>
      </w:pPr>
      <w:r>
        <w:rPr>
          <w:rFonts w:hint="eastAsia" w:ascii="宋体"/>
          <w:b/>
          <w:sz w:val="24"/>
        </w:rPr>
        <w:t>9</w:t>
      </w:r>
      <w:r>
        <w:rPr>
          <w:rFonts w:ascii="宋体"/>
          <w:b/>
          <w:sz w:val="24"/>
        </w:rPr>
        <w:t>.9台架维</w:t>
      </w:r>
      <w:r>
        <w:rPr>
          <w:rFonts w:hint="eastAsia" w:ascii="宋体"/>
          <w:b/>
          <w:sz w:val="24"/>
        </w:rPr>
        <w:t>修工具</w:t>
      </w:r>
    </w:p>
    <w:p w14:paraId="4AF8C2C7">
      <w:pPr>
        <w:spacing w:line="360" w:lineRule="auto"/>
        <w:ind w:firstLine="480" w:firstLineChars="200"/>
        <w:rPr>
          <w:rFonts w:ascii="宋体"/>
          <w:sz w:val="24"/>
        </w:rPr>
      </w:pPr>
      <w:r>
        <w:rPr>
          <w:rFonts w:ascii="宋体"/>
          <w:sz w:val="24"/>
        </w:rPr>
        <w:t>每</w:t>
      </w:r>
      <w:r>
        <w:rPr>
          <w:rFonts w:hint="eastAsia" w:ascii="宋体"/>
          <w:sz w:val="24"/>
        </w:rPr>
        <w:t>个</w:t>
      </w:r>
      <w:r>
        <w:rPr>
          <w:rFonts w:ascii="宋体"/>
          <w:sz w:val="24"/>
        </w:rPr>
        <w:t>台架配</w:t>
      </w:r>
      <w:r>
        <w:rPr>
          <w:rFonts w:hint="eastAsia" w:ascii="宋体"/>
          <w:sz w:val="24"/>
        </w:rPr>
        <w:t>置</w:t>
      </w:r>
      <w:r>
        <w:rPr>
          <w:rFonts w:ascii="宋体"/>
          <w:sz w:val="24"/>
        </w:rPr>
        <w:t>世</w:t>
      </w:r>
      <w:r>
        <w:rPr>
          <w:rFonts w:hint="eastAsia" w:ascii="宋体"/>
          <w:sz w:val="24"/>
        </w:rPr>
        <w:t>达工具车</w:t>
      </w:r>
      <w:r>
        <w:rPr>
          <w:rFonts w:ascii="宋体"/>
          <w:sz w:val="24"/>
        </w:rPr>
        <w:t>（</w:t>
      </w:r>
      <w:r>
        <w:rPr>
          <w:rFonts w:hint="eastAsia" w:ascii="宋体"/>
          <w:sz w:val="24"/>
        </w:rPr>
        <w:t>9</w:t>
      </w:r>
      <w:r>
        <w:rPr>
          <w:rFonts w:ascii="宋体"/>
          <w:sz w:val="24"/>
        </w:rPr>
        <w:t>5123）一套，世</w:t>
      </w:r>
      <w:r>
        <w:rPr>
          <w:rFonts w:hint="eastAsia" w:ascii="宋体"/>
          <w:sz w:val="24"/>
        </w:rPr>
        <w:t>达维修工具</w:t>
      </w:r>
      <w:r>
        <w:rPr>
          <w:rFonts w:ascii="宋体"/>
          <w:sz w:val="24"/>
        </w:rPr>
        <w:t>套</w:t>
      </w:r>
      <w:r>
        <w:rPr>
          <w:rFonts w:hint="eastAsia" w:ascii="宋体"/>
          <w:sz w:val="24"/>
        </w:rPr>
        <w:t>装</w:t>
      </w:r>
      <w:r>
        <w:rPr>
          <w:rFonts w:ascii="宋体"/>
          <w:sz w:val="24"/>
        </w:rPr>
        <w:t>（</w:t>
      </w:r>
      <w:r>
        <w:rPr>
          <w:rFonts w:hint="eastAsia" w:ascii="宋体"/>
          <w:sz w:val="24"/>
        </w:rPr>
        <w:t>0</w:t>
      </w:r>
      <w:r>
        <w:rPr>
          <w:rFonts w:ascii="宋体"/>
          <w:sz w:val="24"/>
        </w:rPr>
        <w:t>9510）一</w:t>
      </w:r>
      <w:r>
        <w:rPr>
          <w:rFonts w:hint="eastAsia" w:ascii="宋体"/>
          <w:sz w:val="24"/>
        </w:rPr>
        <w:t>套</w:t>
      </w:r>
      <w:r>
        <w:rPr>
          <w:rFonts w:ascii="宋体"/>
          <w:sz w:val="24"/>
        </w:rPr>
        <w:t>。</w:t>
      </w:r>
    </w:p>
    <w:p w14:paraId="0ADBEE4B">
      <w:pPr>
        <w:spacing w:line="360" w:lineRule="auto"/>
        <w:ind w:firstLine="480" w:firstLineChars="200"/>
        <w:rPr>
          <w:rFonts w:ascii="宋体"/>
          <w:sz w:val="24"/>
        </w:rPr>
      </w:pPr>
    </w:p>
    <w:p w14:paraId="1CD7B3C0">
      <w:pPr>
        <w:spacing w:line="360" w:lineRule="auto"/>
        <w:rPr>
          <w:rFonts w:ascii="宋体"/>
          <w:b/>
          <w:sz w:val="24"/>
        </w:rPr>
      </w:pPr>
      <w:r>
        <w:rPr>
          <w:rFonts w:hint="eastAsia" w:ascii="宋体"/>
          <w:b/>
          <w:sz w:val="24"/>
        </w:rPr>
        <w:t>1</w:t>
      </w:r>
      <w:r>
        <w:rPr>
          <w:rFonts w:ascii="宋体"/>
          <w:b/>
          <w:sz w:val="24"/>
        </w:rPr>
        <w:t>0.试验台架辅助系统</w:t>
      </w:r>
    </w:p>
    <w:p w14:paraId="67A23B04">
      <w:pPr>
        <w:spacing w:line="360" w:lineRule="auto"/>
        <w:rPr>
          <w:rFonts w:ascii="宋体"/>
          <w:sz w:val="24"/>
        </w:rPr>
      </w:pPr>
      <w:r>
        <w:rPr>
          <w:rFonts w:hint="eastAsia" w:ascii="宋体"/>
          <w:sz w:val="24"/>
        </w:rPr>
        <w:t>1</w:t>
      </w:r>
      <w:r>
        <w:rPr>
          <w:rFonts w:ascii="宋体"/>
          <w:sz w:val="24"/>
        </w:rPr>
        <w:t>0.1控</w:t>
      </w:r>
      <w:r>
        <w:rPr>
          <w:rFonts w:hint="eastAsia" w:ascii="宋体"/>
          <w:sz w:val="24"/>
        </w:rPr>
        <w:t>制室</w:t>
      </w:r>
      <w:r>
        <w:rPr>
          <w:rFonts w:ascii="宋体"/>
          <w:sz w:val="24"/>
        </w:rPr>
        <w:t>改造</w:t>
      </w:r>
    </w:p>
    <w:p w14:paraId="0AF1DB29">
      <w:pPr>
        <w:spacing w:line="360" w:lineRule="auto"/>
        <w:ind w:firstLine="480" w:firstLineChars="200"/>
        <w:rPr>
          <w:rFonts w:ascii="宋体"/>
          <w:sz w:val="24"/>
        </w:rPr>
      </w:pPr>
      <w:r>
        <w:rPr>
          <w:rFonts w:hint="eastAsia" w:ascii="宋体"/>
          <w:sz w:val="24"/>
        </w:rPr>
        <w:t>控制室墙面亮新。</w:t>
      </w:r>
    </w:p>
    <w:p w14:paraId="308DDA6F">
      <w:pPr>
        <w:spacing w:line="360" w:lineRule="auto"/>
        <w:ind w:firstLine="480" w:firstLineChars="200"/>
        <w:rPr>
          <w:rFonts w:ascii="宋体"/>
          <w:sz w:val="24"/>
        </w:rPr>
      </w:pPr>
      <w:r>
        <w:rPr>
          <w:rFonts w:hint="eastAsia" w:ascii="宋体"/>
          <w:sz w:val="24"/>
        </w:rPr>
        <w:t>控制室配插座箱，9个台架间和5个设备间对应的控制室各配一组220V插排（不少于4个三脚插座，带空开、漏保）。</w:t>
      </w:r>
    </w:p>
    <w:p w14:paraId="403A3BAA">
      <w:pPr>
        <w:spacing w:line="360" w:lineRule="auto"/>
        <w:rPr>
          <w:rFonts w:ascii="宋体"/>
          <w:sz w:val="24"/>
        </w:rPr>
      </w:pPr>
      <w:r>
        <w:rPr>
          <w:rFonts w:hint="eastAsia" w:ascii="宋体"/>
          <w:sz w:val="24"/>
        </w:rPr>
        <w:t>1</w:t>
      </w:r>
      <w:r>
        <w:rPr>
          <w:rFonts w:ascii="宋体"/>
          <w:sz w:val="24"/>
        </w:rPr>
        <w:t>0.2设备间改造</w:t>
      </w:r>
    </w:p>
    <w:p w14:paraId="51D5C686">
      <w:pPr>
        <w:spacing w:line="360" w:lineRule="auto"/>
        <w:ind w:firstLine="480" w:firstLineChars="200"/>
        <w:rPr>
          <w:rFonts w:ascii="宋体"/>
          <w:sz w:val="24"/>
        </w:rPr>
      </w:pPr>
      <w:r>
        <w:rPr>
          <w:rFonts w:hint="eastAsia" w:ascii="宋体"/>
          <w:sz w:val="24"/>
        </w:rPr>
        <w:t>设备间利用原有台架房间，每2个台架共用1个设备间。</w:t>
      </w:r>
    </w:p>
    <w:p w14:paraId="75AD1E29">
      <w:pPr>
        <w:spacing w:line="360" w:lineRule="auto"/>
        <w:ind w:firstLine="480" w:firstLineChars="200"/>
        <w:rPr>
          <w:rFonts w:ascii="宋体"/>
          <w:sz w:val="24"/>
        </w:rPr>
      </w:pPr>
      <w:r>
        <w:rPr>
          <w:rFonts w:hint="eastAsia" w:ascii="宋体"/>
          <w:sz w:val="24"/>
        </w:rPr>
        <w:t>根据设备间的设备布置情况，合理配置电源、压缩空气等能源动力和管线。配照明、插座，用1</w:t>
      </w:r>
      <w:r>
        <w:rPr>
          <w:rFonts w:ascii="宋体"/>
          <w:sz w:val="24"/>
        </w:rPr>
        <w:t>0#</w:t>
      </w:r>
      <w:r>
        <w:rPr>
          <w:rFonts w:hint="eastAsia" w:ascii="宋体"/>
          <w:sz w:val="24"/>
        </w:rPr>
        <w:t>热镀锌槽钢制作支撑结构，与控制室地面等高，整个设备间内铺5</w:t>
      </w:r>
      <w:r>
        <w:rPr>
          <w:rFonts w:ascii="宋体"/>
          <w:sz w:val="24"/>
        </w:rPr>
        <w:t>mm</w:t>
      </w:r>
      <w:r>
        <w:rPr>
          <w:rFonts w:hint="eastAsia" w:ascii="宋体"/>
          <w:sz w:val="24"/>
        </w:rPr>
        <w:t>铝合金花纹地板，摆放变频柜、直流双向电源等较重设备处需进行额外强化支撑处理。其中2</w:t>
      </w:r>
      <w:r>
        <w:rPr>
          <w:rFonts w:ascii="宋体"/>
          <w:sz w:val="24"/>
        </w:rPr>
        <w:t>8#台架预</w:t>
      </w:r>
      <w:r>
        <w:rPr>
          <w:rFonts w:hint="eastAsia" w:ascii="宋体"/>
          <w:sz w:val="24"/>
        </w:rPr>
        <w:t>留</w:t>
      </w:r>
      <w:r>
        <w:rPr>
          <w:rFonts w:ascii="宋体"/>
          <w:sz w:val="24"/>
        </w:rPr>
        <w:t>位</w:t>
      </w:r>
      <w:r>
        <w:rPr>
          <w:rFonts w:hint="eastAsia" w:ascii="宋体"/>
          <w:sz w:val="24"/>
        </w:rPr>
        <w:t>置按</w:t>
      </w:r>
      <w:r>
        <w:rPr>
          <w:rFonts w:ascii="宋体"/>
          <w:sz w:val="24"/>
        </w:rPr>
        <w:t>后续</w:t>
      </w:r>
      <w:r>
        <w:rPr>
          <w:rFonts w:hint="eastAsia" w:ascii="宋体"/>
          <w:sz w:val="24"/>
        </w:rPr>
        <w:t>为电力测功机变频柜的承重</w:t>
      </w:r>
      <w:r>
        <w:rPr>
          <w:rFonts w:ascii="宋体"/>
          <w:sz w:val="24"/>
        </w:rPr>
        <w:t>要求施</w:t>
      </w:r>
      <w:r>
        <w:rPr>
          <w:rFonts w:hint="eastAsia" w:ascii="宋体"/>
          <w:sz w:val="24"/>
        </w:rPr>
        <w:t>工</w:t>
      </w:r>
      <w:r>
        <w:rPr>
          <w:rFonts w:ascii="宋体"/>
          <w:sz w:val="24"/>
        </w:rPr>
        <w:t>。</w:t>
      </w:r>
    </w:p>
    <w:p w14:paraId="19F59547">
      <w:pPr>
        <w:spacing w:line="360" w:lineRule="auto"/>
        <w:ind w:firstLine="480" w:firstLineChars="200"/>
        <w:rPr>
          <w:rFonts w:ascii="宋体"/>
          <w:sz w:val="24"/>
        </w:rPr>
      </w:pPr>
      <w:r>
        <w:rPr>
          <w:rFonts w:hint="eastAsia" w:ascii="宋体"/>
          <w:sz w:val="24"/>
        </w:rPr>
        <w:t>设备间内拆除四周墙壁和天花板上的吸音材料，四周、顶部采用外墙腻子和外墙涂料处理，不易脱落。</w:t>
      </w:r>
    </w:p>
    <w:p w14:paraId="2C6E2204">
      <w:pPr>
        <w:spacing w:line="360" w:lineRule="auto"/>
        <w:rPr>
          <w:rFonts w:ascii="宋体"/>
          <w:sz w:val="24"/>
        </w:rPr>
      </w:pPr>
      <w:r>
        <w:rPr>
          <w:rFonts w:hint="eastAsia" w:ascii="宋体"/>
          <w:sz w:val="24"/>
        </w:rPr>
        <w:t>1</w:t>
      </w:r>
      <w:r>
        <w:rPr>
          <w:rFonts w:ascii="宋体"/>
          <w:sz w:val="24"/>
        </w:rPr>
        <w:t>0.3台架间</w:t>
      </w:r>
      <w:r>
        <w:rPr>
          <w:rFonts w:hint="eastAsia" w:ascii="宋体"/>
          <w:sz w:val="24"/>
        </w:rPr>
        <w:t>和</w:t>
      </w:r>
      <w:r>
        <w:rPr>
          <w:rFonts w:ascii="宋体"/>
          <w:sz w:val="24"/>
        </w:rPr>
        <w:t>设备间</w:t>
      </w:r>
      <w:r>
        <w:rPr>
          <w:rFonts w:hint="eastAsia" w:ascii="宋体"/>
          <w:sz w:val="24"/>
        </w:rPr>
        <w:t>通风</w:t>
      </w:r>
    </w:p>
    <w:p w14:paraId="442E583C">
      <w:pPr>
        <w:spacing w:line="360" w:lineRule="auto"/>
        <w:ind w:firstLine="480" w:firstLineChars="200"/>
        <w:rPr>
          <w:rFonts w:ascii="宋体"/>
          <w:sz w:val="24"/>
        </w:rPr>
      </w:pPr>
      <w:r>
        <w:rPr>
          <w:rFonts w:hint="eastAsia" w:ascii="宋体"/>
          <w:sz w:val="24"/>
        </w:rPr>
        <w:t>试验台架送排风系统由送风机、排风机、防火阀、风机减振器、软接头、消声器、风管、室内送排风口、新风口、风管支承架等组成，能够供给发动机试验台架所需的新鲜空气，并将发动机工作过程中产生的余热排出，降低室内温度，保证试验室内温度≤40℃，同时将泄漏的发动机废气及时排出厂房外。</w:t>
      </w:r>
    </w:p>
    <w:p w14:paraId="1EED4360">
      <w:pPr>
        <w:spacing w:line="360" w:lineRule="auto"/>
        <w:ind w:firstLine="480" w:firstLineChars="200"/>
        <w:rPr>
          <w:rFonts w:ascii="宋体"/>
          <w:sz w:val="24"/>
        </w:rPr>
      </w:pPr>
      <w:r>
        <w:rPr>
          <w:rFonts w:hint="eastAsia" w:ascii="宋体"/>
          <w:sz w:val="24"/>
        </w:rPr>
        <w:t>每个台架（含设备间）均配置一套送风风机和一套排风风机，形成一个独立的送排风系统。送排风采用上送上抽方式，减少气流死角。</w:t>
      </w:r>
    </w:p>
    <w:p w14:paraId="3771A7E4">
      <w:pPr>
        <w:spacing w:line="360" w:lineRule="auto"/>
        <w:ind w:firstLine="480" w:firstLineChars="200"/>
        <w:rPr>
          <w:rFonts w:ascii="宋体"/>
          <w:sz w:val="24"/>
        </w:rPr>
      </w:pPr>
      <w:r>
        <w:rPr>
          <w:rFonts w:hint="eastAsia" w:ascii="宋体"/>
          <w:sz w:val="24"/>
        </w:rPr>
        <w:t>试验台架间和设备间的进、排风机采用低噪声离心风机，变频控制。送排风采用上送上抽方式，进、排风口位于台架间顶部对角位置。在送风口处安装风向调节装置确保风向朝向发动机或变频柜，便于带走发动机试验时发出的热量。</w:t>
      </w:r>
    </w:p>
    <w:p w14:paraId="3D42C224">
      <w:pPr>
        <w:spacing w:line="360" w:lineRule="auto"/>
        <w:ind w:firstLine="480" w:firstLineChars="200"/>
        <w:rPr>
          <w:rFonts w:ascii="宋体"/>
          <w:sz w:val="24"/>
        </w:rPr>
      </w:pPr>
      <w:r>
        <w:rPr>
          <w:rFonts w:hint="eastAsia" w:ascii="宋体"/>
          <w:sz w:val="24"/>
        </w:rPr>
        <w:t>风机底座安装于台架二层平台，匹配E型高性能减振器，其最大振幅≤0.1mm，风机安装采用可拆卸结构。</w:t>
      </w:r>
    </w:p>
    <w:p w14:paraId="096BDB07">
      <w:pPr>
        <w:spacing w:line="360" w:lineRule="auto"/>
        <w:ind w:firstLine="480" w:firstLineChars="200"/>
        <w:rPr>
          <w:rFonts w:ascii="宋体"/>
          <w:sz w:val="24"/>
        </w:rPr>
      </w:pPr>
      <w:r>
        <w:rPr>
          <w:rFonts w:hint="eastAsia" w:ascii="宋体"/>
          <w:sz w:val="24"/>
        </w:rPr>
        <w:t>进风风机前端和排风风机后端均设消声静压箱，室内风口处设置可调风向铝合金百页风口。</w:t>
      </w:r>
    </w:p>
    <w:p w14:paraId="3F60CD1A">
      <w:pPr>
        <w:spacing w:line="360" w:lineRule="auto"/>
        <w:ind w:firstLine="480" w:firstLineChars="200"/>
        <w:rPr>
          <w:rFonts w:ascii="宋体"/>
          <w:sz w:val="24"/>
        </w:rPr>
      </w:pPr>
      <w:r>
        <w:rPr>
          <w:rFonts w:hint="eastAsia" w:ascii="宋体"/>
          <w:sz w:val="24"/>
        </w:rPr>
        <w:t>送排风管与二层平台结合处具有良好的密封性和隔振性，风管安装牢固，固定方式合理，与厂房外界相通处做好防水处理。送排风管更新时在排气管（消声器）周边应预留一定的空间，用于未来提升尾气处理时安放相关设备。</w:t>
      </w:r>
    </w:p>
    <w:p w14:paraId="570D2A99">
      <w:pPr>
        <w:spacing w:line="360" w:lineRule="auto"/>
        <w:ind w:firstLine="480" w:firstLineChars="200"/>
        <w:rPr>
          <w:rFonts w:ascii="宋体"/>
          <w:sz w:val="24"/>
        </w:rPr>
      </w:pPr>
      <w:r>
        <w:rPr>
          <w:rFonts w:hint="eastAsia" w:ascii="宋体"/>
          <w:sz w:val="24"/>
        </w:rPr>
        <w:t>进风道设置可拆卸式过滤网，方便清理；排风管与现场已有的排风管道连接妥当（原有排风管道可保留距屋顶约5</w:t>
      </w:r>
      <w:r>
        <w:rPr>
          <w:rFonts w:ascii="宋体"/>
          <w:sz w:val="24"/>
        </w:rPr>
        <w:t>00</w:t>
      </w:r>
      <w:r>
        <w:rPr>
          <w:rFonts w:hint="eastAsia" w:ascii="宋体"/>
          <w:sz w:val="24"/>
        </w:rPr>
        <w:t>mm左右的管壁</w:t>
      </w:r>
      <w:r>
        <w:rPr>
          <w:rFonts w:ascii="宋体"/>
          <w:sz w:val="24"/>
        </w:rPr>
        <w:t>）</w:t>
      </w:r>
      <w:r>
        <w:rPr>
          <w:rFonts w:hint="eastAsia" w:ascii="宋体"/>
          <w:sz w:val="24"/>
        </w:rPr>
        <w:t>。</w:t>
      </w:r>
    </w:p>
    <w:p w14:paraId="713B4F9E">
      <w:pPr>
        <w:spacing w:line="360" w:lineRule="auto"/>
        <w:ind w:firstLine="480" w:firstLineChars="200"/>
        <w:rPr>
          <w:rFonts w:ascii="宋体"/>
          <w:sz w:val="24"/>
        </w:rPr>
      </w:pPr>
      <w:r>
        <w:rPr>
          <w:rFonts w:ascii="宋体"/>
          <w:sz w:val="24"/>
        </w:rPr>
        <w:t>主</w:t>
      </w:r>
      <w:r>
        <w:rPr>
          <w:rFonts w:hint="eastAsia" w:ascii="宋体"/>
          <w:sz w:val="24"/>
        </w:rPr>
        <w:t>要技术</w:t>
      </w:r>
      <w:r>
        <w:rPr>
          <w:rFonts w:ascii="宋体"/>
          <w:sz w:val="24"/>
        </w:rPr>
        <w:t>参数：</w:t>
      </w:r>
    </w:p>
    <w:p w14:paraId="5FF4761C">
      <w:pPr>
        <w:numPr>
          <w:ilvl w:val="0"/>
          <w:numId w:val="13"/>
        </w:numPr>
        <w:suppressAutoHyphens w:val="0"/>
        <w:overflowPunct/>
        <w:spacing w:line="360" w:lineRule="auto"/>
        <w:ind w:hanging="49"/>
        <w:jc w:val="both"/>
        <w:rPr>
          <w:rFonts w:ascii="宋体"/>
          <w:sz w:val="24"/>
        </w:rPr>
      </w:pPr>
      <w:r>
        <w:rPr>
          <w:rFonts w:hint="eastAsia" w:ascii="宋体"/>
          <w:sz w:val="24"/>
        </w:rPr>
        <w:t>送风量：台架间约3</w:t>
      </w:r>
      <w:r>
        <w:rPr>
          <w:rFonts w:ascii="宋体"/>
          <w:sz w:val="24"/>
        </w:rPr>
        <w:t>3000m</w:t>
      </w:r>
      <w:r>
        <w:rPr>
          <w:rFonts w:ascii="宋体"/>
          <w:sz w:val="24"/>
          <w:vertAlign w:val="superscript"/>
        </w:rPr>
        <w:t>3</w:t>
      </w:r>
      <w:r>
        <w:rPr>
          <w:rFonts w:ascii="宋体"/>
          <w:sz w:val="24"/>
        </w:rPr>
        <w:t>/h，设备间</w:t>
      </w:r>
      <w:r>
        <w:rPr>
          <w:rFonts w:hint="eastAsia" w:ascii="宋体"/>
          <w:sz w:val="24"/>
        </w:rPr>
        <w:t>1</w:t>
      </w:r>
      <w:r>
        <w:rPr>
          <w:rFonts w:ascii="宋体"/>
          <w:sz w:val="24"/>
        </w:rPr>
        <w:t>4000m</w:t>
      </w:r>
      <w:r>
        <w:rPr>
          <w:rFonts w:ascii="宋体"/>
          <w:sz w:val="24"/>
          <w:vertAlign w:val="superscript"/>
        </w:rPr>
        <w:t>3</w:t>
      </w:r>
      <w:r>
        <w:rPr>
          <w:rFonts w:ascii="宋体"/>
          <w:sz w:val="24"/>
        </w:rPr>
        <w:t>/h；</w:t>
      </w:r>
    </w:p>
    <w:p w14:paraId="534B01CB">
      <w:pPr>
        <w:numPr>
          <w:ilvl w:val="0"/>
          <w:numId w:val="14"/>
        </w:numPr>
        <w:suppressAutoHyphens w:val="0"/>
        <w:overflowPunct/>
        <w:spacing w:line="360" w:lineRule="auto"/>
        <w:ind w:hanging="49"/>
        <w:jc w:val="both"/>
        <w:rPr>
          <w:rFonts w:ascii="宋体"/>
          <w:sz w:val="24"/>
        </w:rPr>
      </w:pPr>
      <w:r>
        <w:rPr>
          <w:rFonts w:ascii="宋体"/>
          <w:sz w:val="24"/>
        </w:rPr>
        <w:t>排风</w:t>
      </w:r>
      <w:r>
        <w:rPr>
          <w:rFonts w:hint="eastAsia" w:ascii="宋体"/>
          <w:sz w:val="24"/>
        </w:rPr>
        <w:t>量</w:t>
      </w:r>
      <w:r>
        <w:rPr>
          <w:rFonts w:ascii="宋体"/>
          <w:sz w:val="24"/>
        </w:rPr>
        <w:t>：</w:t>
      </w:r>
      <w:r>
        <w:rPr>
          <w:rFonts w:hint="eastAsia" w:ascii="宋体"/>
          <w:sz w:val="24"/>
        </w:rPr>
        <w:t>台架间约3</w:t>
      </w:r>
      <w:r>
        <w:rPr>
          <w:rFonts w:ascii="宋体"/>
          <w:sz w:val="24"/>
        </w:rPr>
        <w:t>5000m</w:t>
      </w:r>
      <w:r>
        <w:rPr>
          <w:rFonts w:ascii="宋体"/>
          <w:sz w:val="24"/>
          <w:vertAlign w:val="superscript"/>
        </w:rPr>
        <w:t>3</w:t>
      </w:r>
      <w:r>
        <w:rPr>
          <w:rFonts w:ascii="宋体"/>
          <w:sz w:val="24"/>
        </w:rPr>
        <w:t>/h，设备间</w:t>
      </w:r>
      <w:r>
        <w:rPr>
          <w:rFonts w:hint="eastAsia" w:ascii="宋体"/>
          <w:sz w:val="24"/>
        </w:rPr>
        <w:t>1</w:t>
      </w:r>
      <w:r>
        <w:rPr>
          <w:rFonts w:ascii="宋体"/>
          <w:sz w:val="24"/>
        </w:rPr>
        <w:t>5000m</w:t>
      </w:r>
      <w:r>
        <w:rPr>
          <w:rFonts w:ascii="宋体"/>
          <w:sz w:val="24"/>
          <w:vertAlign w:val="superscript"/>
        </w:rPr>
        <w:t>3</w:t>
      </w:r>
      <w:r>
        <w:rPr>
          <w:rFonts w:ascii="宋体"/>
          <w:sz w:val="24"/>
        </w:rPr>
        <w:t>/h；</w:t>
      </w:r>
    </w:p>
    <w:p w14:paraId="109BCD08">
      <w:pPr>
        <w:numPr>
          <w:ilvl w:val="0"/>
          <w:numId w:val="14"/>
        </w:numPr>
        <w:suppressAutoHyphens w:val="0"/>
        <w:overflowPunct/>
        <w:spacing w:line="360" w:lineRule="auto"/>
        <w:ind w:hanging="49"/>
        <w:jc w:val="both"/>
        <w:rPr>
          <w:rFonts w:ascii="宋体"/>
          <w:sz w:val="24"/>
        </w:rPr>
      </w:pPr>
      <w:r>
        <w:rPr>
          <w:rFonts w:ascii="宋体"/>
          <w:sz w:val="24"/>
        </w:rPr>
        <w:t>外部噪</w:t>
      </w:r>
      <w:r>
        <w:rPr>
          <w:rFonts w:hint="eastAsia" w:ascii="宋体"/>
          <w:sz w:val="24"/>
        </w:rPr>
        <w:t>声值</w:t>
      </w:r>
      <w:r>
        <w:rPr>
          <w:rFonts w:ascii="宋体"/>
          <w:sz w:val="24"/>
        </w:rPr>
        <w:t>：</w:t>
      </w:r>
      <w:r>
        <w:rPr>
          <w:rFonts w:hint="eastAsia" w:ascii="宋体"/>
          <w:sz w:val="24"/>
        </w:rPr>
        <w:t>≤7</w:t>
      </w:r>
      <w:r>
        <w:rPr>
          <w:rFonts w:ascii="宋体"/>
          <w:sz w:val="24"/>
        </w:rPr>
        <w:t>5dB(A)</w:t>
      </w:r>
    </w:p>
    <w:p w14:paraId="7E94180E">
      <w:pPr>
        <w:spacing w:line="360" w:lineRule="auto"/>
        <w:rPr>
          <w:rFonts w:ascii="宋体"/>
          <w:sz w:val="24"/>
        </w:rPr>
      </w:pPr>
      <w:r>
        <w:rPr>
          <w:rFonts w:hint="eastAsia" w:ascii="宋体"/>
          <w:sz w:val="24"/>
        </w:rPr>
        <w:t>1</w:t>
      </w:r>
      <w:r>
        <w:rPr>
          <w:rFonts w:ascii="宋体"/>
          <w:sz w:val="24"/>
        </w:rPr>
        <w:t>0.4台架间</w:t>
      </w:r>
      <w:r>
        <w:rPr>
          <w:rFonts w:hint="eastAsia" w:ascii="宋体"/>
          <w:sz w:val="24"/>
        </w:rPr>
        <w:t>大底板</w:t>
      </w:r>
      <w:r>
        <w:rPr>
          <w:rFonts w:ascii="宋体"/>
          <w:sz w:val="24"/>
        </w:rPr>
        <w:t>及</w:t>
      </w:r>
      <w:r>
        <w:rPr>
          <w:rFonts w:hint="eastAsia" w:ascii="宋体"/>
          <w:sz w:val="24"/>
        </w:rPr>
        <w:t>减振</w:t>
      </w:r>
    </w:p>
    <w:p w14:paraId="0A4D0C75">
      <w:pPr>
        <w:spacing w:line="360" w:lineRule="auto"/>
        <w:ind w:firstLine="480" w:firstLineChars="200"/>
        <w:rPr>
          <w:rFonts w:ascii="宋体"/>
          <w:sz w:val="24"/>
        </w:rPr>
      </w:pPr>
      <w:r>
        <w:rPr>
          <w:rFonts w:ascii="宋体"/>
          <w:sz w:val="24"/>
        </w:rPr>
        <w:t>现</w:t>
      </w:r>
      <w:r>
        <w:rPr>
          <w:rFonts w:hint="eastAsia" w:ascii="宋体"/>
          <w:sz w:val="24"/>
        </w:rPr>
        <w:t>有台架大底板利旧，其中需将</w:t>
      </w:r>
      <w:r>
        <w:rPr>
          <w:rFonts w:ascii="宋体"/>
          <w:sz w:val="24"/>
        </w:rPr>
        <w:t>22#台架大</w:t>
      </w:r>
      <w:r>
        <w:rPr>
          <w:rFonts w:hint="eastAsia" w:ascii="宋体"/>
          <w:sz w:val="24"/>
        </w:rPr>
        <w:t>底板与1</w:t>
      </w:r>
      <w:r>
        <w:rPr>
          <w:rFonts w:ascii="宋体"/>
          <w:sz w:val="24"/>
        </w:rPr>
        <w:t>4#台架互</w:t>
      </w:r>
      <w:r>
        <w:rPr>
          <w:rFonts w:hint="eastAsia" w:ascii="宋体"/>
          <w:sz w:val="24"/>
        </w:rPr>
        <w:t>换</w:t>
      </w:r>
      <w:r>
        <w:rPr>
          <w:rFonts w:ascii="宋体"/>
          <w:sz w:val="24"/>
        </w:rPr>
        <w:t>，</w:t>
      </w:r>
      <w:r>
        <w:rPr>
          <w:rFonts w:hint="eastAsia" w:ascii="宋体"/>
          <w:sz w:val="24"/>
        </w:rPr>
        <w:t>2</w:t>
      </w:r>
      <w:r>
        <w:rPr>
          <w:rFonts w:ascii="宋体"/>
          <w:sz w:val="24"/>
        </w:rPr>
        <w:t>8#台架大</w:t>
      </w:r>
      <w:r>
        <w:rPr>
          <w:rFonts w:hint="eastAsia" w:ascii="宋体"/>
          <w:sz w:val="24"/>
        </w:rPr>
        <w:t>底板</w:t>
      </w:r>
      <w:r>
        <w:rPr>
          <w:rFonts w:ascii="宋体"/>
          <w:sz w:val="24"/>
        </w:rPr>
        <w:t>与</w:t>
      </w:r>
      <w:r>
        <w:rPr>
          <w:rFonts w:hint="eastAsia" w:ascii="宋体"/>
          <w:sz w:val="24"/>
        </w:rPr>
        <w:t>1</w:t>
      </w:r>
      <w:r>
        <w:rPr>
          <w:rFonts w:ascii="宋体"/>
          <w:sz w:val="24"/>
        </w:rPr>
        <w:t>8#台架互</w:t>
      </w:r>
      <w:r>
        <w:rPr>
          <w:rFonts w:hint="eastAsia" w:ascii="宋体"/>
          <w:sz w:val="24"/>
        </w:rPr>
        <w:t>换，以保证更新后试车台架的一致性。其中2</w:t>
      </w:r>
      <w:r>
        <w:rPr>
          <w:rFonts w:ascii="宋体"/>
          <w:sz w:val="24"/>
        </w:rPr>
        <w:t>#台架另</w:t>
      </w:r>
      <w:r>
        <w:rPr>
          <w:rFonts w:hint="eastAsia" w:ascii="宋体"/>
          <w:sz w:val="24"/>
        </w:rPr>
        <w:t>有一件</w:t>
      </w:r>
      <w:r>
        <w:rPr>
          <w:rFonts w:ascii="宋体"/>
          <w:sz w:val="24"/>
        </w:rPr>
        <w:t>垫</w:t>
      </w:r>
      <w:r>
        <w:rPr>
          <w:rFonts w:hint="eastAsia" w:ascii="宋体"/>
          <w:sz w:val="24"/>
        </w:rPr>
        <w:t>高</w:t>
      </w:r>
      <w:r>
        <w:rPr>
          <w:rFonts w:ascii="宋体"/>
          <w:sz w:val="24"/>
        </w:rPr>
        <w:t>底</w:t>
      </w:r>
      <w:r>
        <w:rPr>
          <w:rFonts w:hint="eastAsia" w:ascii="宋体"/>
          <w:sz w:val="24"/>
        </w:rPr>
        <w:t>板</w:t>
      </w:r>
      <w:r>
        <w:rPr>
          <w:rFonts w:ascii="宋体"/>
          <w:sz w:val="24"/>
        </w:rPr>
        <w:t>需移</w:t>
      </w:r>
      <w:r>
        <w:rPr>
          <w:rFonts w:hint="eastAsia" w:ascii="宋体"/>
          <w:sz w:val="24"/>
        </w:rPr>
        <w:t>除</w:t>
      </w:r>
      <w:r>
        <w:rPr>
          <w:rFonts w:ascii="宋体"/>
          <w:sz w:val="24"/>
        </w:rPr>
        <w:t>。</w:t>
      </w:r>
    </w:p>
    <w:p w14:paraId="4DB14DBE">
      <w:pPr>
        <w:spacing w:line="360" w:lineRule="auto"/>
        <w:ind w:firstLine="480" w:firstLineChars="200"/>
        <w:rPr>
          <w:rFonts w:ascii="宋体"/>
          <w:sz w:val="24"/>
        </w:rPr>
      </w:pPr>
      <w:r>
        <w:rPr>
          <w:rFonts w:hint="eastAsia" w:ascii="宋体"/>
          <w:sz w:val="24"/>
        </w:rPr>
        <w:t>台架间下沉地下室立柱支撑全部更新，采用10号热镀锌槽钢；工作面铺格栅地板，网格20×20mm，厚30mm，面积约30m</w:t>
      </w:r>
      <w:r>
        <w:rPr>
          <w:rFonts w:hint="eastAsia" w:ascii="宋体"/>
          <w:sz w:val="24"/>
          <w:vertAlign w:val="superscript"/>
        </w:rPr>
        <w:t>2</w:t>
      </w:r>
      <w:r>
        <w:rPr>
          <w:rFonts w:hint="eastAsia" w:ascii="宋体"/>
          <w:sz w:val="24"/>
        </w:rPr>
        <w:t>，整体铺设稳妥，平整无翘角、无窜动。</w:t>
      </w:r>
    </w:p>
    <w:p w14:paraId="746DAB5D">
      <w:pPr>
        <w:spacing w:line="360" w:lineRule="auto"/>
        <w:ind w:firstLine="480" w:firstLineChars="200"/>
        <w:rPr>
          <w:rFonts w:ascii="宋体"/>
          <w:sz w:val="24"/>
        </w:rPr>
      </w:pPr>
      <w:r>
        <w:rPr>
          <w:rFonts w:ascii="宋体"/>
          <w:sz w:val="24"/>
        </w:rPr>
        <w:t>选</w:t>
      </w:r>
      <w:r>
        <w:rPr>
          <w:rFonts w:hint="eastAsia" w:ascii="宋体"/>
          <w:sz w:val="24"/>
        </w:rPr>
        <w:t>用</w:t>
      </w:r>
      <w:r>
        <w:rPr>
          <w:rFonts w:ascii="宋体"/>
          <w:sz w:val="24"/>
        </w:rPr>
        <w:t>AISTECH品</w:t>
      </w:r>
      <w:r>
        <w:rPr>
          <w:rFonts w:hint="eastAsia" w:ascii="宋体"/>
          <w:sz w:val="24"/>
        </w:rPr>
        <w:t>牌的</w:t>
      </w:r>
      <w:r>
        <w:t>薄膜式空气隔振单元</w:t>
      </w:r>
      <w:r>
        <w:rPr>
          <w:rFonts w:ascii="宋体"/>
          <w:sz w:val="24"/>
        </w:rPr>
        <w:t>，根据现场大</w:t>
      </w:r>
      <w:r>
        <w:rPr>
          <w:rFonts w:hint="eastAsia" w:ascii="宋体"/>
          <w:sz w:val="24"/>
        </w:rPr>
        <w:t>底板</w:t>
      </w:r>
      <w:r>
        <w:rPr>
          <w:rFonts w:ascii="宋体"/>
          <w:sz w:val="24"/>
        </w:rPr>
        <w:t>、水泥砼块的</w:t>
      </w:r>
      <w:r>
        <w:rPr>
          <w:rFonts w:hint="eastAsia" w:ascii="宋体"/>
          <w:sz w:val="24"/>
        </w:rPr>
        <w:t>情况配备</w:t>
      </w:r>
      <w:r>
        <w:rPr>
          <w:rFonts w:ascii="宋体"/>
          <w:sz w:val="24"/>
        </w:rPr>
        <w:t>数量，必</w:t>
      </w:r>
      <w:r>
        <w:rPr>
          <w:rFonts w:hint="eastAsia" w:ascii="宋体"/>
          <w:sz w:val="24"/>
        </w:rPr>
        <w:t>要时可对现有的支撑座进行改动。</w:t>
      </w:r>
      <w:r>
        <w:rPr>
          <w:rFonts w:ascii="宋体"/>
          <w:sz w:val="24"/>
        </w:rPr>
        <w:t>另需布置</w:t>
      </w:r>
      <w:r>
        <w:rPr>
          <w:rFonts w:hint="eastAsia" w:ascii="宋体"/>
          <w:sz w:val="24"/>
        </w:rPr>
        <w:t>4个硬支撑，在空气弹簧不工作时起承托作用。</w:t>
      </w:r>
    </w:p>
    <w:p w14:paraId="6F5E5F30">
      <w:pPr>
        <w:spacing w:line="360" w:lineRule="auto"/>
        <w:rPr>
          <w:rFonts w:ascii="宋体"/>
          <w:sz w:val="24"/>
        </w:rPr>
      </w:pPr>
      <w:r>
        <w:rPr>
          <w:rFonts w:ascii="宋体"/>
          <w:sz w:val="24"/>
        </w:rPr>
        <w:t>10.5台架间</w:t>
      </w:r>
      <w:r>
        <w:rPr>
          <w:rFonts w:hint="eastAsia" w:ascii="宋体"/>
          <w:sz w:val="24"/>
        </w:rPr>
        <w:t>吸声降噪</w:t>
      </w:r>
    </w:p>
    <w:p w14:paraId="1109F985">
      <w:pPr>
        <w:spacing w:line="360" w:lineRule="auto"/>
        <w:ind w:firstLine="480" w:firstLineChars="200"/>
        <w:rPr>
          <w:rFonts w:ascii="宋体"/>
          <w:sz w:val="24"/>
        </w:rPr>
      </w:pPr>
      <w:r>
        <w:rPr>
          <w:rFonts w:hint="eastAsia" w:ascii="宋体"/>
          <w:sz w:val="24"/>
        </w:rPr>
        <w:t>台架内墙面及顶面吸声板采用镀锌穿孔吸声板，厚度为2mm，孔径为6mm，穿孔率＞30%。面板表面喷塑处理，颜色为RAL9002。为增加台架间隔声量，在吸声面板与外蒙皮板之间填充欧文斯可宁吸声吸音材料（A级不燃、无有毒烟气环保型材料），容重32kg/m</w:t>
      </w:r>
      <w:r>
        <w:rPr>
          <w:rFonts w:hint="eastAsia" w:ascii="宋体"/>
          <w:sz w:val="24"/>
          <w:vertAlign w:val="superscript"/>
        </w:rPr>
        <w:t>3</w:t>
      </w:r>
      <w:r>
        <w:rPr>
          <w:rFonts w:hint="eastAsia" w:ascii="宋体"/>
          <w:sz w:val="24"/>
        </w:rPr>
        <w:t>，吸声系数为0.9，在吸声材料与内蒙皮板间铺设织物层，防止矿棉超细纤维逸出。穿孔板垂直方向拼接处用C型钢压接。C型钢平面与吸声板面齐平，便于挂墙设备的安装，满足≤200kg/m</w:t>
      </w:r>
      <w:r>
        <w:rPr>
          <w:rFonts w:hint="eastAsia" w:ascii="宋体"/>
          <w:sz w:val="24"/>
          <w:vertAlign w:val="superscript"/>
        </w:rPr>
        <w:t>2</w:t>
      </w:r>
      <w:r>
        <w:rPr>
          <w:rFonts w:hint="eastAsia" w:ascii="宋体"/>
          <w:sz w:val="24"/>
        </w:rPr>
        <w:t>挂装要面吸声结构为整体可拆卸结构。观察窗窗台底沿以下的四周墙面覆不锈钢板，便以清理。</w:t>
      </w:r>
    </w:p>
    <w:p w14:paraId="6B6F56FF">
      <w:pPr>
        <w:spacing w:line="360" w:lineRule="auto"/>
        <w:ind w:firstLine="480" w:firstLineChars="200"/>
        <w:rPr>
          <w:rFonts w:ascii="宋体"/>
          <w:sz w:val="24"/>
        </w:rPr>
      </w:pPr>
      <w:r>
        <w:rPr>
          <w:rFonts w:ascii="宋体"/>
          <w:sz w:val="24"/>
        </w:rPr>
        <w:t>双</w:t>
      </w:r>
      <w:r>
        <w:rPr>
          <w:rFonts w:hint="eastAsia" w:ascii="宋体"/>
          <w:sz w:val="24"/>
        </w:rPr>
        <w:t>层玻璃隔</w:t>
      </w:r>
      <w:r>
        <w:rPr>
          <w:rFonts w:ascii="宋体"/>
          <w:sz w:val="24"/>
        </w:rPr>
        <w:t>声观</w:t>
      </w:r>
      <w:r>
        <w:rPr>
          <w:rFonts w:hint="eastAsia" w:ascii="宋体"/>
          <w:sz w:val="24"/>
        </w:rPr>
        <w:t>察窗利旧，窗框亮新。</w:t>
      </w:r>
    </w:p>
    <w:p w14:paraId="0DAAF57B">
      <w:pPr>
        <w:spacing w:line="360" w:lineRule="auto"/>
        <w:ind w:firstLine="480" w:firstLineChars="200"/>
        <w:rPr>
          <w:rFonts w:ascii="宋体"/>
          <w:sz w:val="24"/>
        </w:rPr>
      </w:pPr>
      <w:r>
        <w:rPr>
          <w:rFonts w:ascii="宋体"/>
          <w:sz w:val="24"/>
        </w:rPr>
        <w:t>更</w:t>
      </w:r>
      <w:r>
        <w:rPr>
          <w:rFonts w:hint="eastAsia" w:ascii="宋体"/>
          <w:sz w:val="24"/>
        </w:rPr>
        <w:t>新</w:t>
      </w:r>
      <w:r>
        <w:rPr>
          <w:rFonts w:ascii="宋体"/>
          <w:sz w:val="24"/>
        </w:rPr>
        <w:t>控</w:t>
      </w:r>
      <w:r>
        <w:rPr>
          <w:rFonts w:hint="eastAsia" w:ascii="宋体"/>
          <w:sz w:val="24"/>
        </w:rPr>
        <w:t>制间与台架间（包括设备间）</w:t>
      </w:r>
      <w:r>
        <w:rPr>
          <w:rFonts w:ascii="宋体"/>
          <w:sz w:val="24"/>
        </w:rPr>
        <w:t>之间的人</w:t>
      </w:r>
      <w:r>
        <w:rPr>
          <w:rFonts w:hint="eastAsia" w:ascii="宋体"/>
          <w:sz w:val="24"/>
        </w:rPr>
        <w:t>员</w:t>
      </w:r>
      <w:r>
        <w:rPr>
          <w:rFonts w:ascii="宋体"/>
          <w:sz w:val="24"/>
        </w:rPr>
        <w:t>门，</w:t>
      </w:r>
      <w:r>
        <w:rPr>
          <w:rFonts w:hint="eastAsia" w:ascii="宋体"/>
          <w:sz w:val="24"/>
        </w:rPr>
        <w:t>门正面采用2mm厚优质冷轧板，作亚光喷漆处理；门背面为1mm 穿孔钢板，表面喷塑处理；内腔中间填充吸声离心棉，在吸声离心棉与内蒙皮板间铺设织物层，防止矿棉超细纤维逸出粘染皮肤；门周边采用成型硅橡胶密封条，保证密封及隔声。门框间采用钢质铰链，门锁采用专用门锁控制，符合消防逃生锁要求，推压即开型锁结构。配液缓闭门器，关闭时无明显撞击、摔门情况。</w:t>
      </w:r>
    </w:p>
    <w:p w14:paraId="1D1BD084">
      <w:pPr>
        <w:spacing w:line="360" w:lineRule="auto"/>
        <w:ind w:firstLine="480" w:firstLineChars="200"/>
        <w:rPr>
          <w:rFonts w:ascii="宋体"/>
          <w:sz w:val="24"/>
        </w:rPr>
      </w:pPr>
      <w:r>
        <w:rPr>
          <w:rFonts w:hint="eastAsia" w:ascii="宋体"/>
          <w:sz w:val="24"/>
        </w:rPr>
        <w:t>发动机进出的物流门利旧亮新，恢复物流门的电动（或气动）运行功能，门外、门内均设开关，且实现与台架运行时的联动（如发动机起动时对是否已关门进行关联等）。设备间的物流门不需要与台架联动。</w:t>
      </w:r>
    </w:p>
    <w:p w14:paraId="22669550">
      <w:pPr>
        <w:spacing w:line="360" w:lineRule="auto"/>
        <w:rPr>
          <w:rFonts w:ascii="宋体"/>
          <w:sz w:val="24"/>
        </w:rPr>
      </w:pPr>
      <w:r>
        <w:rPr>
          <w:rFonts w:hint="eastAsia" w:ascii="宋体"/>
          <w:sz w:val="24"/>
        </w:rPr>
        <w:t>1</w:t>
      </w:r>
      <w:r>
        <w:rPr>
          <w:rFonts w:ascii="宋体"/>
          <w:sz w:val="24"/>
        </w:rPr>
        <w:t>0.6台架间、设备间</w:t>
      </w:r>
      <w:r>
        <w:rPr>
          <w:rFonts w:hint="eastAsia" w:ascii="宋体"/>
          <w:sz w:val="24"/>
        </w:rPr>
        <w:t>配电及</w:t>
      </w:r>
      <w:r>
        <w:rPr>
          <w:rFonts w:ascii="宋体"/>
          <w:sz w:val="24"/>
        </w:rPr>
        <w:t>照明</w:t>
      </w:r>
    </w:p>
    <w:p w14:paraId="37E0F31A">
      <w:pPr>
        <w:spacing w:line="360" w:lineRule="auto"/>
        <w:ind w:firstLine="480" w:firstLineChars="200"/>
        <w:rPr>
          <w:rFonts w:ascii="宋体"/>
          <w:sz w:val="24"/>
        </w:rPr>
      </w:pPr>
      <w:r>
        <w:rPr>
          <w:rFonts w:hint="eastAsia" w:ascii="宋体"/>
          <w:sz w:val="24"/>
        </w:rPr>
        <w:t>设备间内设独立动力配电箱，具有电源过载保护，可自动切断电源并报警灯；配电箱内对风机、照明电源（含插座等）、测控系统单独分路控制。</w:t>
      </w:r>
    </w:p>
    <w:p w14:paraId="098F9618">
      <w:pPr>
        <w:spacing w:line="360" w:lineRule="auto"/>
        <w:ind w:firstLine="480" w:firstLineChars="200"/>
        <w:rPr>
          <w:rFonts w:ascii="宋体"/>
          <w:sz w:val="24"/>
        </w:rPr>
      </w:pPr>
      <w:r>
        <w:rPr>
          <w:rFonts w:hint="eastAsia" w:ascii="宋体"/>
          <w:sz w:val="24"/>
        </w:rPr>
        <w:t>设备间安装220V/16A、380V/32A插座各</w:t>
      </w:r>
      <w:r>
        <w:rPr>
          <w:rFonts w:ascii="宋体"/>
          <w:sz w:val="24"/>
        </w:rPr>
        <w:t>1</w:t>
      </w:r>
      <w:r>
        <w:rPr>
          <w:rFonts w:hint="eastAsia" w:ascii="宋体"/>
          <w:sz w:val="24"/>
        </w:rPr>
        <w:t>套，安装位置为内部左侧墙壁合理位置。</w:t>
      </w:r>
    </w:p>
    <w:p w14:paraId="74D1A7D1">
      <w:pPr>
        <w:spacing w:line="360" w:lineRule="auto"/>
        <w:ind w:firstLine="480" w:firstLineChars="200"/>
        <w:rPr>
          <w:rFonts w:ascii="宋体"/>
          <w:sz w:val="24"/>
        </w:rPr>
      </w:pPr>
      <w:r>
        <w:rPr>
          <w:rFonts w:hint="eastAsia" w:ascii="宋体"/>
          <w:sz w:val="24"/>
        </w:rPr>
        <w:t>台架间照度要求不小于500lux，防爆L</w:t>
      </w:r>
      <w:r>
        <w:rPr>
          <w:rFonts w:ascii="宋体"/>
          <w:sz w:val="24"/>
        </w:rPr>
        <w:t>ED灯</w:t>
      </w:r>
      <w:r>
        <w:rPr>
          <w:rFonts w:hint="eastAsia" w:ascii="宋体"/>
          <w:sz w:val="24"/>
        </w:rPr>
        <w:t>组</w:t>
      </w:r>
      <w:r>
        <w:rPr>
          <w:rFonts w:ascii="宋体"/>
          <w:sz w:val="24"/>
        </w:rPr>
        <w:t>，开关</w:t>
      </w:r>
      <w:r>
        <w:rPr>
          <w:rFonts w:hint="eastAsia" w:ascii="宋体"/>
          <w:sz w:val="24"/>
        </w:rPr>
        <w:t>分两组控制</w:t>
      </w:r>
      <w:r>
        <w:rPr>
          <w:rFonts w:ascii="宋体"/>
          <w:sz w:val="24"/>
        </w:rPr>
        <w:t>；</w:t>
      </w:r>
      <w:r>
        <w:rPr>
          <w:rFonts w:hint="eastAsia" w:ascii="宋体"/>
          <w:sz w:val="24"/>
        </w:rPr>
        <w:t>设备间照度要求不小于250lux，L</w:t>
      </w:r>
      <w:r>
        <w:rPr>
          <w:rFonts w:ascii="宋体"/>
          <w:sz w:val="24"/>
        </w:rPr>
        <w:t>ED灯</w:t>
      </w:r>
      <w:r>
        <w:rPr>
          <w:rFonts w:hint="eastAsia" w:ascii="宋体"/>
          <w:sz w:val="24"/>
        </w:rPr>
        <w:t>组</w:t>
      </w:r>
      <w:r>
        <w:rPr>
          <w:rFonts w:ascii="宋体"/>
          <w:sz w:val="24"/>
        </w:rPr>
        <w:t>，开关</w:t>
      </w:r>
      <w:r>
        <w:rPr>
          <w:rFonts w:hint="eastAsia" w:ascii="宋体"/>
          <w:sz w:val="24"/>
        </w:rPr>
        <w:t>分两</w:t>
      </w:r>
      <w:r>
        <w:rPr>
          <w:rFonts w:ascii="宋体"/>
          <w:sz w:val="24"/>
        </w:rPr>
        <w:t>组</w:t>
      </w:r>
      <w:r>
        <w:rPr>
          <w:rFonts w:hint="eastAsia" w:ascii="宋体"/>
          <w:sz w:val="24"/>
        </w:rPr>
        <w:t>控制。</w:t>
      </w:r>
    </w:p>
    <w:p w14:paraId="0AB3E51D">
      <w:pPr>
        <w:spacing w:line="360" w:lineRule="auto"/>
        <w:rPr>
          <w:rFonts w:ascii="宋体"/>
          <w:sz w:val="24"/>
        </w:rPr>
      </w:pPr>
      <w:r>
        <w:rPr>
          <w:rFonts w:hint="eastAsia" w:ascii="宋体"/>
          <w:sz w:val="24"/>
        </w:rPr>
        <w:t>1</w:t>
      </w:r>
      <w:r>
        <w:rPr>
          <w:rFonts w:ascii="宋体"/>
          <w:sz w:val="24"/>
        </w:rPr>
        <w:t>0.7台架管</w:t>
      </w:r>
      <w:r>
        <w:rPr>
          <w:rFonts w:hint="eastAsia" w:ascii="宋体"/>
          <w:sz w:val="24"/>
        </w:rPr>
        <w:t>路</w:t>
      </w:r>
      <w:r>
        <w:rPr>
          <w:rFonts w:ascii="宋体"/>
          <w:sz w:val="24"/>
        </w:rPr>
        <w:t>管</w:t>
      </w:r>
      <w:r>
        <w:rPr>
          <w:rFonts w:hint="eastAsia" w:ascii="宋体"/>
          <w:sz w:val="24"/>
        </w:rPr>
        <w:t>线安装</w:t>
      </w:r>
    </w:p>
    <w:p w14:paraId="7DE55763">
      <w:pPr>
        <w:spacing w:line="360" w:lineRule="auto"/>
        <w:ind w:firstLine="480" w:firstLineChars="200"/>
        <w:rPr>
          <w:rFonts w:ascii="Tahoma" w:hAnsi="Tahoma" w:cs="Tahoma"/>
          <w:sz w:val="24"/>
        </w:rPr>
      </w:pPr>
      <w:r>
        <w:rPr>
          <w:rFonts w:ascii="宋体"/>
          <w:sz w:val="24"/>
        </w:rPr>
        <w:t>台架供</w:t>
      </w:r>
      <w:r>
        <w:rPr>
          <w:rFonts w:hint="eastAsia" w:ascii="宋体"/>
          <w:sz w:val="24"/>
        </w:rPr>
        <w:t>水</w:t>
      </w:r>
      <w:r>
        <w:rPr>
          <w:rFonts w:ascii="宋体"/>
          <w:sz w:val="24"/>
        </w:rPr>
        <w:t>有一</w:t>
      </w:r>
      <w:r>
        <w:rPr>
          <w:rFonts w:hint="eastAsia" w:ascii="宋体"/>
          <w:sz w:val="24"/>
        </w:rPr>
        <w:t>级冷却水（用于冷却发动机防冻液）</w:t>
      </w:r>
      <w:r>
        <w:rPr>
          <w:rFonts w:ascii="宋体"/>
          <w:sz w:val="24"/>
        </w:rPr>
        <w:t>、</w:t>
      </w:r>
      <w:r>
        <w:rPr>
          <w:rFonts w:ascii="Tahoma" w:hAnsi="Tahoma" w:cs="Tahoma"/>
          <w:sz w:val="24"/>
        </w:rPr>
        <w:t>﻿二</w:t>
      </w:r>
      <w:r>
        <w:rPr>
          <w:rFonts w:hint="eastAsia" w:ascii="Tahoma" w:hAnsi="Tahoma" w:cs="Tahoma"/>
          <w:sz w:val="24"/>
        </w:rPr>
        <w:t>级</w:t>
      </w:r>
      <w:r>
        <w:rPr>
          <w:rFonts w:ascii="Tahoma" w:hAnsi="Tahoma" w:cs="Tahoma"/>
          <w:sz w:val="24"/>
        </w:rPr>
        <w:t>冷</w:t>
      </w:r>
      <w:r>
        <w:rPr>
          <w:rFonts w:hint="eastAsia" w:ascii="Tahoma" w:hAnsi="Tahoma" w:cs="Tahoma"/>
          <w:sz w:val="24"/>
        </w:rPr>
        <w:t>却水（用于发动机中冷）</w:t>
      </w:r>
      <w:r>
        <w:rPr>
          <w:rFonts w:ascii="Tahoma" w:hAnsi="Tahoma" w:cs="Tahoma"/>
          <w:sz w:val="24"/>
        </w:rPr>
        <w:t>、冷冻</w:t>
      </w:r>
      <w:r>
        <w:rPr>
          <w:rFonts w:hint="eastAsia" w:ascii="Tahoma" w:hAnsi="Tahoma" w:cs="Tahoma"/>
          <w:sz w:val="24"/>
        </w:rPr>
        <w:t>水</w:t>
      </w:r>
      <w:r>
        <w:rPr>
          <w:rFonts w:ascii="Tahoma" w:hAnsi="Tahoma" w:cs="Tahoma"/>
          <w:sz w:val="24"/>
        </w:rPr>
        <w:t>（用</w:t>
      </w:r>
      <w:r>
        <w:rPr>
          <w:rFonts w:hint="eastAsia" w:ascii="Tahoma" w:hAnsi="Tahoma" w:cs="Tahoma"/>
          <w:sz w:val="24"/>
        </w:rPr>
        <w:t>于柴油冷却</w:t>
      </w:r>
      <w:r>
        <w:rPr>
          <w:rFonts w:ascii="Tahoma" w:hAnsi="Tahoma" w:cs="Tahoma"/>
          <w:sz w:val="24"/>
        </w:rPr>
        <w:t>），均</w:t>
      </w:r>
      <w:r>
        <w:rPr>
          <w:rFonts w:hint="eastAsia" w:ascii="Tahoma" w:hAnsi="Tahoma" w:cs="Tahoma"/>
          <w:sz w:val="24"/>
        </w:rPr>
        <w:t>已接入</w:t>
      </w:r>
      <w:r>
        <w:rPr>
          <w:rFonts w:ascii="Tahoma" w:hAnsi="Tahoma" w:cs="Tahoma"/>
          <w:sz w:val="24"/>
        </w:rPr>
        <w:t>台架，台架内</w:t>
      </w:r>
      <w:r>
        <w:rPr>
          <w:rFonts w:hint="eastAsia" w:ascii="Tahoma" w:hAnsi="Tahoma" w:cs="Tahoma"/>
          <w:sz w:val="24"/>
        </w:rPr>
        <w:t>的</w:t>
      </w:r>
      <w:r>
        <w:rPr>
          <w:rFonts w:ascii="Tahoma" w:hAnsi="Tahoma" w:cs="Tahoma"/>
          <w:sz w:val="24"/>
        </w:rPr>
        <w:t>管路阀</w:t>
      </w:r>
      <w:r>
        <w:rPr>
          <w:rFonts w:hint="eastAsia" w:ascii="Tahoma" w:hAnsi="Tahoma" w:cs="Tahoma"/>
          <w:sz w:val="24"/>
        </w:rPr>
        <w:t>门</w:t>
      </w:r>
      <w:r>
        <w:rPr>
          <w:rFonts w:ascii="Tahoma" w:hAnsi="Tahoma" w:cs="Tahoma"/>
          <w:sz w:val="24"/>
        </w:rPr>
        <w:t>全部</w:t>
      </w:r>
      <w:r>
        <w:rPr>
          <w:rFonts w:hint="eastAsia" w:ascii="Tahoma" w:hAnsi="Tahoma" w:cs="Tahoma"/>
          <w:sz w:val="24"/>
        </w:rPr>
        <w:t>换新，冷冻水管路需保温处理</w:t>
      </w:r>
      <w:r>
        <w:rPr>
          <w:rFonts w:ascii="Tahoma" w:hAnsi="Tahoma" w:cs="Tahoma"/>
          <w:sz w:val="24"/>
        </w:rPr>
        <w:t>。</w:t>
      </w:r>
    </w:p>
    <w:p w14:paraId="468BD53C">
      <w:pPr>
        <w:spacing w:line="360" w:lineRule="auto"/>
        <w:ind w:firstLine="480" w:firstLineChars="200"/>
        <w:rPr>
          <w:rFonts w:ascii="Tahoma" w:hAnsi="Tahoma" w:cs="Tahoma"/>
          <w:sz w:val="24"/>
        </w:rPr>
      </w:pPr>
      <w:r>
        <w:rPr>
          <w:rFonts w:ascii="Tahoma" w:hAnsi="Tahoma" w:cs="Tahoma"/>
          <w:sz w:val="24"/>
        </w:rPr>
        <w:t>增</w:t>
      </w:r>
      <w:r>
        <w:rPr>
          <w:rFonts w:hint="eastAsia" w:ascii="Tahoma" w:hAnsi="Tahoma" w:cs="Tahoma"/>
          <w:sz w:val="24"/>
        </w:rPr>
        <w:t>程器台架的电机和控制器恒温装置使用二级冷却水作为冷却介</w:t>
      </w:r>
      <w:r>
        <w:rPr>
          <w:rFonts w:ascii="Tahoma" w:hAnsi="Tahoma" w:cs="Tahoma"/>
          <w:sz w:val="24"/>
        </w:rPr>
        <w:t>质。</w:t>
      </w:r>
    </w:p>
    <w:p w14:paraId="3F9BA172">
      <w:pPr>
        <w:spacing w:line="360" w:lineRule="auto"/>
        <w:ind w:firstLine="480" w:firstLineChars="200"/>
        <w:rPr>
          <w:rFonts w:ascii="Tahoma" w:hAnsi="Tahoma" w:cs="Tahoma"/>
          <w:sz w:val="24"/>
        </w:rPr>
      </w:pPr>
      <w:r>
        <w:rPr>
          <w:rFonts w:ascii="Tahoma" w:hAnsi="Tahoma" w:cs="Tahoma"/>
          <w:sz w:val="24"/>
        </w:rPr>
        <w:t>台</w:t>
      </w:r>
      <w:r>
        <w:rPr>
          <w:rFonts w:hint="eastAsia" w:ascii="Tahoma" w:hAnsi="Tahoma" w:cs="Tahoma"/>
          <w:sz w:val="24"/>
        </w:rPr>
        <w:t>架回水均接入</w:t>
      </w:r>
      <w:r>
        <w:rPr>
          <w:rFonts w:ascii="Tahoma" w:hAnsi="Tahoma" w:cs="Tahoma"/>
          <w:sz w:val="24"/>
        </w:rPr>
        <w:t>台架有</w:t>
      </w:r>
      <w:r>
        <w:rPr>
          <w:rFonts w:hint="eastAsia" w:ascii="Tahoma" w:hAnsi="Tahoma" w:cs="Tahoma"/>
          <w:sz w:val="24"/>
        </w:rPr>
        <w:t>压回水管</w:t>
      </w:r>
      <w:r>
        <w:rPr>
          <w:rFonts w:ascii="Tahoma" w:hAnsi="Tahoma" w:cs="Tahoma"/>
          <w:sz w:val="24"/>
        </w:rPr>
        <w:t>。洒落的污</w:t>
      </w:r>
      <w:r>
        <w:rPr>
          <w:rFonts w:hint="eastAsia" w:ascii="Tahoma" w:hAnsi="Tahoma" w:cs="Tahoma"/>
          <w:sz w:val="24"/>
        </w:rPr>
        <w:t>水</w:t>
      </w:r>
      <w:r>
        <w:rPr>
          <w:rFonts w:ascii="Tahoma" w:hAnsi="Tahoma" w:cs="Tahoma"/>
          <w:sz w:val="24"/>
        </w:rPr>
        <w:t>由</w:t>
      </w:r>
      <w:r>
        <w:rPr>
          <w:rFonts w:hint="eastAsia" w:ascii="Tahoma" w:hAnsi="Tahoma" w:cs="Tahoma"/>
          <w:sz w:val="24"/>
        </w:rPr>
        <w:t>台架下沉室的排污口排出。</w:t>
      </w:r>
    </w:p>
    <w:p w14:paraId="1A7F6095">
      <w:pPr>
        <w:spacing w:line="360" w:lineRule="auto"/>
        <w:ind w:firstLine="480" w:firstLineChars="200"/>
        <w:rPr>
          <w:rFonts w:ascii="Tahoma" w:hAnsi="Tahoma" w:cs="Tahoma"/>
          <w:sz w:val="24"/>
        </w:rPr>
      </w:pPr>
      <w:r>
        <w:rPr>
          <w:rFonts w:ascii="Tahoma" w:hAnsi="Tahoma" w:cs="Tahoma"/>
          <w:sz w:val="24"/>
        </w:rPr>
        <w:t>所</w:t>
      </w:r>
      <w:r>
        <w:rPr>
          <w:rFonts w:hint="eastAsia" w:ascii="Tahoma" w:hAnsi="Tahoma" w:cs="Tahoma"/>
          <w:sz w:val="24"/>
        </w:rPr>
        <w:t>有管路（包括压缩空气、柴油等）应按招标方的颜色要求刷漆，所有管路上贴有防水指示性标签，注明介质类别及流动方向。</w:t>
      </w:r>
    </w:p>
    <w:p w14:paraId="12CB7F5A">
      <w:pPr>
        <w:spacing w:line="360" w:lineRule="auto"/>
        <w:rPr>
          <w:rFonts w:ascii="宋体"/>
          <w:sz w:val="24"/>
        </w:rPr>
      </w:pPr>
      <w:r>
        <w:rPr>
          <w:rFonts w:hint="eastAsia" w:ascii="宋体"/>
          <w:sz w:val="24"/>
        </w:rPr>
        <w:t>1</w:t>
      </w:r>
      <w:r>
        <w:rPr>
          <w:rFonts w:ascii="宋体"/>
          <w:sz w:val="24"/>
        </w:rPr>
        <w:t>0.8视频</w:t>
      </w:r>
      <w:r>
        <w:rPr>
          <w:rFonts w:hint="eastAsia" w:ascii="宋体"/>
          <w:sz w:val="24"/>
        </w:rPr>
        <w:t>监控</w:t>
      </w:r>
    </w:p>
    <w:p w14:paraId="14BF6BC9">
      <w:pPr>
        <w:spacing w:line="360" w:lineRule="auto"/>
        <w:ind w:firstLine="480" w:firstLineChars="200"/>
        <w:rPr>
          <w:rFonts w:ascii="宋体"/>
          <w:sz w:val="24"/>
        </w:rPr>
      </w:pPr>
      <w:r>
        <w:rPr>
          <w:rFonts w:ascii="宋体"/>
          <w:sz w:val="24"/>
        </w:rPr>
        <w:t>每</w:t>
      </w:r>
      <w:r>
        <w:rPr>
          <w:rFonts w:hint="eastAsia" w:ascii="宋体"/>
          <w:sz w:val="24"/>
        </w:rPr>
        <w:t>个台架间和设备间各</w:t>
      </w:r>
      <w:r>
        <w:rPr>
          <w:rFonts w:ascii="宋体"/>
          <w:sz w:val="24"/>
        </w:rPr>
        <w:t>配</w:t>
      </w:r>
      <w:r>
        <w:rPr>
          <w:rFonts w:hint="eastAsia" w:ascii="宋体"/>
          <w:sz w:val="24"/>
        </w:rPr>
        <w:t>置两个海康威视（4</w:t>
      </w:r>
      <w:r>
        <w:rPr>
          <w:rFonts w:ascii="宋体"/>
          <w:sz w:val="24"/>
        </w:rPr>
        <w:t>00万</w:t>
      </w:r>
      <w:r>
        <w:rPr>
          <w:rFonts w:hint="eastAsia" w:ascii="宋体"/>
          <w:sz w:val="24"/>
        </w:rPr>
        <w:t>像</w:t>
      </w:r>
      <w:r>
        <w:rPr>
          <w:rFonts w:ascii="宋体"/>
          <w:sz w:val="24"/>
        </w:rPr>
        <w:t>素，红</w:t>
      </w:r>
      <w:r>
        <w:rPr>
          <w:rFonts w:hint="eastAsia" w:ascii="宋体"/>
          <w:sz w:val="24"/>
        </w:rPr>
        <w:t>外广角2</w:t>
      </w:r>
      <w:r>
        <w:rPr>
          <w:rFonts w:ascii="宋体"/>
          <w:sz w:val="24"/>
        </w:rPr>
        <w:t>.8mm</w:t>
      </w:r>
      <w:r>
        <w:rPr>
          <w:rFonts w:hint="eastAsia" w:ascii="宋体"/>
          <w:sz w:val="24"/>
        </w:rPr>
        <w:t>）高清摄像头。台架间配海康威视监控主机（硬盘容量4</w:t>
      </w:r>
      <w:r>
        <w:rPr>
          <w:rFonts w:ascii="宋体"/>
          <w:sz w:val="24"/>
        </w:rPr>
        <w:t>T，有</w:t>
      </w:r>
      <w:r>
        <w:rPr>
          <w:rFonts w:hint="eastAsia" w:ascii="宋体"/>
          <w:sz w:val="24"/>
        </w:rPr>
        <w:t>线</w:t>
      </w:r>
      <w:r>
        <w:rPr>
          <w:rFonts w:ascii="宋体"/>
          <w:sz w:val="24"/>
        </w:rPr>
        <w:t>鼠</w:t>
      </w:r>
      <w:r>
        <w:rPr>
          <w:rFonts w:hint="eastAsia" w:ascii="宋体"/>
          <w:sz w:val="24"/>
        </w:rPr>
        <w:t>标</w:t>
      </w:r>
      <w:r>
        <w:rPr>
          <w:rFonts w:ascii="宋体"/>
          <w:sz w:val="24"/>
        </w:rPr>
        <w:t>）。</w:t>
      </w:r>
    </w:p>
    <w:p w14:paraId="3B21F601">
      <w:pPr>
        <w:spacing w:line="360" w:lineRule="auto"/>
        <w:ind w:firstLine="480" w:firstLineChars="200"/>
        <w:rPr>
          <w:rFonts w:ascii="宋体"/>
          <w:sz w:val="24"/>
        </w:rPr>
      </w:pPr>
      <w:r>
        <w:rPr>
          <w:rFonts w:hint="eastAsia" w:ascii="宋体"/>
          <w:sz w:val="24"/>
        </w:rPr>
        <w:t>设备间的视频信号分别接入两侧台架的监控主机，不单配监控主机。每套主机配华为8口P</w:t>
      </w:r>
      <w:r>
        <w:rPr>
          <w:rFonts w:ascii="宋体"/>
          <w:sz w:val="24"/>
        </w:rPr>
        <w:t>OE网</w:t>
      </w:r>
      <w:r>
        <w:rPr>
          <w:rFonts w:hint="eastAsia" w:ascii="宋体"/>
          <w:sz w:val="24"/>
        </w:rPr>
        <w:t>络交换机，另通过一根光纤或超6类屏蔽网线与招标方交换机相连。招标方交换机位于4</w:t>
      </w:r>
      <w:r>
        <w:rPr>
          <w:rFonts w:ascii="宋体"/>
          <w:sz w:val="24"/>
        </w:rPr>
        <w:t>#台架控</w:t>
      </w:r>
      <w:r>
        <w:rPr>
          <w:rFonts w:hint="eastAsia" w:ascii="宋体"/>
          <w:sz w:val="24"/>
        </w:rPr>
        <w:t>制间处</w:t>
      </w:r>
      <w:r>
        <w:rPr>
          <w:rFonts w:ascii="宋体"/>
          <w:sz w:val="24"/>
        </w:rPr>
        <w:t>。</w:t>
      </w:r>
    </w:p>
    <w:p w14:paraId="75EE3415">
      <w:pPr>
        <w:spacing w:line="360" w:lineRule="auto"/>
        <w:ind w:firstLine="480" w:firstLineChars="200"/>
        <w:rPr>
          <w:rFonts w:ascii="宋体"/>
          <w:sz w:val="24"/>
        </w:rPr>
      </w:pPr>
      <w:r>
        <w:rPr>
          <w:rFonts w:ascii="宋体"/>
          <w:sz w:val="24"/>
        </w:rPr>
        <w:t>配备</w:t>
      </w:r>
      <w:r>
        <w:rPr>
          <w:rFonts w:hint="eastAsia" w:ascii="宋体"/>
          <w:sz w:val="24"/>
        </w:rPr>
        <w:t>与测控系统两台</w:t>
      </w:r>
      <w:r>
        <w:rPr>
          <w:rFonts w:ascii="宋体"/>
          <w:sz w:val="24"/>
        </w:rPr>
        <w:t>显示</w:t>
      </w:r>
      <w:r>
        <w:rPr>
          <w:rFonts w:hint="eastAsia" w:ascii="宋体"/>
          <w:sz w:val="24"/>
        </w:rPr>
        <w:t>器</w:t>
      </w:r>
      <w:r>
        <w:rPr>
          <w:rFonts w:ascii="宋体"/>
          <w:sz w:val="24"/>
        </w:rPr>
        <w:t>相同型</w:t>
      </w:r>
      <w:r>
        <w:rPr>
          <w:rFonts w:hint="eastAsia" w:ascii="宋体"/>
          <w:sz w:val="24"/>
        </w:rPr>
        <w:t>号的显示器一台。三台显示器其中两台采用立柱式安装，上方一台为监控显示器，下方一台为测控系统扩展屏显示器，另一台测控系统主屏显示器直接摆放于操作台。</w:t>
      </w:r>
    </w:p>
    <w:p w14:paraId="155C9DF8">
      <w:pPr>
        <w:spacing w:line="360" w:lineRule="auto"/>
        <w:ind w:firstLine="480" w:firstLineChars="200"/>
        <w:rPr>
          <w:rFonts w:ascii="宋体"/>
          <w:sz w:val="24"/>
        </w:rPr>
      </w:pPr>
    </w:p>
    <w:p w14:paraId="72D9A5C7">
      <w:pPr>
        <w:spacing w:line="360" w:lineRule="auto"/>
        <w:rPr>
          <w:rFonts w:ascii="宋体"/>
          <w:b/>
          <w:sz w:val="24"/>
        </w:rPr>
      </w:pPr>
      <w:r>
        <w:rPr>
          <w:rFonts w:hint="eastAsia" w:ascii="宋体"/>
          <w:b/>
          <w:sz w:val="24"/>
        </w:rPr>
        <w:t>1</w:t>
      </w:r>
      <w:r>
        <w:rPr>
          <w:rFonts w:ascii="宋体"/>
          <w:b/>
          <w:sz w:val="24"/>
        </w:rPr>
        <w:t>1.数据</w:t>
      </w:r>
      <w:r>
        <w:rPr>
          <w:rFonts w:hint="eastAsia" w:ascii="宋体"/>
          <w:b/>
          <w:sz w:val="24"/>
        </w:rPr>
        <w:t>管理系统</w:t>
      </w:r>
    </w:p>
    <w:p w14:paraId="359301BE">
      <w:pPr>
        <w:spacing w:line="360" w:lineRule="auto"/>
        <w:rPr>
          <w:rFonts w:ascii="宋体"/>
          <w:sz w:val="24"/>
        </w:rPr>
      </w:pPr>
      <w:r>
        <w:rPr>
          <w:rFonts w:hint="eastAsia" w:ascii="宋体"/>
          <w:sz w:val="24"/>
        </w:rPr>
        <w:t>1</w:t>
      </w:r>
      <w:r>
        <w:rPr>
          <w:rFonts w:ascii="宋体"/>
          <w:sz w:val="24"/>
        </w:rPr>
        <w:t>1.1数据</w:t>
      </w:r>
      <w:r>
        <w:rPr>
          <w:rFonts w:hint="eastAsia" w:ascii="宋体"/>
          <w:sz w:val="24"/>
        </w:rPr>
        <w:t>管理系统可实现发动机试验数据的保存、查询和报表输出以及试验前台数的定义等。</w:t>
      </w:r>
    </w:p>
    <w:p w14:paraId="340A7EBC">
      <w:pPr>
        <w:spacing w:line="360" w:lineRule="auto"/>
        <w:rPr>
          <w:rFonts w:ascii="宋体"/>
          <w:sz w:val="24"/>
        </w:rPr>
      </w:pPr>
      <w:r>
        <w:rPr>
          <w:rFonts w:hint="eastAsia" w:ascii="宋体"/>
          <w:sz w:val="24"/>
        </w:rPr>
        <w:t>1</w:t>
      </w:r>
      <w:r>
        <w:rPr>
          <w:rFonts w:ascii="宋体"/>
          <w:sz w:val="24"/>
        </w:rPr>
        <w:t>1.2系统</w:t>
      </w:r>
      <w:r>
        <w:rPr>
          <w:rFonts w:hint="eastAsia" w:ascii="宋体"/>
          <w:sz w:val="24"/>
        </w:rPr>
        <w:t>配备联想服务器一台，布置于招标方现场的中控室内（见图1，位于1</w:t>
      </w:r>
      <w:r>
        <w:rPr>
          <w:rFonts w:ascii="宋体"/>
          <w:sz w:val="24"/>
        </w:rPr>
        <w:t>#台架右侧</w:t>
      </w:r>
      <w:r>
        <w:rPr>
          <w:rFonts w:hint="eastAsia" w:ascii="宋体"/>
          <w:sz w:val="24"/>
        </w:rPr>
        <w:t>）。要求C</w:t>
      </w:r>
      <w:r>
        <w:rPr>
          <w:rFonts w:ascii="宋体"/>
          <w:sz w:val="24"/>
        </w:rPr>
        <w:t>PU为</w:t>
      </w:r>
      <w:r>
        <w:rPr>
          <w:rFonts w:hint="eastAsia" w:ascii="宋体"/>
          <w:sz w:val="24"/>
        </w:rPr>
        <w:t>I</w:t>
      </w:r>
      <w:r>
        <w:rPr>
          <w:rFonts w:ascii="宋体"/>
          <w:sz w:val="24"/>
        </w:rPr>
        <w:t>ntel i7以</w:t>
      </w:r>
      <w:r>
        <w:rPr>
          <w:rFonts w:hint="eastAsia" w:ascii="宋体"/>
          <w:sz w:val="24"/>
        </w:rPr>
        <w:t>上</w:t>
      </w:r>
      <w:r>
        <w:rPr>
          <w:rFonts w:ascii="宋体"/>
          <w:sz w:val="24"/>
        </w:rPr>
        <w:t>，内存</w:t>
      </w:r>
      <w:r>
        <w:rPr>
          <w:rFonts w:hint="eastAsia" w:ascii="宋体"/>
          <w:sz w:val="24"/>
        </w:rPr>
        <w:t>1</w:t>
      </w:r>
      <w:r>
        <w:rPr>
          <w:rFonts w:ascii="宋体"/>
          <w:sz w:val="24"/>
        </w:rPr>
        <w:t>28G，硬</w:t>
      </w:r>
      <w:r>
        <w:rPr>
          <w:rFonts w:hint="eastAsia" w:ascii="宋体"/>
          <w:sz w:val="24"/>
        </w:rPr>
        <w:t>盘不小于</w:t>
      </w:r>
      <w:r>
        <w:rPr>
          <w:rFonts w:ascii="宋体"/>
          <w:sz w:val="24"/>
        </w:rPr>
        <w:t>4TB（做</w:t>
      </w:r>
      <w:r>
        <w:t>RAID 1阵列）</w:t>
      </w:r>
      <w:r>
        <w:rPr>
          <w:rFonts w:ascii="宋体"/>
          <w:sz w:val="24"/>
        </w:rPr>
        <w:t>，配备</w:t>
      </w:r>
      <w:r>
        <w:rPr>
          <w:rFonts w:hint="eastAsia" w:ascii="宋体"/>
          <w:sz w:val="24"/>
        </w:rPr>
        <w:t>有线键盘</w:t>
      </w:r>
      <w:r>
        <w:rPr>
          <w:rFonts w:ascii="宋体"/>
          <w:sz w:val="24"/>
        </w:rPr>
        <w:t>、有</w:t>
      </w:r>
      <w:r>
        <w:rPr>
          <w:rFonts w:hint="eastAsia" w:ascii="宋体"/>
          <w:sz w:val="24"/>
        </w:rPr>
        <w:t>线</w:t>
      </w:r>
      <w:r>
        <w:rPr>
          <w:rFonts w:ascii="宋体"/>
          <w:sz w:val="24"/>
        </w:rPr>
        <w:t>鼠</w:t>
      </w:r>
      <w:r>
        <w:rPr>
          <w:rFonts w:hint="eastAsia" w:ascii="宋体"/>
          <w:sz w:val="24"/>
        </w:rPr>
        <w:t>标</w:t>
      </w:r>
      <w:r>
        <w:rPr>
          <w:rFonts w:ascii="宋体"/>
          <w:sz w:val="24"/>
        </w:rPr>
        <w:t>，双</w:t>
      </w:r>
      <w:r>
        <w:rPr>
          <w:rFonts w:hint="eastAsia" w:ascii="宋体"/>
          <w:sz w:val="24"/>
        </w:rPr>
        <w:t>千</w:t>
      </w:r>
      <w:r>
        <w:rPr>
          <w:rFonts w:ascii="宋体"/>
          <w:sz w:val="24"/>
        </w:rPr>
        <w:t>兆</w:t>
      </w:r>
      <w:r>
        <w:rPr>
          <w:rFonts w:hint="eastAsia" w:ascii="宋体"/>
          <w:sz w:val="24"/>
        </w:rPr>
        <w:t>网</w:t>
      </w:r>
      <w:r>
        <w:rPr>
          <w:rFonts w:ascii="宋体"/>
          <w:sz w:val="24"/>
        </w:rPr>
        <w:t>卡，</w:t>
      </w:r>
      <w:r>
        <w:rPr>
          <w:rFonts w:hint="eastAsia" w:ascii="宋体"/>
          <w:sz w:val="24"/>
        </w:rPr>
        <w:t>2</w:t>
      </w:r>
      <w:r>
        <w:rPr>
          <w:rFonts w:ascii="宋体"/>
          <w:sz w:val="24"/>
        </w:rPr>
        <w:t>4吋液</w:t>
      </w:r>
      <w:r>
        <w:rPr>
          <w:rFonts w:hint="eastAsia" w:ascii="宋体"/>
          <w:sz w:val="24"/>
        </w:rPr>
        <w:t>晶显示器</w:t>
      </w:r>
      <w:r>
        <w:rPr>
          <w:rFonts w:ascii="宋体"/>
          <w:sz w:val="24"/>
        </w:rPr>
        <w:t>，独</w:t>
      </w:r>
      <w:r>
        <w:rPr>
          <w:rFonts w:hint="eastAsia" w:ascii="宋体"/>
          <w:sz w:val="24"/>
        </w:rPr>
        <w:t>立机柜</w:t>
      </w:r>
      <w:r>
        <w:rPr>
          <w:rFonts w:ascii="宋体"/>
          <w:sz w:val="24"/>
        </w:rPr>
        <w:t>，</w:t>
      </w:r>
      <w:r>
        <w:rPr>
          <w:rFonts w:hint="eastAsia" w:ascii="宋体"/>
          <w:sz w:val="24"/>
        </w:rPr>
        <w:t>4</w:t>
      </w:r>
      <w:r>
        <w:rPr>
          <w:rFonts w:ascii="宋体"/>
          <w:sz w:val="24"/>
        </w:rPr>
        <w:t>8口</w:t>
      </w:r>
      <w:r>
        <w:rPr>
          <w:rFonts w:hint="eastAsia" w:ascii="宋体"/>
          <w:sz w:val="24"/>
        </w:rPr>
        <w:t>华为三层交换机</w:t>
      </w:r>
      <w:r>
        <w:rPr>
          <w:rFonts w:ascii="宋体"/>
          <w:sz w:val="24"/>
        </w:rPr>
        <w:t>，</w:t>
      </w:r>
      <w:r>
        <w:rPr>
          <w:rFonts w:hint="eastAsia" w:ascii="宋体"/>
          <w:sz w:val="24"/>
        </w:rPr>
        <w:t>惠普1</w:t>
      </w:r>
      <w:r>
        <w:rPr>
          <w:rFonts w:ascii="宋体"/>
          <w:sz w:val="24"/>
        </w:rPr>
        <w:t>108激光</w:t>
      </w:r>
      <w:r>
        <w:rPr>
          <w:rFonts w:hint="eastAsia" w:ascii="宋体"/>
          <w:sz w:val="24"/>
        </w:rPr>
        <w:t>打印机</w:t>
      </w:r>
      <w:r>
        <w:rPr>
          <w:rFonts w:ascii="宋体"/>
          <w:sz w:val="24"/>
        </w:rPr>
        <w:t>，配</w:t>
      </w:r>
      <w:r>
        <w:rPr>
          <w:rFonts w:hint="eastAsia" w:ascii="宋体"/>
          <w:sz w:val="24"/>
        </w:rPr>
        <w:t>1</w:t>
      </w:r>
      <w:r>
        <w:rPr>
          <w:rFonts w:ascii="宋体"/>
          <w:sz w:val="24"/>
        </w:rPr>
        <w:t>000VA后</w:t>
      </w:r>
      <w:r>
        <w:rPr>
          <w:rFonts w:hint="eastAsia" w:ascii="宋体"/>
          <w:sz w:val="24"/>
        </w:rPr>
        <w:t>备电源</w:t>
      </w:r>
      <w:r>
        <w:rPr>
          <w:rFonts w:ascii="宋体"/>
          <w:sz w:val="24"/>
        </w:rPr>
        <w:t>。台</w:t>
      </w:r>
      <w:r>
        <w:rPr>
          <w:rFonts w:hint="eastAsia" w:ascii="宋体"/>
          <w:sz w:val="24"/>
        </w:rPr>
        <w:t>架与服务器之间的网线均采用超</w:t>
      </w:r>
      <w:r>
        <w:rPr>
          <w:rFonts w:ascii="宋体"/>
          <w:sz w:val="24"/>
        </w:rPr>
        <w:t>6</w:t>
      </w:r>
      <w:r>
        <w:rPr>
          <w:rFonts w:hint="eastAsia" w:ascii="宋体"/>
          <w:sz w:val="24"/>
        </w:rPr>
        <w:t>类屏</w:t>
      </w:r>
      <w:r>
        <w:rPr>
          <w:rFonts w:ascii="宋体"/>
          <w:sz w:val="24"/>
        </w:rPr>
        <w:t>蔽</w:t>
      </w:r>
      <w:r>
        <w:rPr>
          <w:rFonts w:hint="eastAsia" w:ascii="宋体"/>
          <w:sz w:val="24"/>
        </w:rPr>
        <w:t>网线</w:t>
      </w:r>
      <w:r>
        <w:rPr>
          <w:rFonts w:ascii="宋体"/>
          <w:sz w:val="24"/>
        </w:rPr>
        <w:t>。另</w:t>
      </w:r>
      <w:r>
        <w:rPr>
          <w:rFonts w:hint="eastAsia" w:ascii="宋体"/>
          <w:sz w:val="24"/>
        </w:rPr>
        <w:t>通过一根光</w:t>
      </w:r>
      <w:r>
        <w:rPr>
          <w:rFonts w:ascii="宋体"/>
          <w:sz w:val="24"/>
        </w:rPr>
        <w:t>纤</w:t>
      </w:r>
      <w:r>
        <w:rPr>
          <w:rFonts w:hint="eastAsia" w:ascii="宋体"/>
          <w:sz w:val="24"/>
        </w:rPr>
        <w:t>或</w:t>
      </w:r>
      <w:r>
        <w:rPr>
          <w:rFonts w:ascii="宋体"/>
          <w:sz w:val="24"/>
        </w:rPr>
        <w:t>超</w:t>
      </w:r>
      <w:r>
        <w:rPr>
          <w:rFonts w:hint="eastAsia" w:ascii="宋体"/>
          <w:sz w:val="24"/>
        </w:rPr>
        <w:t>6类屏</w:t>
      </w:r>
      <w:r>
        <w:rPr>
          <w:rFonts w:ascii="宋体"/>
          <w:sz w:val="24"/>
        </w:rPr>
        <w:t>蔽</w:t>
      </w:r>
      <w:r>
        <w:rPr>
          <w:rFonts w:hint="eastAsia" w:ascii="宋体"/>
          <w:sz w:val="24"/>
        </w:rPr>
        <w:t>网线与招标方的交换机相连。</w:t>
      </w:r>
    </w:p>
    <w:p w14:paraId="7EB672AD">
      <w:pPr>
        <w:spacing w:line="360" w:lineRule="auto"/>
        <w:rPr>
          <w:rFonts w:ascii="宋体"/>
          <w:sz w:val="24"/>
        </w:rPr>
      </w:pPr>
      <w:r>
        <w:rPr>
          <w:rFonts w:hint="eastAsia" w:ascii="宋体"/>
          <w:sz w:val="24"/>
        </w:rPr>
        <w:t>1</w:t>
      </w:r>
      <w:r>
        <w:rPr>
          <w:rFonts w:ascii="宋体"/>
          <w:sz w:val="24"/>
        </w:rPr>
        <w:t>1.2.1服务</w:t>
      </w:r>
      <w:r>
        <w:rPr>
          <w:rFonts w:hint="eastAsia" w:ascii="宋体"/>
          <w:sz w:val="24"/>
        </w:rPr>
        <w:t>器通过交换机与所有台架计算机组成局域网，将试验台架的测试数据存储到数据库中；存储试验规范由台架调用等。此台新服务器应将招标方现有的一台服务器数据库中新产生的数据实时读入，整合为一个数据库。</w:t>
      </w:r>
    </w:p>
    <w:p w14:paraId="448EE77B">
      <w:pPr>
        <w:spacing w:line="360" w:lineRule="auto"/>
        <w:rPr>
          <w:rFonts w:ascii="宋体"/>
          <w:sz w:val="24"/>
        </w:rPr>
      </w:pPr>
      <w:r>
        <w:rPr>
          <w:rFonts w:hint="eastAsia" w:ascii="宋体"/>
          <w:sz w:val="24"/>
        </w:rPr>
        <w:t>1</w:t>
      </w:r>
      <w:r>
        <w:rPr>
          <w:rFonts w:ascii="宋体"/>
          <w:sz w:val="24"/>
        </w:rPr>
        <w:t>1.2.2</w:t>
      </w:r>
      <w:r>
        <w:rPr>
          <w:rFonts w:hint="eastAsia" w:ascii="宋体"/>
          <w:sz w:val="24"/>
        </w:rPr>
        <w:t>服务器通过另一网卡接入招标方局域网，向招标方的数据系统发送数据，或由招标方读取数据库中的数据。同时招标方的终端电脑可通过网络链入服务器，进行试车规范编制、权限设置、数据查询、报表打印等，实施管理功能。</w:t>
      </w:r>
    </w:p>
    <w:p w14:paraId="0BCDD610">
      <w:pPr>
        <w:spacing w:line="360" w:lineRule="auto"/>
        <w:rPr>
          <w:rFonts w:ascii="宋体"/>
          <w:sz w:val="24"/>
        </w:rPr>
      </w:pPr>
      <w:r>
        <w:rPr>
          <w:rFonts w:hint="eastAsia" w:ascii="宋体"/>
          <w:sz w:val="24"/>
        </w:rPr>
        <w:t>1</w:t>
      </w:r>
      <w:r>
        <w:rPr>
          <w:rFonts w:ascii="宋体"/>
          <w:sz w:val="24"/>
        </w:rPr>
        <w:t>1.2.3项</w:t>
      </w:r>
      <w:r>
        <w:rPr>
          <w:rFonts w:hint="eastAsia" w:ascii="宋体"/>
          <w:sz w:val="24"/>
        </w:rPr>
        <w:t>目验收时</w:t>
      </w:r>
      <w:r>
        <w:rPr>
          <w:rFonts w:ascii="宋体"/>
          <w:sz w:val="24"/>
        </w:rPr>
        <w:t>，投</w:t>
      </w:r>
      <w:r>
        <w:rPr>
          <w:rFonts w:hint="eastAsia" w:ascii="宋体"/>
          <w:sz w:val="24"/>
        </w:rPr>
        <w:t>标方需将</w:t>
      </w:r>
      <w:r>
        <w:rPr>
          <w:rFonts w:ascii="宋体"/>
          <w:sz w:val="24"/>
        </w:rPr>
        <w:t>数据</w:t>
      </w:r>
      <w:r>
        <w:rPr>
          <w:rFonts w:hint="eastAsia" w:ascii="宋体"/>
          <w:sz w:val="24"/>
        </w:rPr>
        <w:t>库格式定义、接口</w:t>
      </w:r>
      <w:r>
        <w:rPr>
          <w:rFonts w:ascii="宋体"/>
          <w:sz w:val="24"/>
        </w:rPr>
        <w:t>协</w:t>
      </w:r>
      <w:r>
        <w:rPr>
          <w:rFonts w:hint="eastAsia" w:ascii="宋体"/>
          <w:sz w:val="24"/>
        </w:rPr>
        <w:t>议等作为验收资料交于招标方。</w:t>
      </w:r>
    </w:p>
    <w:p w14:paraId="640B2D49">
      <w:pPr>
        <w:spacing w:line="360" w:lineRule="auto"/>
        <w:rPr>
          <w:rFonts w:ascii="宋体"/>
          <w:sz w:val="24"/>
        </w:rPr>
      </w:pPr>
      <w:r>
        <w:rPr>
          <w:rFonts w:ascii="宋体"/>
          <w:sz w:val="24"/>
        </w:rPr>
        <w:t>11.2.4系统</w:t>
      </w:r>
      <w:r>
        <w:rPr>
          <w:rFonts w:hint="eastAsia" w:ascii="宋体"/>
          <w:sz w:val="24"/>
        </w:rPr>
        <w:t>的试验管理程序功能：</w:t>
      </w:r>
    </w:p>
    <w:p w14:paraId="4D7C11CD">
      <w:pPr>
        <w:numPr>
          <w:ilvl w:val="0"/>
          <w:numId w:val="13"/>
        </w:numPr>
        <w:suppressAutoHyphens w:val="0"/>
        <w:overflowPunct/>
        <w:spacing w:line="360" w:lineRule="auto"/>
        <w:ind w:hanging="49"/>
        <w:jc w:val="both"/>
        <w:rPr>
          <w:rFonts w:ascii="宋体"/>
          <w:sz w:val="24"/>
        </w:rPr>
      </w:pPr>
      <w:r>
        <w:rPr>
          <w:rFonts w:hint="eastAsia"/>
          <w:sz w:val="24"/>
        </w:rPr>
        <w:t>编制</w:t>
      </w:r>
      <w:r>
        <w:rPr>
          <w:rFonts w:ascii="宋体"/>
          <w:sz w:val="24"/>
        </w:rPr>
        <w:t>/</w:t>
      </w:r>
      <w:r>
        <w:rPr>
          <w:rFonts w:hint="eastAsia"/>
          <w:sz w:val="24"/>
        </w:rPr>
        <w:t>修改试验规范</w:t>
      </w:r>
    </w:p>
    <w:p w14:paraId="6A615ECF">
      <w:pPr>
        <w:numPr>
          <w:ilvl w:val="0"/>
          <w:numId w:val="14"/>
        </w:numPr>
        <w:suppressAutoHyphens w:val="0"/>
        <w:overflowPunct/>
        <w:spacing w:line="360" w:lineRule="auto"/>
        <w:ind w:hanging="49"/>
        <w:jc w:val="both"/>
        <w:rPr>
          <w:rFonts w:ascii="宋体"/>
          <w:sz w:val="24"/>
        </w:rPr>
      </w:pPr>
      <w:r>
        <w:rPr>
          <w:rFonts w:hint="eastAsia"/>
          <w:sz w:val="24"/>
        </w:rPr>
        <w:t>定义工况名称</w:t>
      </w:r>
    </w:p>
    <w:p w14:paraId="66B37E9A">
      <w:pPr>
        <w:numPr>
          <w:ilvl w:val="0"/>
          <w:numId w:val="14"/>
        </w:numPr>
        <w:suppressAutoHyphens w:val="0"/>
        <w:overflowPunct/>
        <w:spacing w:line="360" w:lineRule="auto"/>
        <w:ind w:hanging="49"/>
        <w:jc w:val="both"/>
        <w:rPr>
          <w:rFonts w:ascii="宋体"/>
          <w:sz w:val="24"/>
        </w:rPr>
      </w:pPr>
      <w:r>
        <w:rPr>
          <w:rFonts w:hint="eastAsia"/>
          <w:sz w:val="24"/>
        </w:rPr>
        <w:t>定义报警参数</w:t>
      </w:r>
    </w:p>
    <w:p w14:paraId="4F79117E">
      <w:pPr>
        <w:numPr>
          <w:ilvl w:val="0"/>
          <w:numId w:val="14"/>
        </w:numPr>
        <w:suppressAutoHyphens w:val="0"/>
        <w:overflowPunct/>
        <w:spacing w:line="360" w:lineRule="auto"/>
        <w:ind w:hanging="49"/>
        <w:jc w:val="both"/>
        <w:rPr>
          <w:rFonts w:ascii="宋体"/>
          <w:sz w:val="24"/>
        </w:rPr>
      </w:pPr>
      <w:r>
        <w:rPr>
          <w:rFonts w:hint="eastAsia"/>
          <w:sz w:val="24"/>
        </w:rPr>
        <w:t>创建</w:t>
      </w:r>
      <w:r>
        <w:rPr>
          <w:rFonts w:ascii="宋体"/>
          <w:sz w:val="24"/>
        </w:rPr>
        <w:t>/</w:t>
      </w:r>
      <w:r>
        <w:rPr>
          <w:rFonts w:hint="eastAsia"/>
          <w:sz w:val="24"/>
        </w:rPr>
        <w:t>修改故障模式数据库</w:t>
      </w:r>
    </w:p>
    <w:p w14:paraId="5CB5B22D">
      <w:pPr>
        <w:numPr>
          <w:ilvl w:val="0"/>
          <w:numId w:val="14"/>
        </w:numPr>
        <w:suppressAutoHyphens w:val="0"/>
        <w:overflowPunct/>
        <w:spacing w:line="360" w:lineRule="auto"/>
        <w:ind w:hanging="49"/>
        <w:jc w:val="both"/>
        <w:rPr>
          <w:rFonts w:ascii="宋体"/>
          <w:sz w:val="24"/>
        </w:rPr>
      </w:pPr>
      <w:r>
        <w:rPr>
          <w:rFonts w:hint="eastAsia"/>
          <w:sz w:val="24"/>
        </w:rPr>
        <w:t>创建</w:t>
      </w:r>
      <w:r>
        <w:rPr>
          <w:rFonts w:ascii="宋体"/>
          <w:sz w:val="24"/>
        </w:rPr>
        <w:t>/</w:t>
      </w:r>
      <w:r>
        <w:rPr>
          <w:rFonts w:hint="eastAsia"/>
          <w:sz w:val="24"/>
        </w:rPr>
        <w:t>修改更换件数据库</w:t>
      </w:r>
    </w:p>
    <w:p w14:paraId="710D6EE7">
      <w:pPr>
        <w:numPr>
          <w:ilvl w:val="0"/>
          <w:numId w:val="14"/>
        </w:numPr>
        <w:suppressAutoHyphens w:val="0"/>
        <w:overflowPunct/>
        <w:spacing w:line="360" w:lineRule="auto"/>
        <w:ind w:hanging="49"/>
        <w:jc w:val="both"/>
        <w:rPr>
          <w:rFonts w:ascii="宋体"/>
          <w:sz w:val="24"/>
        </w:rPr>
      </w:pPr>
      <w:r>
        <w:rPr>
          <w:rFonts w:hint="eastAsia"/>
          <w:sz w:val="24"/>
        </w:rPr>
        <w:t>用户权限管理等</w:t>
      </w:r>
    </w:p>
    <w:p w14:paraId="7EA11508">
      <w:pPr>
        <w:numPr>
          <w:ilvl w:val="0"/>
          <w:numId w:val="14"/>
        </w:numPr>
        <w:suppressAutoHyphens w:val="0"/>
        <w:overflowPunct/>
        <w:spacing w:line="360" w:lineRule="auto"/>
        <w:ind w:hanging="49"/>
        <w:jc w:val="both"/>
        <w:rPr>
          <w:rFonts w:ascii="宋体"/>
          <w:sz w:val="24"/>
        </w:rPr>
      </w:pPr>
      <w:r>
        <w:rPr>
          <w:rFonts w:hint="eastAsia"/>
          <w:sz w:val="24"/>
        </w:rPr>
        <w:t>提供试验规范编制向导，用于快速、批量生成试验</w:t>
      </w:r>
      <w:r>
        <w:rPr>
          <w:rFonts w:ascii="宋体"/>
          <w:sz w:val="24"/>
        </w:rPr>
        <w:t>/</w:t>
      </w:r>
      <w:r>
        <w:rPr>
          <w:rFonts w:hint="eastAsia"/>
          <w:sz w:val="24"/>
        </w:rPr>
        <w:t>磨合规范</w:t>
      </w:r>
    </w:p>
    <w:p w14:paraId="145C204D">
      <w:pPr>
        <w:spacing w:line="360" w:lineRule="auto"/>
        <w:rPr>
          <w:rFonts w:ascii="宋体"/>
          <w:sz w:val="24"/>
        </w:rPr>
      </w:pPr>
      <w:r>
        <w:rPr>
          <w:rFonts w:hint="eastAsia" w:ascii="宋体"/>
          <w:sz w:val="24"/>
        </w:rPr>
        <w:t>1</w:t>
      </w:r>
      <w:r>
        <w:rPr>
          <w:rFonts w:ascii="宋体"/>
          <w:sz w:val="24"/>
        </w:rPr>
        <w:t>1.2.5系统的</w:t>
      </w:r>
      <w:r>
        <w:rPr>
          <w:rFonts w:hint="eastAsia" w:ascii="宋体"/>
          <w:sz w:val="24"/>
        </w:rPr>
        <w:t>数据处理</w:t>
      </w:r>
      <w:r>
        <w:rPr>
          <w:rFonts w:ascii="宋体"/>
          <w:sz w:val="24"/>
        </w:rPr>
        <w:t>程序功能：</w:t>
      </w:r>
    </w:p>
    <w:p w14:paraId="41EEB315">
      <w:pPr>
        <w:numPr>
          <w:ilvl w:val="0"/>
          <w:numId w:val="13"/>
        </w:numPr>
        <w:suppressAutoHyphens w:val="0"/>
        <w:overflowPunct/>
        <w:spacing w:line="360" w:lineRule="auto"/>
        <w:ind w:hanging="49"/>
        <w:jc w:val="both"/>
        <w:rPr>
          <w:rFonts w:ascii="宋体"/>
          <w:sz w:val="24"/>
        </w:rPr>
      </w:pPr>
      <w:r>
        <w:rPr>
          <w:rFonts w:hint="eastAsia"/>
          <w:sz w:val="24"/>
        </w:rPr>
        <w:t>查询/打印试验数据</w:t>
      </w:r>
    </w:p>
    <w:p w14:paraId="2993A5B8">
      <w:pPr>
        <w:numPr>
          <w:ilvl w:val="0"/>
          <w:numId w:val="13"/>
        </w:numPr>
        <w:suppressAutoHyphens w:val="0"/>
        <w:overflowPunct/>
        <w:spacing w:line="360" w:lineRule="auto"/>
        <w:ind w:hanging="49"/>
        <w:jc w:val="both"/>
        <w:rPr>
          <w:rFonts w:ascii="宋体"/>
          <w:sz w:val="24"/>
        </w:rPr>
      </w:pPr>
      <w:r>
        <w:rPr>
          <w:rFonts w:hint="eastAsia" w:ascii="宋体"/>
          <w:sz w:val="24"/>
        </w:rPr>
        <w:t>绘制试验曲线（按</w:t>
      </w:r>
      <w:r>
        <w:rPr>
          <w:rFonts w:ascii="宋体"/>
          <w:sz w:val="24"/>
        </w:rPr>
        <w:t>GB/T18297</w:t>
      </w:r>
      <w:r>
        <w:rPr>
          <w:rFonts w:hint="eastAsia" w:ascii="宋体"/>
          <w:sz w:val="24"/>
        </w:rPr>
        <w:t>国家标准和用户指定格式）</w:t>
      </w:r>
    </w:p>
    <w:p w14:paraId="75B857D0">
      <w:pPr>
        <w:numPr>
          <w:ilvl w:val="0"/>
          <w:numId w:val="13"/>
        </w:numPr>
        <w:suppressAutoHyphens w:val="0"/>
        <w:overflowPunct/>
        <w:spacing w:line="360" w:lineRule="auto"/>
        <w:ind w:hanging="49"/>
        <w:jc w:val="both"/>
        <w:rPr>
          <w:rFonts w:ascii="宋体"/>
          <w:sz w:val="24"/>
        </w:rPr>
      </w:pPr>
      <w:r>
        <w:rPr>
          <w:rFonts w:hint="eastAsia" w:ascii="宋体"/>
          <w:sz w:val="24"/>
        </w:rPr>
        <w:t>招标方自定义报表</w:t>
      </w:r>
    </w:p>
    <w:p w14:paraId="68580E13">
      <w:pPr>
        <w:numPr>
          <w:ilvl w:val="0"/>
          <w:numId w:val="13"/>
        </w:numPr>
        <w:suppressAutoHyphens w:val="0"/>
        <w:overflowPunct/>
        <w:spacing w:line="360" w:lineRule="auto"/>
        <w:ind w:hanging="49"/>
        <w:jc w:val="both"/>
        <w:rPr>
          <w:rFonts w:ascii="宋体"/>
          <w:sz w:val="24"/>
        </w:rPr>
      </w:pPr>
      <w:r>
        <w:rPr>
          <w:rFonts w:hint="eastAsia" w:ascii="宋体"/>
          <w:sz w:val="24"/>
        </w:rPr>
        <w:t>输出报表，输出</w:t>
      </w:r>
      <w:r>
        <w:rPr>
          <w:rFonts w:ascii="宋体"/>
          <w:sz w:val="24"/>
        </w:rPr>
        <w:t>xls</w:t>
      </w:r>
      <w:r>
        <w:rPr>
          <w:rFonts w:hint="eastAsia" w:ascii="宋体"/>
          <w:sz w:val="24"/>
        </w:rPr>
        <w:t>、</w:t>
      </w:r>
      <w:r>
        <w:rPr>
          <w:rFonts w:ascii="宋体"/>
          <w:sz w:val="24"/>
        </w:rPr>
        <w:t>pdf等</w:t>
      </w:r>
      <w:r>
        <w:rPr>
          <w:rFonts w:hint="eastAsia" w:ascii="宋体"/>
          <w:sz w:val="24"/>
        </w:rPr>
        <w:t>格式</w:t>
      </w:r>
    </w:p>
    <w:p w14:paraId="054A9ED2">
      <w:pPr>
        <w:numPr>
          <w:ilvl w:val="0"/>
          <w:numId w:val="13"/>
        </w:numPr>
        <w:suppressAutoHyphens w:val="0"/>
        <w:overflowPunct/>
        <w:spacing w:line="360" w:lineRule="auto"/>
        <w:ind w:hanging="49"/>
        <w:jc w:val="both"/>
        <w:rPr>
          <w:rFonts w:ascii="宋体"/>
          <w:sz w:val="24"/>
        </w:rPr>
      </w:pPr>
      <w:r>
        <w:rPr>
          <w:rFonts w:ascii="宋体"/>
          <w:sz w:val="24"/>
        </w:rPr>
        <w:t>可统</w:t>
      </w:r>
      <w:r>
        <w:rPr>
          <w:rFonts w:hint="eastAsia" w:ascii="宋体"/>
          <w:sz w:val="24"/>
        </w:rPr>
        <w:t>计</w:t>
      </w:r>
      <w:r>
        <w:rPr>
          <w:rFonts w:ascii="宋体"/>
          <w:sz w:val="24"/>
        </w:rPr>
        <w:t>发</w:t>
      </w:r>
      <w:r>
        <w:rPr>
          <w:rFonts w:hint="eastAsia" w:ascii="宋体"/>
          <w:sz w:val="24"/>
        </w:rPr>
        <w:t>动机试验台数、台架试车合格率等</w:t>
      </w:r>
    </w:p>
    <w:p w14:paraId="62C3B2E5">
      <w:pPr>
        <w:spacing w:line="360" w:lineRule="auto"/>
        <w:ind w:firstLine="480" w:firstLineChars="200"/>
        <w:rPr>
          <w:rFonts w:ascii="宋体"/>
          <w:sz w:val="24"/>
        </w:rPr>
      </w:pPr>
    </w:p>
    <w:p w14:paraId="4DC1C580">
      <w:pPr>
        <w:spacing w:line="360" w:lineRule="auto"/>
        <w:rPr>
          <w:rFonts w:ascii="宋体"/>
          <w:b/>
          <w:sz w:val="24"/>
        </w:rPr>
      </w:pPr>
      <w:r>
        <w:rPr>
          <w:rFonts w:hint="eastAsia" w:ascii="宋体"/>
          <w:b/>
          <w:sz w:val="24"/>
        </w:rPr>
        <w:t>1</w:t>
      </w:r>
      <w:r>
        <w:rPr>
          <w:rFonts w:ascii="宋体"/>
          <w:b/>
          <w:sz w:val="24"/>
        </w:rPr>
        <w:t>2.动</w:t>
      </w:r>
      <w:r>
        <w:rPr>
          <w:rFonts w:hint="eastAsia" w:ascii="宋体"/>
          <w:b/>
          <w:sz w:val="24"/>
        </w:rPr>
        <w:t>力配电接入</w:t>
      </w:r>
    </w:p>
    <w:p w14:paraId="088C6CF9">
      <w:pPr>
        <w:spacing w:line="360" w:lineRule="auto"/>
        <w:rPr>
          <w:rFonts w:ascii="宋体"/>
          <w:sz w:val="24"/>
        </w:rPr>
      </w:pPr>
      <w:r>
        <w:rPr>
          <w:rFonts w:hint="eastAsia" w:ascii="宋体"/>
          <w:sz w:val="24"/>
        </w:rPr>
        <w:t>1</w:t>
      </w:r>
      <w:r>
        <w:rPr>
          <w:rFonts w:ascii="宋体"/>
          <w:sz w:val="24"/>
        </w:rPr>
        <w:t>2.1</w:t>
      </w:r>
      <w:r>
        <w:rPr>
          <w:rFonts w:hint="eastAsia" w:ascii="宋体"/>
          <w:sz w:val="24"/>
        </w:rPr>
        <w:t>将4个台架（即4#、10#两个设备间）的电缆接入招标方机加一区2号配电平台；将5个台架（即16#、22#、28#三个设备间）的电缆接入机加一区1号配电平台。电缆采用YJV（3×120mm</w:t>
      </w:r>
      <w:r>
        <w:rPr>
          <w:rFonts w:hint="eastAsia" w:ascii="宋体"/>
          <w:sz w:val="24"/>
          <w:vertAlign w:val="superscript"/>
        </w:rPr>
        <w:t>2</w:t>
      </w:r>
      <w:r>
        <w:rPr>
          <w:rFonts w:hint="eastAsia" w:ascii="宋体"/>
          <w:sz w:val="24"/>
        </w:rPr>
        <w:t>+1×70mm</w:t>
      </w:r>
      <w:r>
        <w:rPr>
          <w:rFonts w:hint="eastAsia" w:ascii="宋体"/>
          <w:sz w:val="24"/>
          <w:vertAlign w:val="superscript"/>
        </w:rPr>
        <w:t>2</w:t>
      </w:r>
      <w:r>
        <w:rPr>
          <w:rFonts w:hint="eastAsia" w:ascii="宋体"/>
          <w:sz w:val="24"/>
        </w:rPr>
        <w:t>）多芯形式，品牌选用</w:t>
      </w:r>
      <w:r>
        <w:rPr>
          <w:rFonts w:hint="eastAsia"/>
          <w:sz w:val="23"/>
          <w:szCs w:val="23"/>
        </w:rPr>
        <w:t>无锡浦槽、宜兴远东或无锡上上，其中3</w:t>
      </w:r>
      <w:r>
        <w:rPr>
          <w:sz w:val="23"/>
          <w:szCs w:val="23"/>
        </w:rPr>
        <w:t>x120mm</w:t>
      </w:r>
      <w:r>
        <w:rPr>
          <w:sz w:val="23"/>
          <w:szCs w:val="23"/>
          <w:vertAlign w:val="superscript"/>
        </w:rPr>
        <w:t>2</w:t>
      </w:r>
      <w:r>
        <w:rPr>
          <w:sz w:val="23"/>
          <w:szCs w:val="23"/>
        </w:rPr>
        <w:t>作</w:t>
      </w:r>
      <w:r>
        <w:rPr>
          <w:rFonts w:hint="eastAsia"/>
          <w:sz w:val="23"/>
          <w:szCs w:val="23"/>
        </w:rPr>
        <w:t>为一根</w:t>
      </w:r>
      <w:r>
        <w:rPr>
          <w:rFonts w:hint="eastAsia" w:ascii="宋体"/>
          <w:sz w:val="24"/>
        </w:rPr>
        <w:t>相线，三根相线中的共三根7</w:t>
      </w:r>
      <w:r>
        <w:rPr>
          <w:rFonts w:ascii="宋体"/>
          <w:sz w:val="24"/>
        </w:rPr>
        <w:t>0mm</w:t>
      </w:r>
      <w:r>
        <w:rPr>
          <w:rFonts w:ascii="宋体"/>
          <w:sz w:val="24"/>
          <w:vertAlign w:val="superscript"/>
        </w:rPr>
        <w:t>2</w:t>
      </w:r>
      <w:r>
        <w:rPr>
          <w:rFonts w:ascii="宋体"/>
          <w:sz w:val="24"/>
        </w:rPr>
        <w:t>电</w:t>
      </w:r>
      <w:r>
        <w:rPr>
          <w:rFonts w:hint="eastAsia" w:ascii="宋体"/>
          <w:sz w:val="24"/>
        </w:rPr>
        <w:t>缆作为地线。从平台到台架之间架设桥架，用于敷设电缆。桥架与现有设施不冲突、不干涉。</w:t>
      </w:r>
    </w:p>
    <w:p w14:paraId="03C0FD21">
      <w:pPr>
        <w:spacing w:line="360" w:lineRule="auto"/>
        <w:rPr>
          <w:rFonts w:ascii="宋体"/>
          <w:sz w:val="24"/>
        </w:rPr>
      </w:pPr>
      <w:r>
        <w:rPr>
          <w:rFonts w:hint="eastAsia" w:ascii="宋体"/>
          <w:sz w:val="24"/>
        </w:rPr>
        <w:t>1</w:t>
      </w:r>
      <w:r>
        <w:rPr>
          <w:rFonts w:ascii="宋体"/>
          <w:sz w:val="24"/>
        </w:rPr>
        <w:t>2.2</w:t>
      </w:r>
      <w:r>
        <w:rPr>
          <w:rFonts w:hint="eastAsia" w:ascii="宋体"/>
          <w:sz w:val="24"/>
        </w:rPr>
        <w:t>为方便后期使用和检修维护，在平台端为每个台架配备1套江苏常熟</w:t>
      </w:r>
      <w:r>
        <w:rPr>
          <w:rFonts w:ascii="宋体"/>
          <w:sz w:val="24"/>
        </w:rPr>
        <w:t>CW3-1000/3P-1000A EA35抽屉式</w:t>
      </w:r>
      <w:r>
        <w:rPr>
          <w:rFonts w:hint="eastAsia" w:ascii="宋体"/>
          <w:sz w:val="24"/>
        </w:rPr>
        <w:t>框架断路器。将平台现有电容柜拆除后装入新配电柜，从上方母排用铜排将电路引入配电柜。每个配电柜装2套框架断路器，其中28#台架对应的配电柜只装一套框架断路器，预留一个断路器的安装位置。对应每个台架配备1件江苏斯菲尔PD194Z-2SY双向电能表（含浙江正泰BH0.66-1000/5A电流互感器</w:t>
      </w:r>
      <w:r>
        <w:rPr>
          <w:rFonts w:ascii="宋体"/>
          <w:sz w:val="24"/>
        </w:rPr>
        <w:t>3</w:t>
      </w:r>
      <w:r>
        <w:rPr>
          <w:rFonts w:hint="eastAsia" w:ascii="宋体"/>
          <w:sz w:val="24"/>
        </w:rPr>
        <w:t>件）。新增配电柜应与拆除的电容柜基本同宽同高，避免装入后留出明显空隙。也可利用现有的电容柜柜体布置框架断路器。在设备间的台架端设有与配电平台端串联控制的按钮和指示灯，可进行远程操控配电平台端断路器的断开或闭合。</w:t>
      </w:r>
    </w:p>
    <w:p w14:paraId="26C95E81">
      <w:pPr>
        <w:spacing w:line="360" w:lineRule="auto"/>
        <w:rPr>
          <w:rFonts w:ascii="宋体"/>
          <w:sz w:val="24"/>
        </w:rPr>
      </w:pPr>
      <w:r>
        <w:rPr>
          <w:rFonts w:hint="eastAsia" w:ascii="宋体"/>
          <w:sz w:val="24"/>
        </w:rPr>
        <w:t>1</w:t>
      </w:r>
      <w:r>
        <w:rPr>
          <w:rFonts w:ascii="宋体"/>
          <w:sz w:val="24"/>
        </w:rPr>
        <w:t>2.3</w:t>
      </w:r>
      <w:r>
        <w:rPr>
          <w:rFonts w:hint="eastAsia" w:ascii="宋体"/>
          <w:sz w:val="24"/>
        </w:rPr>
        <w:t>为保证配电平台用电安全，增加招标方厂内电网用电监控系统一套，具有电量使用情况预警功能。</w:t>
      </w:r>
    </w:p>
    <w:p w14:paraId="1B9EA676">
      <w:pPr>
        <w:spacing w:line="360" w:lineRule="auto"/>
        <w:ind w:firstLine="480" w:firstLineChars="200"/>
        <w:rPr>
          <w:rFonts w:ascii="宋体"/>
          <w:sz w:val="24"/>
        </w:rPr>
      </w:pPr>
    </w:p>
    <w:p w14:paraId="624AAC9E">
      <w:pPr>
        <w:spacing w:line="360" w:lineRule="auto"/>
        <w:rPr>
          <w:rFonts w:ascii="宋体"/>
          <w:b/>
          <w:sz w:val="24"/>
        </w:rPr>
      </w:pPr>
      <w:r>
        <w:rPr>
          <w:rFonts w:hint="eastAsia" w:ascii="宋体"/>
          <w:b/>
          <w:sz w:val="24"/>
        </w:rPr>
        <w:t>1</w:t>
      </w:r>
      <w:r>
        <w:rPr>
          <w:rFonts w:ascii="宋体"/>
          <w:b/>
          <w:sz w:val="24"/>
        </w:rPr>
        <w:t>3.原</w:t>
      </w:r>
      <w:r>
        <w:rPr>
          <w:rFonts w:hint="eastAsia" w:ascii="宋体"/>
          <w:b/>
          <w:sz w:val="24"/>
        </w:rPr>
        <w:t>有</w:t>
      </w:r>
      <w:r>
        <w:rPr>
          <w:rFonts w:ascii="宋体"/>
          <w:b/>
          <w:sz w:val="24"/>
        </w:rPr>
        <w:t>设施拆</w:t>
      </w:r>
      <w:r>
        <w:rPr>
          <w:rFonts w:hint="eastAsia" w:ascii="宋体"/>
          <w:b/>
          <w:sz w:val="24"/>
        </w:rPr>
        <w:t>除</w:t>
      </w:r>
    </w:p>
    <w:p w14:paraId="13203814">
      <w:pPr>
        <w:pStyle w:val="17"/>
        <w:rPr>
          <w:sz w:val="24"/>
        </w:rPr>
      </w:pPr>
      <w:r>
        <w:rPr>
          <w:rFonts w:hint="eastAsia"/>
          <w:sz w:val="24"/>
        </w:rPr>
        <w:t>9个台架间和5个设备间内除利旧的设施外，全部拆除；台架间和设备间对应的二层平台除利旧的设施外全部拆除；台架间和设备间对应的控制间除利旧的设施外全部拆除。</w:t>
      </w:r>
    </w:p>
    <w:p w14:paraId="100F7D8E">
      <w:pPr>
        <w:pStyle w:val="17"/>
        <w:rPr>
          <w:sz w:val="24"/>
          <w:szCs w:val="24"/>
        </w:rPr>
      </w:pPr>
      <w:r>
        <w:rPr>
          <w:sz w:val="24"/>
        </w:rPr>
        <w:t>对</w:t>
      </w:r>
      <w:r>
        <w:rPr>
          <w:rFonts w:hint="eastAsia"/>
          <w:sz w:val="24"/>
        </w:rPr>
        <w:t>于不再使用的管路，拆除时从主管根部截去，孔口焊接盲堵或加装阀门。</w:t>
      </w:r>
    </w:p>
    <w:p w14:paraId="053420C9">
      <w:pPr>
        <w:pStyle w:val="17"/>
        <w:rPr>
          <w:sz w:val="24"/>
          <w:szCs w:val="24"/>
        </w:rPr>
      </w:pPr>
    </w:p>
    <w:p w14:paraId="76770733">
      <w:pPr>
        <w:pStyle w:val="17"/>
        <w:rPr>
          <w:b/>
          <w:sz w:val="24"/>
          <w:szCs w:val="24"/>
        </w:rPr>
      </w:pPr>
      <w:r>
        <w:rPr>
          <w:b/>
          <w:sz w:val="24"/>
          <w:szCs w:val="24"/>
        </w:rPr>
        <w:t>第</w:t>
      </w:r>
      <w:r>
        <w:rPr>
          <w:rFonts w:hint="eastAsia"/>
          <w:b/>
          <w:sz w:val="24"/>
          <w:szCs w:val="24"/>
        </w:rPr>
        <w:t>三</w:t>
      </w:r>
      <w:r>
        <w:rPr>
          <w:b/>
          <w:sz w:val="24"/>
          <w:szCs w:val="24"/>
        </w:rPr>
        <w:t>部分：其他</w:t>
      </w:r>
      <w:r>
        <w:rPr>
          <w:rFonts w:hint="eastAsia"/>
          <w:b/>
          <w:sz w:val="24"/>
          <w:szCs w:val="24"/>
        </w:rPr>
        <w:t>技术参数</w:t>
      </w:r>
    </w:p>
    <w:p w14:paraId="65DFD192">
      <w:pPr>
        <w:jc w:val="both"/>
        <w:rPr>
          <w:rFonts w:ascii="Times New Roman" w:hAnsi="Times New Roman" w:cs="Times New Roman"/>
          <w:sz w:val="24"/>
          <w:szCs w:val="24"/>
        </w:rPr>
      </w:pPr>
      <w:r>
        <w:rPr>
          <w:rFonts w:ascii="Times New Roman" w:hAnsi="Times New Roman" w:cs="Times New Roman"/>
          <w:sz w:val="24"/>
          <w:szCs w:val="24"/>
        </w:rPr>
        <w:t xml:space="preserve">1. </w:t>
      </w:r>
      <w:r>
        <w:rPr>
          <w:rFonts w:hint="eastAsia" w:ascii="Times New Roman" w:hAnsi="Times New Roman" w:cs="Times New Roman"/>
          <w:sz w:val="24"/>
          <w:szCs w:val="24"/>
        </w:rPr>
        <w:t>本项目的拆除、安装作业均由</w:t>
      </w:r>
      <w:r>
        <w:rPr>
          <w:rFonts w:ascii="Times New Roman" w:hAnsi="Times New Roman" w:cs="Times New Roman"/>
          <w:sz w:val="24"/>
          <w:szCs w:val="24"/>
        </w:rPr>
        <w:t>投标</w:t>
      </w:r>
      <w:r>
        <w:rPr>
          <w:rFonts w:hint="eastAsia" w:ascii="Times New Roman" w:hAnsi="Times New Roman" w:cs="Times New Roman"/>
          <w:sz w:val="24"/>
          <w:szCs w:val="24"/>
        </w:rPr>
        <w:t>方负责，拆除的旧料，由投标方堆放到招标方指定场地；因本项目包含登高作业、动火作业、吊装作业、接电作业等工作内容，作业人员需满足相关从业资质等要求。同时需严格遵守招标方的监管要求。</w:t>
      </w:r>
    </w:p>
    <w:p w14:paraId="279D6D01">
      <w:pPr>
        <w:jc w:val="both"/>
        <w:rPr>
          <w:rFonts w:ascii="Times New Roman" w:hAnsi="Times New Roman" w:cs="Times New Roman"/>
          <w:sz w:val="24"/>
          <w:szCs w:val="24"/>
        </w:rPr>
      </w:pPr>
      <w:r>
        <w:rPr>
          <w:rFonts w:ascii="Times New Roman" w:hAnsi="Times New Roman" w:cs="Times New Roman"/>
          <w:sz w:val="24"/>
          <w:szCs w:val="24"/>
        </w:rPr>
        <w:t xml:space="preserve">2. </w:t>
      </w:r>
      <w:r>
        <w:rPr>
          <w:rFonts w:hint="eastAsia" w:ascii="Times New Roman" w:hAnsi="Times New Roman" w:cs="Times New Roman"/>
          <w:sz w:val="24"/>
          <w:szCs w:val="24"/>
        </w:rPr>
        <w:t>设施油漆防锈面在涂漆前均进行除锈打磨等表面处理，在表面无杂质后再上油漆，油漆漆膜均匀、不堆积、漏涂、没有皱纹、气泡、掺杂混色等颜色按重汽集团《Q</w:t>
      </w:r>
      <w:r>
        <w:rPr>
          <w:rFonts w:ascii="Times New Roman" w:hAnsi="Times New Roman" w:cs="Times New Roman"/>
          <w:sz w:val="24"/>
          <w:szCs w:val="24"/>
        </w:rPr>
        <w:t>-ZZ 30070</w:t>
      </w:r>
      <w:r>
        <w:rPr>
          <w:rFonts w:hint="eastAsia" w:ascii="Times New Roman" w:hAnsi="Times New Roman" w:cs="Times New Roman"/>
          <w:sz w:val="24"/>
          <w:szCs w:val="24"/>
        </w:rPr>
        <w:t>设备设施颜色标识》标准执行。</w:t>
      </w:r>
    </w:p>
    <w:p w14:paraId="61DAC43F">
      <w:pPr>
        <w:jc w:val="both"/>
        <w:rPr>
          <w:rFonts w:ascii="Times New Roman" w:hAnsi="Times New Roman" w:cs="Times New Roman"/>
          <w:sz w:val="24"/>
          <w:szCs w:val="24"/>
        </w:rPr>
      </w:pPr>
      <w:r>
        <w:rPr>
          <w:rFonts w:ascii="Times New Roman" w:hAnsi="Times New Roman" w:cs="Times New Roman"/>
          <w:sz w:val="24"/>
          <w:szCs w:val="24"/>
        </w:rPr>
        <w:t xml:space="preserve">3. </w:t>
      </w:r>
      <w:r>
        <w:rPr>
          <w:rFonts w:hint="eastAsia" w:ascii="Times New Roman" w:hAnsi="Times New Roman" w:cs="Times New Roman"/>
          <w:sz w:val="24"/>
          <w:szCs w:val="24"/>
        </w:rPr>
        <w:t>台架间</w:t>
      </w:r>
      <w:r>
        <w:rPr>
          <w:rFonts w:ascii="Times New Roman" w:hAnsi="Times New Roman" w:cs="Times New Roman"/>
          <w:sz w:val="24"/>
          <w:szCs w:val="24"/>
        </w:rPr>
        <w:t>所产生的综合噪声，发</w:t>
      </w:r>
      <w:r>
        <w:rPr>
          <w:rFonts w:hint="eastAsia" w:ascii="Times New Roman" w:hAnsi="Times New Roman" w:cs="Times New Roman"/>
          <w:sz w:val="24"/>
          <w:szCs w:val="24"/>
        </w:rPr>
        <w:t>动机及</w:t>
      </w:r>
      <w:r>
        <w:rPr>
          <w:rFonts w:ascii="Times New Roman" w:hAnsi="Times New Roman" w:cs="Times New Roman"/>
          <w:sz w:val="24"/>
          <w:szCs w:val="24"/>
        </w:rPr>
        <w:t>设备运转时连续噪声≤80dB(A) (距设备各装置1m位置测量)。噪声的测定方法按 GB7190.2 执行。</w:t>
      </w:r>
    </w:p>
    <w:p w14:paraId="4F8B916C">
      <w:pPr>
        <w:jc w:val="both"/>
        <w:rPr>
          <w:rFonts w:ascii="Times New Roman" w:hAnsi="Times New Roman" w:cs="Times New Roman"/>
          <w:sz w:val="24"/>
          <w:szCs w:val="24"/>
        </w:rPr>
      </w:pPr>
      <w:r>
        <w:rPr>
          <w:rFonts w:ascii="Times New Roman" w:hAnsi="Times New Roman" w:cs="Times New Roman"/>
          <w:sz w:val="24"/>
          <w:szCs w:val="24"/>
        </w:rPr>
        <w:t xml:space="preserve">4. </w:t>
      </w:r>
      <w:r>
        <w:rPr>
          <w:rFonts w:hint="eastAsia" w:ascii="Times New Roman" w:hAnsi="Times New Roman" w:cs="Times New Roman"/>
          <w:sz w:val="24"/>
          <w:szCs w:val="24"/>
        </w:rPr>
        <w:t>设备的计量单位采用公制的中国标准或国际标准；不采用英制和已淘汰的单位制。</w:t>
      </w:r>
    </w:p>
    <w:p w14:paraId="78566EC5">
      <w:pPr>
        <w:jc w:val="both"/>
        <w:rPr>
          <w:rFonts w:ascii="Times New Roman" w:hAnsi="Times New Roman" w:cs="Times New Roman"/>
          <w:sz w:val="24"/>
          <w:szCs w:val="24"/>
        </w:rPr>
      </w:pPr>
      <w:r>
        <w:rPr>
          <w:rFonts w:ascii="Times New Roman" w:hAnsi="Times New Roman" w:cs="Times New Roman"/>
          <w:sz w:val="24"/>
          <w:szCs w:val="24"/>
        </w:rPr>
        <w:t xml:space="preserve">5. </w:t>
      </w:r>
      <w:r>
        <w:rPr>
          <w:rFonts w:hint="eastAsia" w:ascii="Times New Roman" w:hAnsi="Times New Roman" w:cs="Times New Roman"/>
          <w:sz w:val="24"/>
          <w:szCs w:val="24"/>
        </w:rPr>
        <w:t>因此项目为原有设备更新改造，投标方必须到现场了解设备功能，使用状况、现场作业环境，并与招标方进行技术交流，确保可以满足招标方的使用要求。</w:t>
      </w:r>
    </w:p>
    <w:p w14:paraId="405EB285">
      <w:pPr>
        <w:pStyle w:val="17"/>
        <w:rPr>
          <w:sz w:val="24"/>
          <w:szCs w:val="24"/>
        </w:rPr>
      </w:pPr>
    </w:p>
    <w:p w14:paraId="5C832813">
      <w:pPr>
        <w:rPr>
          <w:b/>
          <w:sz w:val="24"/>
          <w:szCs w:val="24"/>
        </w:rPr>
      </w:pPr>
      <w:r>
        <w:rPr>
          <w:b/>
          <w:sz w:val="24"/>
          <w:szCs w:val="24"/>
        </w:rPr>
        <w:t>第四部分：随机技术文档</w:t>
      </w:r>
    </w:p>
    <w:p w14:paraId="254BD123">
      <w:pPr>
        <w:rPr>
          <w:rFonts w:ascii="Times New Roman" w:hAnsi="Times New Roman" w:cs="Times New Roman"/>
          <w:sz w:val="24"/>
          <w:szCs w:val="24"/>
        </w:rPr>
      </w:pPr>
      <w:r>
        <w:rPr>
          <w:rFonts w:ascii="Times New Roman" w:hAnsi="Times New Roman" w:cs="Times New Roman"/>
          <w:sz w:val="24"/>
          <w:szCs w:val="24"/>
        </w:rPr>
        <w:t>随机技术文件包含，设备</w:t>
      </w:r>
      <w:r>
        <w:rPr>
          <w:rFonts w:hint="eastAsia" w:ascii="Times New Roman" w:hAnsi="Times New Roman" w:cs="Times New Roman"/>
          <w:sz w:val="24"/>
          <w:szCs w:val="24"/>
        </w:rPr>
        <w:t>技术资料（含软件），</w:t>
      </w:r>
      <w:r>
        <w:rPr>
          <w:rFonts w:ascii="Times New Roman" w:hAnsi="Times New Roman" w:cs="Times New Roman"/>
          <w:sz w:val="24"/>
          <w:szCs w:val="24"/>
        </w:rPr>
        <w:t>设备使用说明书，软</w:t>
      </w:r>
      <w:r>
        <w:rPr>
          <w:rFonts w:hint="eastAsia" w:ascii="Times New Roman" w:hAnsi="Times New Roman" w:cs="Times New Roman"/>
          <w:sz w:val="24"/>
          <w:szCs w:val="24"/>
        </w:rPr>
        <w:t>件</w:t>
      </w:r>
      <w:r>
        <w:rPr>
          <w:rFonts w:ascii="Times New Roman" w:hAnsi="Times New Roman" w:cs="Times New Roman"/>
          <w:sz w:val="24"/>
          <w:szCs w:val="24"/>
        </w:rPr>
        <w:t>操作指南</w:t>
      </w:r>
      <w:r>
        <w:rPr>
          <w:rFonts w:hint="eastAsia" w:ascii="Times New Roman" w:hAnsi="Times New Roman" w:cs="Times New Roman"/>
          <w:sz w:val="24"/>
          <w:szCs w:val="24"/>
        </w:rPr>
        <w:t>，</w:t>
      </w:r>
      <w:r>
        <w:rPr>
          <w:rFonts w:ascii="Times New Roman" w:hAnsi="Times New Roman" w:cs="Times New Roman"/>
          <w:sz w:val="24"/>
          <w:szCs w:val="24"/>
        </w:rPr>
        <w:t>计</w:t>
      </w:r>
      <w:r>
        <w:rPr>
          <w:rFonts w:hint="eastAsia" w:ascii="Times New Roman" w:hAnsi="Times New Roman" w:cs="Times New Roman"/>
          <w:sz w:val="24"/>
          <w:szCs w:val="24"/>
        </w:rPr>
        <w:t>具器具</w:t>
      </w:r>
      <w:r>
        <w:rPr>
          <w:rFonts w:ascii="Times New Roman" w:hAnsi="Times New Roman" w:cs="Times New Roman"/>
          <w:sz w:val="24"/>
          <w:szCs w:val="24"/>
        </w:rPr>
        <w:t>合格证，保修卡等</w:t>
      </w:r>
      <w:r>
        <w:rPr>
          <w:rFonts w:hint="eastAsia" w:ascii="Times New Roman" w:hAnsi="Times New Roman" w:cs="Times New Roman"/>
          <w:sz w:val="24"/>
          <w:szCs w:val="24"/>
        </w:rPr>
        <w:t>。</w:t>
      </w:r>
    </w:p>
    <w:p w14:paraId="1C7CAE27">
      <w:pPr>
        <w:rPr>
          <w:rFonts w:ascii="Times New Roman" w:hAnsi="Times New Roman" w:cs="Times New Roman"/>
          <w:sz w:val="24"/>
          <w:szCs w:val="24"/>
        </w:rPr>
      </w:pPr>
    </w:p>
    <w:p w14:paraId="33B8B77A">
      <w:pPr>
        <w:jc w:val="center"/>
        <w:rPr>
          <w:b/>
          <w:sz w:val="24"/>
          <w:szCs w:val="24"/>
        </w:rPr>
      </w:pPr>
      <w:r>
        <w:rPr>
          <w:rFonts w:hint="eastAsia"/>
          <w:b/>
          <w:sz w:val="24"/>
          <w:szCs w:val="24"/>
        </w:rPr>
        <w:t>第三章</w:t>
      </w:r>
      <w:r>
        <w:rPr>
          <w:b/>
          <w:sz w:val="24"/>
          <w:szCs w:val="24"/>
        </w:rPr>
        <w:t xml:space="preserve">  </w:t>
      </w:r>
      <w:r>
        <w:rPr>
          <w:rFonts w:hint="eastAsia"/>
          <w:b/>
          <w:sz w:val="24"/>
          <w:szCs w:val="24"/>
        </w:rPr>
        <w:t>供货范围及供货方式</w:t>
      </w:r>
    </w:p>
    <w:p w14:paraId="52D55739">
      <w:pPr>
        <w:jc w:val="center"/>
        <w:rPr>
          <w:b/>
          <w:sz w:val="24"/>
          <w:szCs w:val="24"/>
        </w:rPr>
      </w:pPr>
      <w:r>
        <w:rPr>
          <w:rFonts w:hint="eastAsia"/>
          <w:b/>
          <w:sz w:val="24"/>
          <w:szCs w:val="24"/>
        </w:rPr>
        <w:t>第一节  供货范围</w:t>
      </w:r>
    </w:p>
    <w:p w14:paraId="1C76A7D4">
      <w:pPr>
        <w:rPr>
          <w:sz w:val="24"/>
          <w:szCs w:val="24"/>
        </w:rPr>
      </w:pPr>
      <w:r>
        <w:rPr>
          <w:rFonts w:hint="eastAsia"/>
          <w:b/>
          <w:sz w:val="24"/>
          <w:szCs w:val="24"/>
        </w:rPr>
        <w:t>一、供货范围</w:t>
      </w:r>
      <w:r>
        <w:rPr>
          <w:rFonts w:hint="eastAsia"/>
          <w:sz w:val="24"/>
          <w:szCs w:val="24"/>
        </w:rPr>
        <w:t>（按照组成项目主要构成一览表的所有最小单元逐一列示，要涵盖培训等内容）见表9。</w:t>
      </w:r>
    </w:p>
    <w:p w14:paraId="3220C246">
      <w:pPr>
        <w:jc w:val="center"/>
        <w:rPr>
          <w:sz w:val="24"/>
          <w:szCs w:val="24"/>
        </w:rPr>
      </w:pPr>
      <w:r>
        <w:rPr>
          <w:sz w:val="24"/>
          <w:szCs w:val="24"/>
        </w:rPr>
        <w:t>表</w:t>
      </w:r>
      <w:r>
        <w:rPr>
          <w:rFonts w:hint="eastAsia"/>
          <w:sz w:val="24"/>
          <w:szCs w:val="24"/>
        </w:rPr>
        <w:t>9</w:t>
      </w:r>
      <w:r>
        <w:rPr>
          <w:sz w:val="24"/>
          <w:szCs w:val="24"/>
        </w:rPr>
        <w:t xml:space="preserve">   </w:t>
      </w:r>
      <w:r>
        <w:rPr>
          <w:rFonts w:hint="eastAsia"/>
          <w:sz w:val="24"/>
          <w:szCs w:val="24"/>
        </w:rPr>
        <w:t>组成项目主要构成一览表</w:t>
      </w:r>
    </w:p>
    <w:tbl>
      <w:tblPr>
        <w:tblStyle w:val="36"/>
        <w:tblW w:w="9260" w:type="dxa"/>
        <w:tblInd w:w="0" w:type="dxa"/>
        <w:tblLayout w:type="autofit"/>
        <w:tblCellMar>
          <w:top w:w="0" w:type="dxa"/>
          <w:left w:w="108" w:type="dxa"/>
          <w:bottom w:w="0" w:type="dxa"/>
          <w:right w:w="108" w:type="dxa"/>
        </w:tblCellMar>
      </w:tblPr>
      <w:tblGrid>
        <w:gridCol w:w="640"/>
        <w:gridCol w:w="2010"/>
        <w:gridCol w:w="4660"/>
        <w:gridCol w:w="670"/>
        <w:gridCol w:w="580"/>
        <w:gridCol w:w="700"/>
      </w:tblGrid>
      <w:tr w14:paraId="42C0BAD3">
        <w:tblPrEx>
          <w:tblCellMar>
            <w:top w:w="0" w:type="dxa"/>
            <w:left w:w="108" w:type="dxa"/>
            <w:bottom w:w="0" w:type="dxa"/>
            <w:right w:w="108" w:type="dxa"/>
          </w:tblCellMar>
        </w:tblPrEx>
        <w:trPr>
          <w:trHeight w:val="540" w:hRule="atLeast"/>
        </w:trPr>
        <w:tc>
          <w:tcPr>
            <w:tcW w:w="64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82E3EB0">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序号</w:t>
            </w:r>
          </w:p>
        </w:tc>
        <w:tc>
          <w:tcPr>
            <w:tcW w:w="2010" w:type="dxa"/>
            <w:tcBorders>
              <w:top w:val="single" w:color="auto" w:sz="4" w:space="0"/>
              <w:left w:val="nil"/>
              <w:bottom w:val="single" w:color="auto" w:sz="4" w:space="0"/>
              <w:right w:val="single" w:color="auto" w:sz="4" w:space="0"/>
            </w:tcBorders>
            <w:shd w:val="clear" w:color="auto" w:fill="auto"/>
            <w:vAlign w:val="center"/>
          </w:tcPr>
          <w:p w14:paraId="735FA7AF">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名称</w:t>
            </w:r>
          </w:p>
        </w:tc>
        <w:tc>
          <w:tcPr>
            <w:tcW w:w="4660" w:type="dxa"/>
            <w:tcBorders>
              <w:top w:val="single" w:color="auto" w:sz="4" w:space="0"/>
              <w:left w:val="nil"/>
              <w:bottom w:val="single" w:color="auto" w:sz="4" w:space="0"/>
              <w:right w:val="single" w:color="auto" w:sz="4" w:space="0"/>
            </w:tcBorders>
            <w:shd w:val="clear" w:color="auto" w:fill="auto"/>
            <w:noWrap/>
            <w:vAlign w:val="center"/>
          </w:tcPr>
          <w:p w14:paraId="5450F657">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规格型号及说明</w:t>
            </w:r>
          </w:p>
        </w:tc>
        <w:tc>
          <w:tcPr>
            <w:tcW w:w="670" w:type="dxa"/>
            <w:tcBorders>
              <w:top w:val="single" w:color="auto" w:sz="4" w:space="0"/>
              <w:left w:val="nil"/>
              <w:bottom w:val="single" w:color="auto" w:sz="4" w:space="0"/>
              <w:right w:val="single" w:color="auto" w:sz="4" w:space="0"/>
            </w:tcBorders>
            <w:shd w:val="clear" w:color="auto" w:fill="auto"/>
            <w:vAlign w:val="center"/>
          </w:tcPr>
          <w:p w14:paraId="309E33B6">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计量单位</w:t>
            </w:r>
          </w:p>
        </w:tc>
        <w:tc>
          <w:tcPr>
            <w:tcW w:w="580" w:type="dxa"/>
            <w:tcBorders>
              <w:top w:val="single" w:color="auto" w:sz="4" w:space="0"/>
              <w:left w:val="nil"/>
              <w:bottom w:val="single" w:color="auto" w:sz="4" w:space="0"/>
              <w:right w:val="single" w:color="auto" w:sz="4" w:space="0"/>
            </w:tcBorders>
            <w:shd w:val="clear" w:color="auto" w:fill="auto"/>
            <w:noWrap/>
            <w:vAlign w:val="center"/>
          </w:tcPr>
          <w:p w14:paraId="5E7180C4">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数量</w:t>
            </w:r>
          </w:p>
        </w:tc>
        <w:tc>
          <w:tcPr>
            <w:tcW w:w="700" w:type="dxa"/>
            <w:tcBorders>
              <w:top w:val="single" w:color="auto" w:sz="4" w:space="0"/>
              <w:left w:val="nil"/>
              <w:bottom w:val="single" w:color="auto" w:sz="4" w:space="0"/>
              <w:right w:val="single" w:color="auto" w:sz="4" w:space="0"/>
            </w:tcBorders>
            <w:shd w:val="clear" w:color="auto" w:fill="auto"/>
            <w:noWrap/>
            <w:vAlign w:val="center"/>
          </w:tcPr>
          <w:p w14:paraId="0ACF6550">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备注</w:t>
            </w:r>
          </w:p>
        </w:tc>
      </w:tr>
      <w:tr w14:paraId="4C2B0E04">
        <w:tblPrEx>
          <w:tblCellMar>
            <w:top w:w="0" w:type="dxa"/>
            <w:left w:w="108" w:type="dxa"/>
            <w:bottom w:w="0" w:type="dxa"/>
            <w:right w:w="108" w:type="dxa"/>
          </w:tblCellMar>
        </w:tblPrEx>
        <w:trPr>
          <w:trHeight w:val="135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7BE24060">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1</w:t>
            </w:r>
          </w:p>
        </w:tc>
        <w:tc>
          <w:tcPr>
            <w:tcW w:w="2010" w:type="dxa"/>
            <w:tcBorders>
              <w:top w:val="nil"/>
              <w:left w:val="nil"/>
              <w:bottom w:val="single" w:color="auto" w:sz="4" w:space="0"/>
              <w:right w:val="single" w:color="auto" w:sz="4" w:space="0"/>
            </w:tcBorders>
            <w:shd w:val="clear" w:color="auto" w:fill="auto"/>
            <w:vAlign w:val="center"/>
          </w:tcPr>
          <w:p w14:paraId="2BF2D3D9">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测功电机</w:t>
            </w:r>
          </w:p>
        </w:tc>
        <w:tc>
          <w:tcPr>
            <w:tcW w:w="4660" w:type="dxa"/>
            <w:tcBorders>
              <w:top w:val="nil"/>
              <w:left w:val="nil"/>
              <w:bottom w:val="single" w:color="auto" w:sz="4" w:space="0"/>
              <w:right w:val="single" w:color="auto" w:sz="4" w:space="0"/>
            </w:tcBorders>
            <w:shd w:val="clear" w:color="auto" w:fill="auto"/>
            <w:vAlign w:val="center"/>
          </w:tcPr>
          <w:p w14:paraId="756EBA66">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西门子1PH8286,</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功率445kW ，扭矩2429N.m </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恒扭矩转速0~1750rpm，恒功率转速1750~2200rpm </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最高转速3300rpm</w:t>
            </w:r>
          </w:p>
        </w:tc>
        <w:tc>
          <w:tcPr>
            <w:tcW w:w="670" w:type="dxa"/>
            <w:tcBorders>
              <w:top w:val="nil"/>
              <w:left w:val="nil"/>
              <w:bottom w:val="single" w:color="auto" w:sz="4" w:space="0"/>
              <w:right w:val="single" w:color="auto" w:sz="4" w:space="0"/>
            </w:tcBorders>
            <w:shd w:val="clear" w:color="auto" w:fill="auto"/>
            <w:noWrap/>
            <w:vAlign w:val="center"/>
          </w:tcPr>
          <w:p w14:paraId="2A96BCBD">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7FD8AA8C">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8</w:t>
            </w:r>
          </w:p>
        </w:tc>
        <w:tc>
          <w:tcPr>
            <w:tcW w:w="700" w:type="dxa"/>
            <w:tcBorders>
              <w:top w:val="nil"/>
              <w:left w:val="nil"/>
              <w:bottom w:val="single" w:color="auto" w:sz="4" w:space="0"/>
              <w:right w:val="single" w:color="auto" w:sz="4" w:space="0"/>
            </w:tcBorders>
            <w:shd w:val="clear" w:color="auto" w:fill="auto"/>
            <w:noWrap/>
            <w:vAlign w:val="center"/>
          </w:tcPr>
          <w:p w14:paraId="4C2347A4">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　</w:t>
            </w:r>
          </w:p>
        </w:tc>
      </w:tr>
      <w:tr w14:paraId="5EC0EE01">
        <w:tblPrEx>
          <w:tblCellMar>
            <w:top w:w="0" w:type="dxa"/>
            <w:left w:w="108" w:type="dxa"/>
            <w:bottom w:w="0" w:type="dxa"/>
            <w:right w:w="108" w:type="dxa"/>
          </w:tblCellMar>
        </w:tblPrEx>
        <w:trPr>
          <w:trHeight w:val="27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39CFCA7D">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2</w:t>
            </w:r>
          </w:p>
        </w:tc>
        <w:tc>
          <w:tcPr>
            <w:tcW w:w="2010" w:type="dxa"/>
            <w:tcBorders>
              <w:top w:val="nil"/>
              <w:left w:val="nil"/>
              <w:bottom w:val="single" w:color="auto" w:sz="4" w:space="0"/>
              <w:right w:val="single" w:color="auto" w:sz="4" w:space="0"/>
            </w:tcBorders>
            <w:shd w:val="clear" w:color="auto" w:fill="auto"/>
            <w:vAlign w:val="center"/>
          </w:tcPr>
          <w:p w14:paraId="15A544C1">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电机底座</w:t>
            </w:r>
          </w:p>
        </w:tc>
        <w:tc>
          <w:tcPr>
            <w:tcW w:w="4660" w:type="dxa"/>
            <w:tcBorders>
              <w:top w:val="nil"/>
              <w:left w:val="nil"/>
              <w:bottom w:val="single" w:color="auto" w:sz="4" w:space="0"/>
              <w:right w:val="single" w:color="auto" w:sz="4" w:space="0"/>
            </w:tcBorders>
            <w:shd w:val="clear" w:color="auto" w:fill="auto"/>
            <w:vAlign w:val="center"/>
          </w:tcPr>
          <w:p w14:paraId="38465F6B">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焊接钢结构，重约1.5吨，去应力</w:t>
            </w:r>
          </w:p>
        </w:tc>
        <w:tc>
          <w:tcPr>
            <w:tcW w:w="670" w:type="dxa"/>
            <w:tcBorders>
              <w:top w:val="nil"/>
              <w:left w:val="nil"/>
              <w:bottom w:val="single" w:color="auto" w:sz="4" w:space="0"/>
              <w:right w:val="single" w:color="auto" w:sz="4" w:space="0"/>
            </w:tcBorders>
            <w:shd w:val="clear" w:color="auto" w:fill="auto"/>
            <w:noWrap/>
            <w:vAlign w:val="center"/>
          </w:tcPr>
          <w:p w14:paraId="041A54A7">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35311383">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8</w:t>
            </w:r>
          </w:p>
        </w:tc>
        <w:tc>
          <w:tcPr>
            <w:tcW w:w="700" w:type="dxa"/>
            <w:tcBorders>
              <w:top w:val="nil"/>
              <w:left w:val="nil"/>
              <w:bottom w:val="single" w:color="auto" w:sz="4" w:space="0"/>
              <w:right w:val="single" w:color="auto" w:sz="4" w:space="0"/>
            </w:tcBorders>
            <w:shd w:val="clear" w:color="auto" w:fill="auto"/>
            <w:vAlign w:val="center"/>
          </w:tcPr>
          <w:p w14:paraId="214325BF">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　</w:t>
            </w:r>
          </w:p>
        </w:tc>
      </w:tr>
      <w:tr w14:paraId="3A7D86F9">
        <w:tblPrEx>
          <w:tblCellMar>
            <w:top w:w="0" w:type="dxa"/>
            <w:left w:w="108" w:type="dxa"/>
            <w:bottom w:w="0" w:type="dxa"/>
            <w:right w:w="108" w:type="dxa"/>
          </w:tblCellMar>
        </w:tblPrEx>
        <w:trPr>
          <w:trHeight w:val="27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20BB217E">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3</w:t>
            </w:r>
          </w:p>
        </w:tc>
        <w:tc>
          <w:tcPr>
            <w:tcW w:w="2010" w:type="dxa"/>
            <w:tcBorders>
              <w:top w:val="nil"/>
              <w:left w:val="nil"/>
              <w:bottom w:val="single" w:color="auto" w:sz="4" w:space="0"/>
              <w:right w:val="single" w:color="auto" w:sz="4" w:space="0"/>
            </w:tcBorders>
            <w:shd w:val="clear" w:color="auto" w:fill="auto"/>
            <w:vAlign w:val="center"/>
          </w:tcPr>
          <w:p w14:paraId="15B5408E">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变频驱动柜</w:t>
            </w:r>
          </w:p>
        </w:tc>
        <w:tc>
          <w:tcPr>
            <w:tcW w:w="4660" w:type="dxa"/>
            <w:tcBorders>
              <w:top w:val="nil"/>
              <w:left w:val="nil"/>
              <w:bottom w:val="single" w:color="auto" w:sz="4" w:space="0"/>
              <w:right w:val="single" w:color="auto" w:sz="4" w:space="0"/>
            </w:tcBorders>
            <w:shd w:val="clear" w:color="auto" w:fill="auto"/>
            <w:vAlign w:val="center"/>
          </w:tcPr>
          <w:p w14:paraId="02DA669C">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西门子S120</w:t>
            </w:r>
          </w:p>
        </w:tc>
        <w:tc>
          <w:tcPr>
            <w:tcW w:w="670" w:type="dxa"/>
            <w:tcBorders>
              <w:top w:val="nil"/>
              <w:left w:val="nil"/>
              <w:bottom w:val="single" w:color="auto" w:sz="4" w:space="0"/>
              <w:right w:val="single" w:color="auto" w:sz="4" w:space="0"/>
            </w:tcBorders>
            <w:shd w:val="clear" w:color="auto" w:fill="auto"/>
            <w:noWrap/>
            <w:vAlign w:val="center"/>
          </w:tcPr>
          <w:p w14:paraId="14E25B34">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04765A1B">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8</w:t>
            </w:r>
          </w:p>
        </w:tc>
        <w:tc>
          <w:tcPr>
            <w:tcW w:w="700" w:type="dxa"/>
            <w:tcBorders>
              <w:top w:val="nil"/>
              <w:left w:val="nil"/>
              <w:bottom w:val="single" w:color="auto" w:sz="4" w:space="0"/>
              <w:right w:val="single" w:color="auto" w:sz="4" w:space="0"/>
            </w:tcBorders>
            <w:shd w:val="clear" w:color="auto" w:fill="auto"/>
            <w:noWrap/>
            <w:vAlign w:val="center"/>
          </w:tcPr>
          <w:p w14:paraId="517D6F67">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6A8E8000">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5AEC031E">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4</w:t>
            </w:r>
          </w:p>
        </w:tc>
        <w:tc>
          <w:tcPr>
            <w:tcW w:w="2010" w:type="dxa"/>
            <w:tcBorders>
              <w:top w:val="nil"/>
              <w:left w:val="nil"/>
              <w:bottom w:val="single" w:color="auto" w:sz="4" w:space="0"/>
              <w:right w:val="single" w:color="auto" w:sz="4" w:space="0"/>
            </w:tcBorders>
            <w:shd w:val="clear" w:color="auto" w:fill="auto"/>
            <w:vAlign w:val="center"/>
          </w:tcPr>
          <w:p w14:paraId="2D7A9AED">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电能表</w:t>
            </w:r>
          </w:p>
        </w:tc>
        <w:tc>
          <w:tcPr>
            <w:tcW w:w="4660" w:type="dxa"/>
            <w:tcBorders>
              <w:top w:val="nil"/>
              <w:left w:val="nil"/>
              <w:bottom w:val="single" w:color="auto" w:sz="4" w:space="0"/>
              <w:right w:val="single" w:color="auto" w:sz="4" w:space="0"/>
            </w:tcBorders>
            <w:shd w:val="clear" w:color="auto" w:fill="auto"/>
            <w:vAlign w:val="center"/>
          </w:tcPr>
          <w:p w14:paraId="690F5D4D">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台架电机电能回馈测量，双向计量、通讯上传，带LCD显示；0.5%F.S.</w:t>
            </w:r>
          </w:p>
        </w:tc>
        <w:tc>
          <w:tcPr>
            <w:tcW w:w="670" w:type="dxa"/>
            <w:tcBorders>
              <w:top w:val="nil"/>
              <w:left w:val="nil"/>
              <w:bottom w:val="single" w:color="auto" w:sz="4" w:space="0"/>
              <w:right w:val="single" w:color="auto" w:sz="4" w:space="0"/>
            </w:tcBorders>
            <w:shd w:val="clear" w:color="auto" w:fill="auto"/>
            <w:noWrap/>
            <w:vAlign w:val="center"/>
          </w:tcPr>
          <w:p w14:paraId="122D9099">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10552F74">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8</w:t>
            </w:r>
          </w:p>
        </w:tc>
        <w:tc>
          <w:tcPr>
            <w:tcW w:w="700" w:type="dxa"/>
            <w:tcBorders>
              <w:top w:val="nil"/>
              <w:left w:val="nil"/>
              <w:bottom w:val="single" w:color="auto" w:sz="4" w:space="0"/>
              <w:right w:val="single" w:color="auto" w:sz="4" w:space="0"/>
            </w:tcBorders>
            <w:shd w:val="clear" w:color="auto" w:fill="auto"/>
            <w:noWrap/>
            <w:vAlign w:val="center"/>
          </w:tcPr>
          <w:p w14:paraId="40B111A8">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5F03CE14">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59BBBB32">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5</w:t>
            </w:r>
          </w:p>
        </w:tc>
        <w:tc>
          <w:tcPr>
            <w:tcW w:w="2010" w:type="dxa"/>
            <w:tcBorders>
              <w:top w:val="nil"/>
              <w:left w:val="nil"/>
              <w:bottom w:val="single" w:color="auto" w:sz="4" w:space="0"/>
              <w:right w:val="single" w:color="auto" w:sz="4" w:space="0"/>
            </w:tcBorders>
            <w:shd w:val="clear" w:color="auto" w:fill="auto"/>
            <w:vAlign w:val="center"/>
          </w:tcPr>
          <w:p w14:paraId="144328C3">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动力电缆</w:t>
            </w:r>
          </w:p>
        </w:tc>
        <w:tc>
          <w:tcPr>
            <w:tcW w:w="4660" w:type="dxa"/>
            <w:tcBorders>
              <w:top w:val="nil"/>
              <w:left w:val="nil"/>
              <w:bottom w:val="single" w:color="auto" w:sz="4" w:space="0"/>
              <w:right w:val="single" w:color="auto" w:sz="4" w:space="0"/>
            </w:tcBorders>
            <w:shd w:val="clear" w:color="auto" w:fill="auto"/>
            <w:vAlign w:val="center"/>
          </w:tcPr>
          <w:p w14:paraId="734B770D">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连接测功机与变频柜，采用VVRP70屏蔽电缆；相线3x120mm²，包含线槽及支架</w:t>
            </w:r>
          </w:p>
        </w:tc>
        <w:tc>
          <w:tcPr>
            <w:tcW w:w="670" w:type="dxa"/>
            <w:tcBorders>
              <w:top w:val="nil"/>
              <w:left w:val="nil"/>
              <w:bottom w:val="single" w:color="auto" w:sz="4" w:space="0"/>
              <w:right w:val="single" w:color="auto" w:sz="4" w:space="0"/>
            </w:tcBorders>
            <w:shd w:val="clear" w:color="auto" w:fill="auto"/>
            <w:noWrap/>
            <w:vAlign w:val="center"/>
          </w:tcPr>
          <w:p w14:paraId="2A0DD9D7">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16EF07BE">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8</w:t>
            </w:r>
          </w:p>
        </w:tc>
        <w:tc>
          <w:tcPr>
            <w:tcW w:w="700" w:type="dxa"/>
            <w:tcBorders>
              <w:top w:val="nil"/>
              <w:left w:val="nil"/>
              <w:bottom w:val="single" w:color="auto" w:sz="4" w:space="0"/>
              <w:right w:val="single" w:color="auto" w:sz="4" w:space="0"/>
            </w:tcBorders>
            <w:shd w:val="clear" w:color="auto" w:fill="auto"/>
            <w:noWrap/>
            <w:vAlign w:val="center"/>
          </w:tcPr>
          <w:p w14:paraId="08D23518">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0084E164">
        <w:tblPrEx>
          <w:tblCellMar>
            <w:top w:w="0" w:type="dxa"/>
            <w:left w:w="108" w:type="dxa"/>
            <w:bottom w:w="0" w:type="dxa"/>
            <w:right w:w="108" w:type="dxa"/>
          </w:tblCellMar>
        </w:tblPrEx>
        <w:trPr>
          <w:trHeight w:val="27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562F8B15">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6</w:t>
            </w:r>
          </w:p>
        </w:tc>
        <w:tc>
          <w:tcPr>
            <w:tcW w:w="2010" w:type="dxa"/>
            <w:tcBorders>
              <w:top w:val="nil"/>
              <w:left w:val="nil"/>
              <w:bottom w:val="single" w:color="auto" w:sz="4" w:space="0"/>
              <w:right w:val="single" w:color="auto" w:sz="4" w:space="0"/>
            </w:tcBorders>
            <w:shd w:val="clear" w:color="auto" w:fill="auto"/>
            <w:vAlign w:val="center"/>
          </w:tcPr>
          <w:p w14:paraId="67929B74">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扭矩法兰</w:t>
            </w:r>
          </w:p>
        </w:tc>
        <w:tc>
          <w:tcPr>
            <w:tcW w:w="4660" w:type="dxa"/>
            <w:tcBorders>
              <w:top w:val="nil"/>
              <w:left w:val="nil"/>
              <w:bottom w:val="single" w:color="auto" w:sz="4" w:space="0"/>
              <w:right w:val="single" w:color="auto" w:sz="4" w:space="0"/>
            </w:tcBorders>
            <w:shd w:val="clear" w:color="auto" w:fill="auto"/>
            <w:vAlign w:val="center"/>
          </w:tcPr>
          <w:p w14:paraId="1C01621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HBM，T40B，5kN.m</w:t>
            </w:r>
          </w:p>
        </w:tc>
        <w:tc>
          <w:tcPr>
            <w:tcW w:w="670" w:type="dxa"/>
            <w:tcBorders>
              <w:top w:val="nil"/>
              <w:left w:val="nil"/>
              <w:bottom w:val="single" w:color="auto" w:sz="4" w:space="0"/>
              <w:right w:val="single" w:color="auto" w:sz="4" w:space="0"/>
            </w:tcBorders>
            <w:shd w:val="clear" w:color="auto" w:fill="auto"/>
            <w:noWrap/>
            <w:vAlign w:val="center"/>
          </w:tcPr>
          <w:p w14:paraId="52CE36BF">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36D59279">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8</w:t>
            </w:r>
          </w:p>
        </w:tc>
        <w:tc>
          <w:tcPr>
            <w:tcW w:w="700" w:type="dxa"/>
            <w:tcBorders>
              <w:top w:val="nil"/>
              <w:left w:val="nil"/>
              <w:bottom w:val="single" w:color="auto" w:sz="4" w:space="0"/>
              <w:right w:val="single" w:color="auto" w:sz="4" w:space="0"/>
            </w:tcBorders>
            <w:shd w:val="clear" w:color="auto" w:fill="auto"/>
            <w:noWrap/>
            <w:vAlign w:val="center"/>
          </w:tcPr>
          <w:p w14:paraId="12CF8B16">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60330209">
        <w:tblPrEx>
          <w:tblCellMar>
            <w:top w:w="0" w:type="dxa"/>
            <w:left w:w="108" w:type="dxa"/>
            <w:bottom w:w="0" w:type="dxa"/>
            <w:right w:w="108" w:type="dxa"/>
          </w:tblCellMar>
        </w:tblPrEx>
        <w:trPr>
          <w:trHeight w:val="27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6EA37DB7">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7</w:t>
            </w:r>
          </w:p>
        </w:tc>
        <w:tc>
          <w:tcPr>
            <w:tcW w:w="2010" w:type="dxa"/>
            <w:tcBorders>
              <w:top w:val="nil"/>
              <w:left w:val="nil"/>
              <w:bottom w:val="single" w:color="auto" w:sz="4" w:space="0"/>
              <w:right w:val="single" w:color="auto" w:sz="4" w:space="0"/>
            </w:tcBorders>
            <w:shd w:val="clear" w:color="auto" w:fill="auto"/>
            <w:vAlign w:val="center"/>
          </w:tcPr>
          <w:p w14:paraId="26894921">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校准装置</w:t>
            </w:r>
          </w:p>
        </w:tc>
        <w:tc>
          <w:tcPr>
            <w:tcW w:w="4660" w:type="dxa"/>
            <w:tcBorders>
              <w:top w:val="nil"/>
              <w:left w:val="nil"/>
              <w:bottom w:val="single" w:color="auto" w:sz="4" w:space="0"/>
              <w:right w:val="single" w:color="auto" w:sz="4" w:space="0"/>
            </w:tcBorders>
            <w:shd w:val="clear" w:color="auto" w:fill="auto"/>
            <w:vAlign w:val="center"/>
          </w:tcPr>
          <w:p w14:paraId="67F70972">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标定臂、砝码盘、挂钩</w:t>
            </w:r>
          </w:p>
        </w:tc>
        <w:tc>
          <w:tcPr>
            <w:tcW w:w="670" w:type="dxa"/>
            <w:tcBorders>
              <w:top w:val="nil"/>
              <w:left w:val="nil"/>
              <w:bottom w:val="single" w:color="auto" w:sz="4" w:space="0"/>
              <w:right w:val="single" w:color="auto" w:sz="4" w:space="0"/>
            </w:tcBorders>
            <w:shd w:val="clear" w:color="auto" w:fill="auto"/>
            <w:noWrap/>
            <w:vAlign w:val="center"/>
          </w:tcPr>
          <w:p w14:paraId="43054224">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2749A53A">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654E168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3CD2E83F">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549E20D6">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8</w:t>
            </w:r>
          </w:p>
        </w:tc>
        <w:tc>
          <w:tcPr>
            <w:tcW w:w="2010" w:type="dxa"/>
            <w:tcBorders>
              <w:top w:val="nil"/>
              <w:left w:val="nil"/>
              <w:bottom w:val="single" w:color="auto" w:sz="4" w:space="0"/>
              <w:right w:val="single" w:color="auto" w:sz="4" w:space="0"/>
            </w:tcBorders>
            <w:shd w:val="clear" w:color="auto" w:fill="auto"/>
            <w:vAlign w:val="center"/>
          </w:tcPr>
          <w:p w14:paraId="1F5B471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挠性快接传动轴</w:t>
            </w:r>
          </w:p>
        </w:tc>
        <w:tc>
          <w:tcPr>
            <w:tcW w:w="4660" w:type="dxa"/>
            <w:tcBorders>
              <w:top w:val="nil"/>
              <w:left w:val="nil"/>
              <w:bottom w:val="single" w:color="auto" w:sz="4" w:space="0"/>
              <w:right w:val="single" w:color="auto" w:sz="4" w:space="0"/>
            </w:tcBorders>
            <w:shd w:val="clear" w:color="auto" w:fill="auto"/>
            <w:vAlign w:val="center"/>
          </w:tcPr>
          <w:p w14:paraId="23898386">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自动对接结构，高可靠、耐磨损、顶齿保护，配CENTA高弹联轴器</w:t>
            </w:r>
          </w:p>
        </w:tc>
        <w:tc>
          <w:tcPr>
            <w:tcW w:w="670" w:type="dxa"/>
            <w:tcBorders>
              <w:top w:val="nil"/>
              <w:left w:val="nil"/>
              <w:bottom w:val="single" w:color="auto" w:sz="4" w:space="0"/>
              <w:right w:val="single" w:color="auto" w:sz="4" w:space="0"/>
            </w:tcBorders>
            <w:shd w:val="clear" w:color="auto" w:fill="auto"/>
            <w:noWrap/>
            <w:vAlign w:val="center"/>
          </w:tcPr>
          <w:p w14:paraId="1D4EF2CF">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13DD549C">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8</w:t>
            </w:r>
          </w:p>
        </w:tc>
        <w:tc>
          <w:tcPr>
            <w:tcW w:w="700" w:type="dxa"/>
            <w:tcBorders>
              <w:top w:val="nil"/>
              <w:left w:val="nil"/>
              <w:bottom w:val="single" w:color="auto" w:sz="4" w:space="0"/>
              <w:right w:val="single" w:color="auto" w:sz="4" w:space="0"/>
            </w:tcBorders>
            <w:shd w:val="clear" w:color="auto" w:fill="auto"/>
            <w:noWrap/>
            <w:vAlign w:val="center"/>
          </w:tcPr>
          <w:p w14:paraId="1553EFDD">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3DF5581B">
        <w:tblPrEx>
          <w:tblCellMar>
            <w:top w:w="0" w:type="dxa"/>
            <w:left w:w="108" w:type="dxa"/>
            <w:bottom w:w="0" w:type="dxa"/>
            <w:right w:w="108" w:type="dxa"/>
          </w:tblCellMar>
        </w:tblPrEx>
        <w:trPr>
          <w:trHeight w:val="27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11997715">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2010" w:type="dxa"/>
            <w:tcBorders>
              <w:top w:val="nil"/>
              <w:left w:val="nil"/>
              <w:bottom w:val="single" w:color="auto" w:sz="4" w:space="0"/>
              <w:right w:val="single" w:color="auto" w:sz="4" w:space="0"/>
            </w:tcBorders>
            <w:shd w:val="clear" w:color="auto" w:fill="auto"/>
            <w:vAlign w:val="center"/>
          </w:tcPr>
          <w:p w14:paraId="39C44CCF">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传动轴防护罩</w:t>
            </w:r>
          </w:p>
        </w:tc>
        <w:tc>
          <w:tcPr>
            <w:tcW w:w="4660" w:type="dxa"/>
            <w:tcBorders>
              <w:top w:val="nil"/>
              <w:left w:val="nil"/>
              <w:bottom w:val="single" w:color="auto" w:sz="4" w:space="0"/>
              <w:right w:val="single" w:color="auto" w:sz="4" w:space="0"/>
            </w:tcBorders>
            <w:shd w:val="clear" w:color="auto" w:fill="auto"/>
            <w:vAlign w:val="center"/>
          </w:tcPr>
          <w:p w14:paraId="2FAA8FA4">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带接近开关</w:t>
            </w:r>
          </w:p>
        </w:tc>
        <w:tc>
          <w:tcPr>
            <w:tcW w:w="670" w:type="dxa"/>
            <w:tcBorders>
              <w:top w:val="nil"/>
              <w:left w:val="nil"/>
              <w:bottom w:val="single" w:color="auto" w:sz="4" w:space="0"/>
              <w:right w:val="single" w:color="auto" w:sz="4" w:space="0"/>
            </w:tcBorders>
            <w:shd w:val="clear" w:color="auto" w:fill="auto"/>
            <w:noWrap/>
            <w:vAlign w:val="center"/>
          </w:tcPr>
          <w:p w14:paraId="54514211">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07D22364">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8</w:t>
            </w:r>
          </w:p>
        </w:tc>
        <w:tc>
          <w:tcPr>
            <w:tcW w:w="700" w:type="dxa"/>
            <w:tcBorders>
              <w:top w:val="nil"/>
              <w:left w:val="nil"/>
              <w:bottom w:val="single" w:color="auto" w:sz="4" w:space="0"/>
              <w:right w:val="single" w:color="auto" w:sz="4" w:space="0"/>
            </w:tcBorders>
            <w:shd w:val="clear" w:color="auto" w:fill="auto"/>
            <w:noWrap/>
            <w:vAlign w:val="center"/>
          </w:tcPr>
          <w:p w14:paraId="30A103AC">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2343434A">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3686A021">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10</w:t>
            </w:r>
          </w:p>
        </w:tc>
        <w:tc>
          <w:tcPr>
            <w:tcW w:w="2010" w:type="dxa"/>
            <w:tcBorders>
              <w:top w:val="nil"/>
              <w:left w:val="nil"/>
              <w:bottom w:val="single" w:color="auto" w:sz="4" w:space="0"/>
              <w:right w:val="single" w:color="auto" w:sz="4" w:space="0"/>
            </w:tcBorders>
            <w:shd w:val="clear" w:color="auto" w:fill="auto"/>
            <w:vAlign w:val="center"/>
          </w:tcPr>
          <w:p w14:paraId="2E65B02B">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辅助支撑（过渡轴）</w:t>
            </w:r>
          </w:p>
        </w:tc>
        <w:tc>
          <w:tcPr>
            <w:tcW w:w="4660" w:type="dxa"/>
            <w:tcBorders>
              <w:top w:val="nil"/>
              <w:left w:val="nil"/>
              <w:bottom w:val="single" w:color="auto" w:sz="4" w:space="0"/>
              <w:right w:val="single" w:color="auto" w:sz="4" w:space="0"/>
            </w:tcBorders>
            <w:shd w:val="clear" w:color="auto" w:fill="auto"/>
            <w:vAlign w:val="center"/>
          </w:tcPr>
          <w:p w14:paraId="20DE9AFC">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传动轴系支撑及保护，轴承温度监控</w:t>
            </w:r>
          </w:p>
        </w:tc>
        <w:tc>
          <w:tcPr>
            <w:tcW w:w="670" w:type="dxa"/>
            <w:tcBorders>
              <w:top w:val="nil"/>
              <w:left w:val="nil"/>
              <w:bottom w:val="single" w:color="auto" w:sz="4" w:space="0"/>
              <w:right w:val="single" w:color="auto" w:sz="4" w:space="0"/>
            </w:tcBorders>
            <w:shd w:val="clear" w:color="auto" w:fill="auto"/>
            <w:noWrap/>
            <w:vAlign w:val="center"/>
          </w:tcPr>
          <w:p w14:paraId="7A267ECC">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20264CFD">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8</w:t>
            </w:r>
          </w:p>
        </w:tc>
        <w:tc>
          <w:tcPr>
            <w:tcW w:w="700" w:type="dxa"/>
            <w:tcBorders>
              <w:top w:val="nil"/>
              <w:left w:val="nil"/>
              <w:bottom w:val="single" w:color="auto" w:sz="4" w:space="0"/>
              <w:right w:val="single" w:color="auto" w:sz="4" w:space="0"/>
            </w:tcBorders>
            <w:shd w:val="clear" w:color="auto" w:fill="auto"/>
            <w:noWrap/>
            <w:vAlign w:val="center"/>
          </w:tcPr>
          <w:p w14:paraId="62CCCFEF">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1FA8C511">
        <w:tblPrEx>
          <w:tblCellMar>
            <w:top w:w="0" w:type="dxa"/>
            <w:left w:w="108" w:type="dxa"/>
            <w:bottom w:w="0" w:type="dxa"/>
            <w:right w:w="108" w:type="dxa"/>
          </w:tblCellMar>
        </w:tblPrEx>
        <w:trPr>
          <w:trHeight w:val="27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6C2AB1DF">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11</w:t>
            </w:r>
          </w:p>
        </w:tc>
        <w:tc>
          <w:tcPr>
            <w:tcW w:w="2010" w:type="dxa"/>
            <w:tcBorders>
              <w:top w:val="nil"/>
              <w:left w:val="nil"/>
              <w:bottom w:val="single" w:color="auto" w:sz="4" w:space="0"/>
              <w:right w:val="single" w:color="auto" w:sz="4" w:space="0"/>
            </w:tcBorders>
            <w:shd w:val="clear" w:color="auto" w:fill="auto"/>
            <w:vAlign w:val="center"/>
          </w:tcPr>
          <w:p w14:paraId="52B831AE">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振动传感器</w:t>
            </w:r>
          </w:p>
        </w:tc>
        <w:tc>
          <w:tcPr>
            <w:tcW w:w="4660" w:type="dxa"/>
            <w:tcBorders>
              <w:top w:val="nil"/>
              <w:left w:val="nil"/>
              <w:bottom w:val="single" w:color="auto" w:sz="4" w:space="0"/>
              <w:right w:val="single" w:color="auto" w:sz="4" w:space="0"/>
            </w:tcBorders>
            <w:shd w:val="clear" w:color="auto" w:fill="auto"/>
            <w:vAlign w:val="center"/>
          </w:tcPr>
          <w:p w14:paraId="7BF8C4AF">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易福门VTV122，配安装座及线缆</w:t>
            </w:r>
          </w:p>
        </w:tc>
        <w:tc>
          <w:tcPr>
            <w:tcW w:w="670" w:type="dxa"/>
            <w:tcBorders>
              <w:top w:val="nil"/>
              <w:left w:val="nil"/>
              <w:bottom w:val="single" w:color="auto" w:sz="4" w:space="0"/>
              <w:right w:val="single" w:color="auto" w:sz="4" w:space="0"/>
            </w:tcBorders>
            <w:shd w:val="clear" w:color="auto" w:fill="auto"/>
            <w:noWrap/>
            <w:vAlign w:val="center"/>
          </w:tcPr>
          <w:p w14:paraId="66EC5526">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5B25AAD8">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8</w:t>
            </w:r>
          </w:p>
        </w:tc>
        <w:tc>
          <w:tcPr>
            <w:tcW w:w="700" w:type="dxa"/>
            <w:tcBorders>
              <w:top w:val="nil"/>
              <w:left w:val="nil"/>
              <w:bottom w:val="single" w:color="auto" w:sz="4" w:space="0"/>
              <w:right w:val="single" w:color="auto" w:sz="4" w:space="0"/>
            </w:tcBorders>
            <w:shd w:val="clear" w:color="auto" w:fill="auto"/>
            <w:noWrap/>
            <w:vAlign w:val="center"/>
          </w:tcPr>
          <w:p w14:paraId="56A261B3">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44A15943">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1E073719">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12</w:t>
            </w:r>
          </w:p>
        </w:tc>
        <w:tc>
          <w:tcPr>
            <w:tcW w:w="2010" w:type="dxa"/>
            <w:tcBorders>
              <w:top w:val="nil"/>
              <w:left w:val="nil"/>
              <w:bottom w:val="single" w:color="auto" w:sz="4" w:space="0"/>
              <w:right w:val="single" w:color="auto" w:sz="4" w:space="0"/>
            </w:tcBorders>
            <w:shd w:val="clear" w:color="auto" w:fill="auto"/>
            <w:noWrap/>
            <w:vAlign w:val="center"/>
          </w:tcPr>
          <w:p w14:paraId="51DAD234">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电力测功机正压防爆装置</w:t>
            </w:r>
          </w:p>
        </w:tc>
        <w:tc>
          <w:tcPr>
            <w:tcW w:w="4660" w:type="dxa"/>
            <w:tcBorders>
              <w:top w:val="nil"/>
              <w:left w:val="nil"/>
              <w:bottom w:val="single" w:color="auto" w:sz="4" w:space="0"/>
              <w:right w:val="single" w:color="auto" w:sz="4" w:space="0"/>
            </w:tcBorders>
            <w:shd w:val="clear" w:color="auto" w:fill="auto"/>
            <w:vAlign w:val="center"/>
          </w:tcPr>
          <w:p w14:paraId="40A62B2F">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避免可燃气体接触电力测功机内部的电火花、电弧等</w:t>
            </w:r>
          </w:p>
        </w:tc>
        <w:tc>
          <w:tcPr>
            <w:tcW w:w="670" w:type="dxa"/>
            <w:tcBorders>
              <w:top w:val="nil"/>
              <w:left w:val="nil"/>
              <w:bottom w:val="single" w:color="auto" w:sz="4" w:space="0"/>
              <w:right w:val="single" w:color="auto" w:sz="4" w:space="0"/>
            </w:tcBorders>
            <w:shd w:val="clear" w:color="auto" w:fill="auto"/>
            <w:noWrap/>
            <w:vAlign w:val="center"/>
          </w:tcPr>
          <w:p w14:paraId="655B2C9E">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3BB3C259">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2</w:t>
            </w:r>
          </w:p>
        </w:tc>
        <w:tc>
          <w:tcPr>
            <w:tcW w:w="700" w:type="dxa"/>
            <w:tcBorders>
              <w:top w:val="nil"/>
              <w:left w:val="nil"/>
              <w:bottom w:val="single" w:color="auto" w:sz="4" w:space="0"/>
              <w:right w:val="single" w:color="auto" w:sz="4" w:space="0"/>
            </w:tcBorders>
            <w:shd w:val="clear" w:color="auto" w:fill="auto"/>
            <w:noWrap/>
            <w:vAlign w:val="center"/>
          </w:tcPr>
          <w:p w14:paraId="373E116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7AC134D9">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7034805E">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13</w:t>
            </w:r>
          </w:p>
        </w:tc>
        <w:tc>
          <w:tcPr>
            <w:tcW w:w="2010" w:type="dxa"/>
            <w:tcBorders>
              <w:top w:val="nil"/>
              <w:left w:val="nil"/>
              <w:bottom w:val="single" w:color="auto" w:sz="4" w:space="0"/>
              <w:right w:val="single" w:color="auto" w:sz="4" w:space="0"/>
            </w:tcBorders>
            <w:shd w:val="clear" w:color="auto" w:fill="auto"/>
            <w:vAlign w:val="center"/>
          </w:tcPr>
          <w:p w14:paraId="124C73AF">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双向直流电源</w:t>
            </w:r>
          </w:p>
        </w:tc>
        <w:tc>
          <w:tcPr>
            <w:tcW w:w="4660" w:type="dxa"/>
            <w:tcBorders>
              <w:top w:val="nil"/>
              <w:left w:val="nil"/>
              <w:bottom w:val="single" w:color="auto" w:sz="4" w:space="0"/>
              <w:right w:val="single" w:color="auto" w:sz="4" w:space="0"/>
            </w:tcBorders>
            <w:shd w:val="clear" w:color="auto" w:fill="auto"/>
            <w:vAlign w:val="center"/>
          </w:tcPr>
          <w:p w14:paraId="2EB55FC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科威尔D2000N</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功率300kW，电压12~1200V，电流900A </w:t>
            </w:r>
          </w:p>
        </w:tc>
        <w:tc>
          <w:tcPr>
            <w:tcW w:w="670" w:type="dxa"/>
            <w:tcBorders>
              <w:top w:val="nil"/>
              <w:left w:val="nil"/>
              <w:bottom w:val="single" w:color="auto" w:sz="4" w:space="0"/>
              <w:right w:val="single" w:color="auto" w:sz="4" w:space="0"/>
            </w:tcBorders>
            <w:shd w:val="clear" w:color="auto" w:fill="auto"/>
            <w:noWrap/>
            <w:vAlign w:val="center"/>
          </w:tcPr>
          <w:p w14:paraId="7DC31ACD">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台</w:t>
            </w:r>
          </w:p>
        </w:tc>
        <w:tc>
          <w:tcPr>
            <w:tcW w:w="580" w:type="dxa"/>
            <w:tcBorders>
              <w:top w:val="nil"/>
              <w:left w:val="nil"/>
              <w:bottom w:val="single" w:color="auto" w:sz="4" w:space="0"/>
              <w:right w:val="single" w:color="auto" w:sz="4" w:space="0"/>
            </w:tcBorders>
            <w:shd w:val="clear" w:color="auto" w:fill="auto"/>
            <w:noWrap/>
            <w:vAlign w:val="center"/>
          </w:tcPr>
          <w:p w14:paraId="7B736B78">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26146025">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6E9D7B95">
        <w:tblPrEx>
          <w:tblCellMar>
            <w:top w:w="0" w:type="dxa"/>
            <w:left w:w="108" w:type="dxa"/>
            <w:bottom w:w="0" w:type="dxa"/>
            <w:right w:w="108" w:type="dxa"/>
          </w:tblCellMar>
        </w:tblPrEx>
        <w:trPr>
          <w:trHeight w:val="585"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644E3B44">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14</w:t>
            </w:r>
          </w:p>
        </w:tc>
        <w:tc>
          <w:tcPr>
            <w:tcW w:w="2010" w:type="dxa"/>
            <w:tcBorders>
              <w:top w:val="nil"/>
              <w:left w:val="nil"/>
              <w:bottom w:val="single" w:color="auto" w:sz="4" w:space="0"/>
              <w:right w:val="single" w:color="auto" w:sz="4" w:space="0"/>
            </w:tcBorders>
            <w:shd w:val="clear" w:color="auto" w:fill="auto"/>
            <w:noWrap/>
            <w:vAlign w:val="center"/>
          </w:tcPr>
          <w:p w14:paraId="6FD7A273">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动力电缆</w:t>
            </w:r>
          </w:p>
        </w:tc>
        <w:tc>
          <w:tcPr>
            <w:tcW w:w="4660" w:type="dxa"/>
            <w:tcBorders>
              <w:top w:val="nil"/>
              <w:left w:val="nil"/>
              <w:bottom w:val="single" w:color="auto" w:sz="4" w:space="0"/>
              <w:right w:val="single" w:color="auto" w:sz="4" w:space="0"/>
            </w:tcBorders>
            <w:shd w:val="clear" w:color="auto" w:fill="auto"/>
            <w:vAlign w:val="center"/>
          </w:tcPr>
          <w:p w14:paraId="4E9F02ED">
            <w:pPr>
              <w:widowControl/>
              <w:suppressAutoHyphens w:val="0"/>
              <w:overflowPunct/>
              <w:rPr>
                <w:rFonts w:ascii="宋体" w:hAnsi="宋体" w:eastAsia="宋体" w:cs="宋体"/>
                <w:kern w:val="0"/>
                <w:sz w:val="22"/>
              </w:rPr>
            </w:pPr>
            <w:r>
              <w:rPr>
                <w:rFonts w:hint="eastAsia" w:ascii="宋体" w:hAnsi="宋体" w:eastAsia="宋体" w:cs="宋体"/>
                <w:kern w:val="0"/>
                <w:sz w:val="22"/>
              </w:rPr>
              <w:t>连接增程电机与双向直流电源正负极，采用VVRP70屏蔽电缆120mm</w:t>
            </w:r>
            <w:r>
              <w:rPr>
                <w:rFonts w:hint="eastAsia" w:ascii="宋体" w:hAnsi="宋体" w:eastAsia="宋体" w:cs="宋体"/>
                <w:kern w:val="0"/>
                <w:sz w:val="22"/>
                <w:vertAlign w:val="superscript"/>
              </w:rPr>
              <w:t>2</w:t>
            </w:r>
            <w:r>
              <w:rPr>
                <w:rFonts w:hint="eastAsia" w:ascii="宋体" w:hAnsi="宋体" w:eastAsia="宋体" w:cs="宋体"/>
                <w:kern w:val="0"/>
                <w:sz w:val="22"/>
              </w:rPr>
              <w:t>。包含线槽及支架</w:t>
            </w:r>
          </w:p>
        </w:tc>
        <w:tc>
          <w:tcPr>
            <w:tcW w:w="670" w:type="dxa"/>
            <w:tcBorders>
              <w:top w:val="nil"/>
              <w:left w:val="nil"/>
              <w:bottom w:val="single" w:color="auto" w:sz="4" w:space="0"/>
              <w:right w:val="single" w:color="auto" w:sz="4" w:space="0"/>
            </w:tcBorders>
            <w:shd w:val="clear" w:color="auto" w:fill="auto"/>
            <w:noWrap/>
            <w:vAlign w:val="center"/>
          </w:tcPr>
          <w:p w14:paraId="52A52954">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444AF4B7">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31714329">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08F01DA8">
        <w:tblPrEx>
          <w:tblCellMar>
            <w:top w:w="0" w:type="dxa"/>
            <w:left w:w="108" w:type="dxa"/>
            <w:bottom w:w="0" w:type="dxa"/>
            <w:right w:w="108" w:type="dxa"/>
          </w:tblCellMar>
        </w:tblPrEx>
        <w:trPr>
          <w:trHeight w:val="27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5B0F3260">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15</w:t>
            </w:r>
          </w:p>
        </w:tc>
        <w:tc>
          <w:tcPr>
            <w:tcW w:w="2010" w:type="dxa"/>
            <w:tcBorders>
              <w:top w:val="nil"/>
              <w:left w:val="nil"/>
              <w:bottom w:val="single" w:color="auto" w:sz="4" w:space="0"/>
              <w:right w:val="single" w:color="auto" w:sz="4" w:space="0"/>
            </w:tcBorders>
            <w:shd w:val="clear" w:color="auto" w:fill="auto"/>
            <w:vAlign w:val="center"/>
          </w:tcPr>
          <w:p w14:paraId="5FE713C6">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隔离开关</w:t>
            </w:r>
          </w:p>
        </w:tc>
        <w:tc>
          <w:tcPr>
            <w:tcW w:w="4660" w:type="dxa"/>
            <w:tcBorders>
              <w:top w:val="nil"/>
              <w:left w:val="nil"/>
              <w:bottom w:val="single" w:color="auto" w:sz="4" w:space="0"/>
              <w:right w:val="single" w:color="auto" w:sz="4" w:space="0"/>
            </w:tcBorders>
            <w:shd w:val="clear" w:color="auto" w:fill="auto"/>
            <w:vAlign w:val="center"/>
          </w:tcPr>
          <w:p w14:paraId="63FA3C40">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两相单投、手动，配防护罩。下桩配指示灯</w:t>
            </w:r>
          </w:p>
        </w:tc>
        <w:tc>
          <w:tcPr>
            <w:tcW w:w="670" w:type="dxa"/>
            <w:tcBorders>
              <w:top w:val="nil"/>
              <w:left w:val="nil"/>
              <w:bottom w:val="single" w:color="auto" w:sz="4" w:space="0"/>
              <w:right w:val="single" w:color="auto" w:sz="4" w:space="0"/>
            </w:tcBorders>
            <w:shd w:val="clear" w:color="auto" w:fill="auto"/>
            <w:noWrap/>
            <w:vAlign w:val="center"/>
          </w:tcPr>
          <w:p w14:paraId="2E1AC224">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6ED14CCD">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393C295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03C33B4F">
        <w:tblPrEx>
          <w:tblCellMar>
            <w:top w:w="0" w:type="dxa"/>
            <w:left w:w="108" w:type="dxa"/>
            <w:bottom w:w="0" w:type="dxa"/>
            <w:right w:w="108" w:type="dxa"/>
          </w:tblCellMar>
        </w:tblPrEx>
        <w:trPr>
          <w:trHeight w:val="6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2AD2F519">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16</w:t>
            </w:r>
          </w:p>
        </w:tc>
        <w:tc>
          <w:tcPr>
            <w:tcW w:w="2010" w:type="dxa"/>
            <w:tcBorders>
              <w:top w:val="nil"/>
              <w:left w:val="nil"/>
              <w:bottom w:val="single" w:color="auto" w:sz="4" w:space="0"/>
              <w:right w:val="single" w:color="auto" w:sz="4" w:space="0"/>
            </w:tcBorders>
            <w:shd w:val="clear" w:color="auto" w:fill="auto"/>
            <w:vAlign w:val="center"/>
          </w:tcPr>
          <w:p w14:paraId="3FADEB02">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电机及控制器温控装置</w:t>
            </w:r>
          </w:p>
        </w:tc>
        <w:tc>
          <w:tcPr>
            <w:tcW w:w="4660" w:type="dxa"/>
            <w:tcBorders>
              <w:top w:val="nil"/>
              <w:left w:val="nil"/>
              <w:bottom w:val="single" w:color="auto" w:sz="4" w:space="0"/>
              <w:right w:val="single" w:color="auto" w:sz="4" w:space="0"/>
            </w:tcBorders>
            <w:shd w:val="clear" w:color="auto" w:fill="auto"/>
            <w:vAlign w:val="center"/>
          </w:tcPr>
          <w:p w14:paraId="7710F02C">
            <w:pPr>
              <w:widowControl/>
              <w:suppressAutoHyphens w:val="0"/>
              <w:overflowPunct/>
              <w:rPr>
                <w:rFonts w:ascii="宋体" w:hAnsi="宋体" w:eastAsia="宋体" w:cs="宋体"/>
                <w:kern w:val="0"/>
                <w:sz w:val="22"/>
              </w:rPr>
            </w:pPr>
            <w:r>
              <w:rPr>
                <w:rFonts w:hint="eastAsia" w:ascii="宋体" w:hAnsi="宋体" w:eastAsia="宋体" w:cs="宋体"/>
                <w:kern w:val="0"/>
                <w:sz w:val="22"/>
              </w:rPr>
              <w:t>温度范围</w:t>
            </w:r>
            <w:r>
              <w:rPr>
                <w:rFonts w:ascii="Times New Roman" w:hAnsi="Times New Roman" w:eastAsia="宋体" w:cs="Times New Roman"/>
                <w:kern w:val="0"/>
                <w:sz w:val="22"/>
              </w:rPr>
              <w:t>45</w:t>
            </w:r>
            <w:r>
              <w:rPr>
                <w:rFonts w:hint="eastAsia" w:ascii="宋体" w:hAnsi="宋体" w:eastAsia="宋体" w:cs="宋体"/>
                <w:kern w:val="0"/>
                <w:sz w:val="22"/>
              </w:rPr>
              <w:t>～</w:t>
            </w:r>
            <w:r>
              <w:rPr>
                <w:rFonts w:ascii="Times New Roman" w:hAnsi="Times New Roman" w:eastAsia="宋体" w:cs="Times New Roman"/>
                <w:kern w:val="0"/>
                <w:sz w:val="22"/>
              </w:rPr>
              <w:t>75</w:t>
            </w:r>
            <w:r>
              <w:rPr>
                <w:rFonts w:hint="eastAsia" w:ascii="宋体" w:hAnsi="宋体" w:eastAsia="宋体" w:cs="宋体"/>
                <w:kern w:val="0"/>
                <w:sz w:val="22"/>
              </w:rPr>
              <w:t>℃、精度</w:t>
            </w:r>
            <w:r>
              <w:rPr>
                <w:rFonts w:ascii="Times New Roman" w:hAnsi="Times New Roman" w:eastAsia="宋体" w:cs="Times New Roman"/>
                <w:kern w:val="0"/>
                <w:sz w:val="22"/>
              </w:rPr>
              <w:t>±2</w:t>
            </w:r>
            <w:r>
              <w:rPr>
                <w:rFonts w:hint="eastAsia" w:ascii="宋体" w:hAnsi="宋体" w:eastAsia="宋体" w:cs="宋体"/>
                <w:kern w:val="0"/>
                <w:sz w:val="22"/>
              </w:rPr>
              <w:t>℃，流量</w:t>
            </w:r>
            <w:r>
              <w:rPr>
                <w:rFonts w:ascii="Times New Roman" w:hAnsi="Times New Roman" w:eastAsia="宋体" w:cs="Times New Roman"/>
                <w:kern w:val="0"/>
                <w:sz w:val="22"/>
              </w:rPr>
              <w:t>10~50L/min</w:t>
            </w:r>
            <w:r>
              <w:rPr>
                <w:rFonts w:hint="eastAsia" w:ascii="宋体" w:hAnsi="宋体" w:eastAsia="宋体" w:cs="宋体"/>
                <w:kern w:val="0"/>
                <w:sz w:val="22"/>
              </w:rPr>
              <w:t>可调，压力</w:t>
            </w:r>
            <w:r>
              <w:rPr>
                <w:rFonts w:ascii="Times New Roman" w:hAnsi="Times New Roman" w:eastAsia="宋体" w:cs="Times New Roman"/>
                <w:kern w:val="0"/>
                <w:sz w:val="22"/>
              </w:rPr>
              <w:t>0~0.3MPa</w:t>
            </w:r>
            <w:r>
              <w:rPr>
                <w:rFonts w:hint="eastAsia" w:ascii="宋体" w:hAnsi="宋体" w:eastAsia="宋体" w:cs="宋体"/>
                <w:kern w:val="0"/>
                <w:sz w:val="22"/>
              </w:rPr>
              <w:t>可调。</w:t>
            </w:r>
          </w:p>
        </w:tc>
        <w:tc>
          <w:tcPr>
            <w:tcW w:w="670" w:type="dxa"/>
            <w:tcBorders>
              <w:top w:val="nil"/>
              <w:left w:val="nil"/>
              <w:bottom w:val="single" w:color="auto" w:sz="4" w:space="0"/>
              <w:right w:val="single" w:color="auto" w:sz="4" w:space="0"/>
            </w:tcBorders>
            <w:shd w:val="clear" w:color="auto" w:fill="auto"/>
            <w:noWrap/>
            <w:vAlign w:val="center"/>
          </w:tcPr>
          <w:p w14:paraId="53080D88">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70A18F51">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7B8B75CD">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0363AF72">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4F0761E4">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17</w:t>
            </w:r>
          </w:p>
        </w:tc>
        <w:tc>
          <w:tcPr>
            <w:tcW w:w="2010" w:type="dxa"/>
            <w:tcBorders>
              <w:top w:val="nil"/>
              <w:left w:val="nil"/>
              <w:bottom w:val="single" w:color="auto" w:sz="4" w:space="0"/>
              <w:right w:val="single" w:color="auto" w:sz="4" w:space="0"/>
            </w:tcBorders>
            <w:shd w:val="clear" w:color="auto" w:fill="auto"/>
            <w:vAlign w:val="center"/>
          </w:tcPr>
          <w:p w14:paraId="0521B0D0">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电能表</w:t>
            </w:r>
          </w:p>
        </w:tc>
        <w:tc>
          <w:tcPr>
            <w:tcW w:w="4660" w:type="dxa"/>
            <w:tcBorders>
              <w:top w:val="nil"/>
              <w:left w:val="nil"/>
              <w:bottom w:val="single" w:color="auto" w:sz="4" w:space="0"/>
              <w:right w:val="single" w:color="auto" w:sz="4" w:space="0"/>
            </w:tcBorders>
            <w:shd w:val="clear" w:color="auto" w:fill="auto"/>
            <w:vAlign w:val="center"/>
          </w:tcPr>
          <w:p w14:paraId="57088BF9">
            <w:pPr>
              <w:widowControl/>
              <w:suppressAutoHyphens w:val="0"/>
              <w:overflowPunct/>
              <w:rPr>
                <w:rFonts w:ascii="宋体" w:hAnsi="宋体" w:eastAsia="宋体" w:cs="宋体"/>
                <w:kern w:val="0"/>
                <w:sz w:val="22"/>
              </w:rPr>
            </w:pPr>
            <w:r>
              <w:rPr>
                <w:rFonts w:hint="eastAsia" w:ascii="宋体" w:hAnsi="宋体" w:eastAsia="宋体" w:cs="宋体"/>
                <w:kern w:val="0"/>
                <w:sz w:val="22"/>
              </w:rPr>
              <w:t>台架电机电能回馈测量，双向计量、通讯上传，带LCD显示；0.5%F.S.</w:t>
            </w:r>
          </w:p>
        </w:tc>
        <w:tc>
          <w:tcPr>
            <w:tcW w:w="670" w:type="dxa"/>
            <w:tcBorders>
              <w:top w:val="nil"/>
              <w:left w:val="nil"/>
              <w:bottom w:val="single" w:color="auto" w:sz="4" w:space="0"/>
              <w:right w:val="single" w:color="auto" w:sz="4" w:space="0"/>
            </w:tcBorders>
            <w:shd w:val="clear" w:color="auto" w:fill="auto"/>
            <w:noWrap/>
            <w:vAlign w:val="center"/>
          </w:tcPr>
          <w:p w14:paraId="6CE083BA">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22986C76">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61874356">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775E6634">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7DC46014">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18</w:t>
            </w:r>
          </w:p>
        </w:tc>
        <w:tc>
          <w:tcPr>
            <w:tcW w:w="2010" w:type="dxa"/>
            <w:tcBorders>
              <w:top w:val="nil"/>
              <w:left w:val="nil"/>
              <w:bottom w:val="single" w:color="auto" w:sz="4" w:space="0"/>
              <w:right w:val="single" w:color="auto" w:sz="4" w:space="0"/>
            </w:tcBorders>
            <w:shd w:val="clear" w:color="auto" w:fill="auto"/>
            <w:vAlign w:val="center"/>
          </w:tcPr>
          <w:p w14:paraId="6F4FC4AF">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升降式机动输送滚道</w:t>
            </w:r>
          </w:p>
        </w:tc>
        <w:tc>
          <w:tcPr>
            <w:tcW w:w="4660" w:type="dxa"/>
            <w:tcBorders>
              <w:top w:val="nil"/>
              <w:left w:val="nil"/>
              <w:bottom w:val="single" w:color="auto" w:sz="4" w:space="0"/>
              <w:right w:val="single" w:color="auto" w:sz="4" w:space="0"/>
            </w:tcBorders>
            <w:shd w:val="clear" w:color="000000" w:fill="FFFFFF"/>
            <w:vAlign w:val="center"/>
          </w:tcPr>
          <w:p w14:paraId="08125F87">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升降液压驱动、位置锁定，设托盘到位信号及限位装置；辊道电机采用防爆减速型</w:t>
            </w:r>
          </w:p>
        </w:tc>
        <w:tc>
          <w:tcPr>
            <w:tcW w:w="670" w:type="dxa"/>
            <w:tcBorders>
              <w:top w:val="nil"/>
              <w:left w:val="nil"/>
              <w:bottom w:val="single" w:color="auto" w:sz="4" w:space="0"/>
              <w:right w:val="single" w:color="auto" w:sz="4" w:space="0"/>
            </w:tcBorders>
            <w:shd w:val="clear" w:color="auto" w:fill="auto"/>
            <w:noWrap/>
            <w:vAlign w:val="center"/>
          </w:tcPr>
          <w:p w14:paraId="03C67190">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台</w:t>
            </w:r>
          </w:p>
        </w:tc>
        <w:tc>
          <w:tcPr>
            <w:tcW w:w="580" w:type="dxa"/>
            <w:tcBorders>
              <w:top w:val="nil"/>
              <w:left w:val="nil"/>
              <w:bottom w:val="single" w:color="auto" w:sz="4" w:space="0"/>
              <w:right w:val="single" w:color="auto" w:sz="4" w:space="0"/>
            </w:tcBorders>
            <w:shd w:val="clear" w:color="auto" w:fill="auto"/>
            <w:noWrap/>
            <w:vAlign w:val="center"/>
          </w:tcPr>
          <w:p w14:paraId="7FDE4082">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5599E66F">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32C68418">
        <w:tblPrEx>
          <w:tblCellMar>
            <w:top w:w="0" w:type="dxa"/>
            <w:left w:w="108" w:type="dxa"/>
            <w:bottom w:w="0" w:type="dxa"/>
            <w:right w:w="108" w:type="dxa"/>
          </w:tblCellMar>
        </w:tblPrEx>
        <w:trPr>
          <w:trHeight w:val="57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70FCC7BD">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19</w:t>
            </w:r>
          </w:p>
        </w:tc>
        <w:tc>
          <w:tcPr>
            <w:tcW w:w="2010" w:type="dxa"/>
            <w:tcBorders>
              <w:top w:val="nil"/>
              <w:left w:val="nil"/>
              <w:bottom w:val="single" w:color="auto" w:sz="4" w:space="0"/>
              <w:right w:val="single" w:color="auto" w:sz="4" w:space="0"/>
            </w:tcBorders>
            <w:shd w:val="clear" w:color="auto" w:fill="auto"/>
            <w:vAlign w:val="center"/>
          </w:tcPr>
          <w:p w14:paraId="3257909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托盘接送部件</w:t>
            </w:r>
          </w:p>
        </w:tc>
        <w:tc>
          <w:tcPr>
            <w:tcW w:w="4660" w:type="dxa"/>
            <w:tcBorders>
              <w:top w:val="nil"/>
              <w:left w:val="nil"/>
              <w:bottom w:val="single" w:color="auto" w:sz="4" w:space="0"/>
              <w:right w:val="single" w:color="auto" w:sz="4" w:space="0"/>
            </w:tcBorders>
            <w:shd w:val="clear" w:color="000000" w:fill="FFFFFF"/>
            <w:vAlign w:val="center"/>
          </w:tcPr>
          <w:p w14:paraId="3AB61CBE">
            <w:pPr>
              <w:widowControl/>
              <w:suppressAutoHyphens w:val="0"/>
              <w:overflowPunct/>
              <w:rPr>
                <w:rFonts w:ascii="Times New Roman" w:hAnsi="Times New Roman" w:eastAsia="宋体" w:cs="Times New Roman"/>
                <w:color w:val="000000"/>
                <w:kern w:val="0"/>
                <w:sz w:val="22"/>
              </w:rPr>
            </w:pPr>
            <w:r>
              <w:rPr>
                <w:rFonts w:hint="eastAsia" w:ascii="宋体" w:hAnsi="宋体" w:eastAsia="宋体" w:cs="Times New Roman"/>
                <w:color w:val="000000"/>
                <w:kern w:val="0"/>
                <w:sz w:val="22"/>
              </w:rPr>
              <w:t>采用液压油缸驱动及控制、双向滑移接送，速度可调、</w:t>
            </w:r>
            <w:r>
              <w:rPr>
                <w:rFonts w:ascii="Times New Roman" w:hAnsi="Times New Roman" w:eastAsia="宋体" w:cs="Times New Roman"/>
                <w:color w:val="000000"/>
                <w:kern w:val="0"/>
                <w:sz w:val="22"/>
              </w:rPr>
              <w:t>5</w:t>
            </w:r>
            <w:r>
              <w:rPr>
                <w:rFonts w:hint="eastAsia" w:ascii="宋体" w:hAnsi="宋体" w:eastAsia="宋体" w:cs="Times New Roman"/>
                <w:color w:val="000000"/>
                <w:kern w:val="0"/>
                <w:sz w:val="22"/>
              </w:rPr>
              <w:t>～</w:t>
            </w:r>
            <w:r>
              <w:rPr>
                <w:rFonts w:ascii="Times New Roman" w:hAnsi="Times New Roman" w:eastAsia="宋体" w:cs="Times New Roman"/>
                <w:color w:val="000000"/>
                <w:kern w:val="0"/>
                <w:sz w:val="22"/>
              </w:rPr>
              <w:t>15m/min</w:t>
            </w:r>
          </w:p>
        </w:tc>
        <w:tc>
          <w:tcPr>
            <w:tcW w:w="670" w:type="dxa"/>
            <w:tcBorders>
              <w:top w:val="nil"/>
              <w:left w:val="nil"/>
              <w:bottom w:val="single" w:color="auto" w:sz="4" w:space="0"/>
              <w:right w:val="single" w:color="auto" w:sz="4" w:space="0"/>
            </w:tcBorders>
            <w:shd w:val="clear" w:color="auto" w:fill="auto"/>
            <w:noWrap/>
            <w:vAlign w:val="center"/>
          </w:tcPr>
          <w:p w14:paraId="338C4A0F">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把</w:t>
            </w:r>
          </w:p>
        </w:tc>
        <w:tc>
          <w:tcPr>
            <w:tcW w:w="580" w:type="dxa"/>
            <w:tcBorders>
              <w:top w:val="nil"/>
              <w:left w:val="nil"/>
              <w:bottom w:val="single" w:color="auto" w:sz="4" w:space="0"/>
              <w:right w:val="single" w:color="auto" w:sz="4" w:space="0"/>
            </w:tcBorders>
            <w:shd w:val="clear" w:color="auto" w:fill="auto"/>
            <w:noWrap/>
            <w:vAlign w:val="center"/>
          </w:tcPr>
          <w:p w14:paraId="5520AC88">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2607E794">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6062A815">
        <w:tblPrEx>
          <w:tblCellMar>
            <w:top w:w="0" w:type="dxa"/>
            <w:left w:w="108" w:type="dxa"/>
            <w:bottom w:w="0" w:type="dxa"/>
            <w:right w:w="108" w:type="dxa"/>
          </w:tblCellMar>
        </w:tblPrEx>
        <w:trPr>
          <w:trHeight w:val="57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3CDF277F">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20</w:t>
            </w:r>
          </w:p>
        </w:tc>
        <w:tc>
          <w:tcPr>
            <w:tcW w:w="2010" w:type="dxa"/>
            <w:tcBorders>
              <w:top w:val="nil"/>
              <w:left w:val="nil"/>
              <w:bottom w:val="single" w:color="auto" w:sz="4" w:space="0"/>
              <w:right w:val="single" w:color="auto" w:sz="4" w:space="0"/>
            </w:tcBorders>
            <w:shd w:val="clear" w:color="auto" w:fill="auto"/>
            <w:vAlign w:val="center"/>
          </w:tcPr>
          <w:p w14:paraId="1BD1FD7B">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精定位导轨及压紧机构</w:t>
            </w:r>
          </w:p>
        </w:tc>
        <w:tc>
          <w:tcPr>
            <w:tcW w:w="4660" w:type="dxa"/>
            <w:tcBorders>
              <w:top w:val="nil"/>
              <w:left w:val="nil"/>
              <w:bottom w:val="single" w:color="auto" w:sz="4" w:space="0"/>
              <w:right w:val="single" w:color="auto" w:sz="4" w:space="0"/>
            </w:tcBorders>
            <w:shd w:val="clear" w:color="000000" w:fill="FFFFFF"/>
            <w:vAlign w:val="center"/>
          </w:tcPr>
          <w:p w14:paraId="51338E2A">
            <w:pPr>
              <w:widowControl/>
              <w:suppressAutoHyphens w:val="0"/>
              <w:overflowPunct/>
              <w:rPr>
                <w:rFonts w:ascii="Times New Roman" w:hAnsi="Times New Roman" w:eastAsia="宋体" w:cs="Times New Roman"/>
                <w:color w:val="000000"/>
                <w:kern w:val="0"/>
                <w:sz w:val="22"/>
              </w:rPr>
            </w:pPr>
            <w:r>
              <w:rPr>
                <w:rFonts w:hint="eastAsia" w:ascii="宋体" w:hAnsi="宋体" w:eastAsia="宋体" w:cs="Times New Roman"/>
                <w:color w:val="000000"/>
                <w:kern w:val="0"/>
                <w:sz w:val="22"/>
              </w:rPr>
              <w:t>台架托盘精确定位、精度</w:t>
            </w:r>
            <w:r>
              <w:rPr>
                <w:rFonts w:ascii="Times New Roman" w:hAnsi="Times New Roman" w:eastAsia="宋体" w:cs="Times New Roman"/>
                <w:color w:val="000000"/>
                <w:kern w:val="0"/>
                <w:sz w:val="22"/>
              </w:rPr>
              <w:t>±0.25 mm</w:t>
            </w:r>
            <w:r>
              <w:rPr>
                <w:rFonts w:hint="eastAsia" w:ascii="宋体" w:hAnsi="宋体" w:eastAsia="宋体" w:cs="Times New Roman"/>
                <w:color w:val="000000"/>
                <w:kern w:val="0"/>
                <w:sz w:val="22"/>
              </w:rPr>
              <w:t>，压紧机构液压驱动、自锁</w:t>
            </w:r>
          </w:p>
        </w:tc>
        <w:tc>
          <w:tcPr>
            <w:tcW w:w="670" w:type="dxa"/>
            <w:tcBorders>
              <w:top w:val="nil"/>
              <w:left w:val="nil"/>
              <w:bottom w:val="single" w:color="auto" w:sz="4" w:space="0"/>
              <w:right w:val="single" w:color="auto" w:sz="4" w:space="0"/>
            </w:tcBorders>
            <w:shd w:val="clear" w:color="auto" w:fill="auto"/>
            <w:noWrap/>
            <w:vAlign w:val="center"/>
          </w:tcPr>
          <w:p w14:paraId="192368F4">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3C77A559">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772B08C7">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5D64E818">
        <w:tblPrEx>
          <w:tblCellMar>
            <w:top w:w="0" w:type="dxa"/>
            <w:left w:w="108" w:type="dxa"/>
            <w:bottom w:w="0" w:type="dxa"/>
            <w:right w:w="108" w:type="dxa"/>
          </w:tblCellMar>
        </w:tblPrEx>
        <w:trPr>
          <w:trHeight w:val="9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744B332E">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21</w:t>
            </w:r>
          </w:p>
        </w:tc>
        <w:tc>
          <w:tcPr>
            <w:tcW w:w="2010" w:type="dxa"/>
            <w:tcBorders>
              <w:top w:val="nil"/>
              <w:left w:val="nil"/>
              <w:bottom w:val="single" w:color="auto" w:sz="4" w:space="0"/>
              <w:right w:val="single" w:color="auto" w:sz="4" w:space="0"/>
            </w:tcBorders>
            <w:shd w:val="clear" w:color="auto" w:fill="auto"/>
            <w:vAlign w:val="center"/>
          </w:tcPr>
          <w:p w14:paraId="7A4C326B">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台架液压系统</w:t>
            </w:r>
          </w:p>
        </w:tc>
        <w:tc>
          <w:tcPr>
            <w:tcW w:w="4660" w:type="dxa"/>
            <w:tcBorders>
              <w:top w:val="nil"/>
              <w:left w:val="nil"/>
              <w:bottom w:val="single" w:color="auto" w:sz="4" w:space="0"/>
              <w:right w:val="single" w:color="auto" w:sz="4" w:space="0"/>
            </w:tcBorders>
            <w:shd w:val="clear" w:color="000000" w:fill="FFFFFF"/>
            <w:vAlign w:val="center"/>
          </w:tcPr>
          <w:p w14:paraId="1DD9E898">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供油压力≥</w:t>
            </w:r>
            <w:r>
              <w:rPr>
                <w:rFonts w:ascii="Times New Roman" w:hAnsi="Times New Roman" w:eastAsia="宋体" w:cs="Times New Roman"/>
                <w:color w:val="000000"/>
                <w:kern w:val="0"/>
                <w:sz w:val="22"/>
              </w:rPr>
              <w:t>6MPa</w:t>
            </w:r>
            <w:r>
              <w:rPr>
                <w:rFonts w:hint="eastAsia" w:ascii="宋体" w:hAnsi="宋体" w:eastAsia="宋体" w:cs="宋体"/>
                <w:color w:val="000000"/>
                <w:kern w:val="0"/>
                <w:sz w:val="22"/>
              </w:rPr>
              <w:t>，配液压油箱，油泵，散热器，压力监控及报警，液压油管，</w:t>
            </w:r>
            <w:r>
              <w:rPr>
                <w:rFonts w:ascii="Times New Roman" w:hAnsi="Times New Roman" w:eastAsia="宋体" w:cs="Times New Roman"/>
                <w:color w:val="000000"/>
                <w:kern w:val="0"/>
                <w:sz w:val="22"/>
              </w:rPr>
              <w:t>1</w:t>
            </w:r>
            <w:r>
              <w:rPr>
                <w:rFonts w:hint="eastAsia" w:ascii="宋体" w:hAnsi="宋体" w:eastAsia="宋体" w:cs="宋体"/>
                <w:color w:val="000000"/>
                <w:kern w:val="0"/>
                <w:sz w:val="22"/>
              </w:rPr>
              <w:t>套</w:t>
            </w:r>
            <w:r>
              <w:rPr>
                <w:rFonts w:ascii="Times New Roman" w:hAnsi="Times New Roman" w:eastAsia="宋体" w:cs="Times New Roman"/>
                <w:color w:val="000000"/>
                <w:kern w:val="0"/>
                <w:sz w:val="22"/>
              </w:rPr>
              <w:t>/</w:t>
            </w:r>
            <w:r>
              <w:rPr>
                <w:rFonts w:hint="eastAsia" w:ascii="宋体" w:hAnsi="宋体" w:eastAsia="宋体" w:cs="宋体"/>
                <w:color w:val="000000"/>
                <w:kern w:val="0"/>
                <w:sz w:val="22"/>
              </w:rPr>
              <w:t>台架</w:t>
            </w:r>
          </w:p>
        </w:tc>
        <w:tc>
          <w:tcPr>
            <w:tcW w:w="670" w:type="dxa"/>
            <w:tcBorders>
              <w:top w:val="nil"/>
              <w:left w:val="nil"/>
              <w:bottom w:val="single" w:color="auto" w:sz="4" w:space="0"/>
              <w:right w:val="single" w:color="auto" w:sz="4" w:space="0"/>
            </w:tcBorders>
            <w:shd w:val="clear" w:color="auto" w:fill="auto"/>
            <w:noWrap/>
            <w:vAlign w:val="center"/>
          </w:tcPr>
          <w:p w14:paraId="0CAF3B2B">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10B5CE27">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54572043">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1346D979">
        <w:tblPrEx>
          <w:tblCellMar>
            <w:top w:w="0" w:type="dxa"/>
            <w:left w:w="108" w:type="dxa"/>
            <w:bottom w:w="0" w:type="dxa"/>
            <w:right w:w="108" w:type="dxa"/>
          </w:tblCellMar>
        </w:tblPrEx>
        <w:trPr>
          <w:trHeight w:val="3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72DB8C60">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22</w:t>
            </w:r>
          </w:p>
        </w:tc>
        <w:tc>
          <w:tcPr>
            <w:tcW w:w="2010" w:type="dxa"/>
            <w:tcBorders>
              <w:top w:val="nil"/>
              <w:left w:val="nil"/>
              <w:bottom w:val="single" w:color="auto" w:sz="4" w:space="0"/>
              <w:right w:val="single" w:color="auto" w:sz="4" w:space="0"/>
            </w:tcBorders>
            <w:shd w:val="clear" w:color="auto" w:fill="auto"/>
            <w:vAlign w:val="center"/>
          </w:tcPr>
          <w:p w14:paraId="066AEFC4">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台架液压系统执行部件</w:t>
            </w:r>
          </w:p>
        </w:tc>
        <w:tc>
          <w:tcPr>
            <w:tcW w:w="4660" w:type="dxa"/>
            <w:tcBorders>
              <w:top w:val="nil"/>
              <w:left w:val="nil"/>
              <w:bottom w:val="single" w:color="auto" w:sz="4" w:space="0"/>
              <w:right w:val="single" w:color="auto" w:sz="4" w:space="0"/>
            </w:tcBorders>
            <w:shd w:val="clear" w:color="000000" w:fill="FFFFFF"/>
            <w:vAlign w:val="center"/>
          </w:tcPr>
          <w:p w14:paraId="631E3845">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为各执行油缸提供动力源，</w:t>
            </w:r>
            <w:r>
              <w:rPr>
                <w:rFonts w:ascii="Times New Roman" w:hAnsi="Times New Roman" w:eastAsia="宋体" w:cs="Times New Roman"/>
                <w:color w:val="000000"/>
                <w:kern w:val="0"/>
                <w:sz w:val="22"/>
              </w:rPr>
              <w:t>1</w:t>
            </w:r>
            <w:r>
              <w:rPr>
                <w:rFonts w:hint="eastAsia" w:ascii="宋体" w:hAnsi="宋体" w:eastAsia="宋体" w:cs="宋体"/>
                <w:color w:val="000000"/>
                <w:kern w:val="0"/>
                <w:sz w:val="22"/>
              </w:rPr>
              <w:t>套</w:t>
            </w:r>
            <w:r>
              <w:rPr>
                <w:rFonts w:ascii="Times New Roman" w:hAnsi="Times New Roman" w:eastAsia="宋体" w:cs="Times New Roman"/>
                <w:color w:val="000000"/>
                <w:kern w:val="0"/>
                <w:sz w:val="22"/>
              </w:rPr>
              <w:t>/</w:t>
            </w:r>
            <w:r>
              <w:rPr>
                <w:rFonts w:hint="eastAsia" w:ascii="宋体" w:hAnsi="宋体" w:eastAsia="宋体" w:cs="宋体"/>
                <w:color w:val="000000"/>
                <w:kern w:val="0"/>
                <w:sz w:val="22"/>
              </w:rPr>
              <w:t>台架</w:t>
            </w:r>
          </w:p>
        </w:tc>
        <w:tc>
          <w:tcPr>
            <w:tcW w:w="670" w:type="dxa"/>
            <w:tcBorders>
              <w:top w:val="nil"/>
              <w:left w:val="nil"/>
              <w:bottom w:val="single" w:color="auto" w:sz="4" w:space="0"/>
              <w:right w:val="single" w:color="auto" w:sz="4" w:space="0"/>
            </w:tcBorders>
            <w:shd w:val="clear" w:color="auto" w:fill="auto"/>
            <w:noWrap/>
            <w:vAlign w:val="center"/>
          </w:tcPr>
          <w:p w14:paraId="38D268DD">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028C7F95">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3FB7113E">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18B69AA7">
        <w:tblPrEx>
          <w:tblCellMar>
            <w:top w:w="0" w:type="dxa"/>
            <w:left w:w="108" w:type="dxa"/>
            <w:bottom w:w="0" w:type="dxa"/>
            <w:right w:w="108" w:type="dxa"/>
          </w:tblCellMar>
        </w:tblPrEx>
        <w:trPr>
          <w:trHeight w:val="27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60934A92">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23</w:t>
            </w:r>
          </w:p>
        </w:tc>
        <w:tc>
          <w:tcPr>
            <w:tcW w:w="2010" w:type="dxa"/>
            <w:tcBorders>
              <w:top w:val="nil"/>
              <w:left w:val="nil"/>
              <w:bottom w:val="single" w:color="auto" w:sz="4" w:space="0"/>
              <w:right w:val="single" w:color="auto" w:sz="4" w:space="0"/>
            </w:tcBorders>
            <w:shd w:val="clear" w:color="auto" w:fill="auto"/>
            <w:vAlign w:val="center"/>
          </w:tcPr>
          <w:p w14:paraId="424514EC">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线束挂架及附件</w:t>
            </w:r>
          </w:p>
        </w:tc>
        <w:tc>
          <w:tcPr>
            <w:tcW w:w="4660" w:type="dxa"/>
            <w:tcBorders>
              <w:top w:val="nil"/>
              <w:left w:val="nil"/>
              <w:bottom w:val="single" w:color="auto" w:sz="4" w:space="0"/>
              <w:right w:val="single" w:color="auto" w:sz="4" w:space="0"/>
            </w:tcBorders>
            <w:shd w:val="clear" w:color="auto" w:fill="auto"/>
            <w:vAlign w:val="center"/>
          </w:tcPr>
          <w:p w14:paraId="30B5CF57">
            <w:pPr>
              <w:widowControl/>
              <w:suppressAutoHyphens w:val="0"/>
              <w:overflowPunct/>
              <w:rPr>
                <w:rFonts w:ascii="宋体" w:hAnsi="宋体" w:eastAsia="宋体" w:cs="宋体"/>
                <w:kern w:val="0"/>
                <w:sz w:val="22"/>
              </w:rPr>
            </w:pPr>
            <w:r>
              <w:rPr>
                <w:rFonts w:hint="eastAsia" w:ascii="宋体" w:hAnsi="宋体" w:eastAsia="宋体" w:cs="宋体"/>
                <w:kern w:val="0"/>
                <w:sz w:val="22"/>
              </w:rPr>
              <w:t>线缆支架等，采用不锈钢板制作</w:t>
            </w:r>
          </w:p>
        </w:tc>
        <w:tc>
          <w:tcPr>
            <w:tcW w:w="670" w:type="dxa"/>
            <w:tcBorders>
              <w:top w:val="nil"/>
              <w:left w:val="nil"/>
              <w:bottom w:val="single" w:color="auto" w:sz="4" w:space="0"/>
              <w:right w:val="single" w:color="auto" w:sz="4" w:space="0"/>
            </w:tcBorders>
            <w:shd w:val="clear" w:color="auto" w:fill="auto"/>
            <w:noWrap/>
            <w:vAlign w:val="center"/>
          </w:tcPr>
          <w:p w14:paraId="318EAC1E">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0650F6AD">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0A37DF58">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0190457B">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250872D6">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24</w:t>
            </w:r>
          </w:p>
        </w:tc>
        <w:tc>
          <w:tcPr>
            <w:tcW w:w="2010" w:type="dxa"/>
            <w:tcBorders>
              <w:top w:val="nil"/>
              <w:left w:val="nil"/>
              <w:bottom w:val="single" w:color="auto" w:sz="4" w:space="0"/>
              <w:right w:val="single" w:color="auto" w:sz="4" w:space="0"/>
            </w:tcBorders>
            <w:shd w:val="clear" w:color="auto" w:fill="auto"/>
            <w:vAlign w:val="center"/>
          </w:tcPr>
          <w:p w14:paraId="0ED9E85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台架近机操作按钮站</w:t>
            </w:r>
          </w:p>
        </w:tc>
        <w:tc>
          <w:tcPr>
            <w:tcW w:w="4660" w:type="dxa"/>
            <w:tcBorders>
              <w:top w:val="nil"/>
              <w:left w:val="nil"/>
              <w:bottom w:val="single" w:color="auto" w:sz="4" w:space="0"/>
              <w:right w:val="single" w:color="auto" w:sz="4" w:space="0"/>
            </w:tcBorders>
            <w:shd w:val="clear" w:color="000000" w:fill="FFFFFF"/>
            <w:vAlign w:val="center"/>
          </w:tcPr>
          <w:p w14:paraId="52D11810">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防水按钮、定制不锈钢面板，分段控制、集成指示灯，防爆型</w:t>
            </w:r>
          </w:p>
        </w:tc>
        <w:tc>
          <w:tcPr>
            <w:tcW w:w="670" w:type="dxa"/>
            <w:tcBorders>
              <w:top w:val="nil"/>
              <w:left w:val="nil"/>
              <w:bottom w:val="single" w:color="auto" w:sz="4" w:space="0"/>
              <w:right w:val="single" w:color="auto" w:sz="4" w:space="0"/>
            </w:tcBorders>
            <w:shd w:val="clear" w:color="auto" w:fill="auto"/>
            <w:noWrap/>
            <w:vAlign w:val="center"/>
          </w:tcPr>
          <w:p w14:paraId="0B7CC980">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5CD6BBDD">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484BF0DE">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3F6FA4C5">
        <w:tblPrEx>
          <w:tblCellMar>
            <w:top w:w="0" w:type="dxa"/>
            <w:left w:w="108" w:type="dxa"/>
            <w:bottom w:w="0" w:type="dxa"/>
            <w:right w:w="108" w:type="dxa"/>
          </w:tblCellMar>
        </w:tblPrEx>
        <w:trPr>
          <w:trHeight w:val="81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323CA832">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25</w:t>
            </w:r>
          </w:p>
        </w:tc>
        <w:tc>
          <w:tcPr>
            <w:tcW w:w="2010" w:type="dxa"/>
            <w:tcBorders>
              <w:top w:val="nil"/>
              <w:left w:val="nil"/>
              <w:bottom w:val="single" w:color="auto" w:sz="4" w:space="0"/>
              <w:right w:val="single" w:color="auto" w:sz="4" w:space="0"/>
            </w:tcBorders>
            <w:shd w:val="clear" w:color="auto" w:fill="auto"/>
            <w:vAlign w:val="center"/>
          </w:tcPr>
          <w:p w14:paraId="796552EC">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HMI（含软件、通讯及线缆）</w:t>
            </w:r>
          </w:p>
        </w:tc>
        <w:tc>
          <w:tcPr>
            <w:tcW w:w="4660" w:type="dxa"/>
            <w:tcBorders>
              <w:top w:val="nil"/>
              <w:left w:val="nil"/>
              <w:bottom w:val="single" w:color="auto" w:sz="4" w:space="0"/>
              <w:right w:val="single" w:color="auto" w:sz="4" w:space="0"/>
            </w:tcBorders>
            <w:shd w:val="clear" w:color="000000" w:fill="FFFFFF"/>
            <w:vAlign w:val="center"/>
          </w:tcPr>
          <w:p w14:paraId="7ABF1BEB">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西门子TP1200，含软件、通讯及线缆，显示快装系统的运行状态、错误报警，便于查询、检修</w:t>
            </w:r>
          </w:p>
        </w:tc>
        <w:tc>
          <w:tcPr>
            <w:tcW w:w="670" w:type="dxa"/>
            <w:tcBorders>
              <w:top w:val="nil"/>
              <w:left w:val="nil"/>
              <w:bottom w:val="single" w:color="auto" w:sz="4" w:space="0"/>
              <w:right w:val="single" w:color="auto" w:sz="4" w:space="0"/>
            </w:tcBorders>
            <w:shd w:val="clear" w:color="auto" w:fill="auto"/>
            <w:noWrap/>
            <w:vAlign w:val="center"/>
          </w:tcPr>
          <w:p w14:paraId="50232847">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0DFAB26D">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20AC6982">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4649C682">
        <w:tblPrEx>
          <w:tblCellMar>
            <w:top w:w="0" w:type="dxa"/>
            <w:left w:w="108" w:type="dxa"/>
            <w:bottom w:w="0" w:type="dxa"/>
            <w:right w:w="108" w:type="dxa"/>
          </w:tblCellMar>
        </w:tblPrEx>
        <w:trPr>
          <w:trHeight w:val="57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29DDB04E">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26</w:t>
            </w:r>
          </w:p>
        </w:tc>
        <w:tc>
          <w:tcPr>
            <w:tcW w:w="2010" w:type="dxa"/>
            <w:tcBorders>
              <w:top w:val="nil"/>
              <w:left w:val="nil"/>
              <w:bottom w:val="single" w:color="auto" w:sz="4" w:space="0"/>
              <w:right w:val="single" w:color="auto" w:sz="4" w:space="0"/>
            </w:tcBorders>
            <w:shd w:val="clear" w:color="auto" w:fill="auto"/>
            <w:vAlign w:val="center"/>
          </w:tcPr>
          <w:p w14:paraId="411BC72F">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其他改造</w:t>
            </w:r>
          </w:p>
        </w:tc>
        <w:tc>
          <w:tcPr>
            <w:tcW w:w="4660" w:type="dxa"/>
            <w:tcBorders>
              <w:top w:val="nil"/>
              <w:left w:val="nil"/>
              <w:bottom w:val="single" w:color="auto" w:sz="4" w:space="0"/>
              <w:right w:val="single" w:color="auto" w:sz="4" w:space="0"/>
            </w:tcBorders>
            <w:shd w:val="clear" w:color="000000" w:fill="FFFFFF"/>
            <w:vAlign w:val="center"/>
          </w:tcPr>
          <w:p w14:paraId="3739BA81">
            <w:pPr>
              <w:widowControl/>
              <w:suppressAutoHyphens w:val="0"/>
              <w:overflowPunct/>
              <w:rPr>
                <w:rFonts w:ascii="Times New Roman" w:hAnsi="Times New Roman" w:eastAsia="宋体" w:cs="Times New Roman"/>
                <w:color w:val="000000"/>
                <w:kern w:val="0"/>
                <w:sz w:val="22"/>
              </w:rPr>
            </w:pPr>
            <w:r>
              <w:rPr>
                <w:rFonts w:hint="eastAsia" w:ascii="宋体" w:hAnsi="宋体" w:eastAsia="宋体" w:cs="Times New Roman"/>
                <w:color w:val="000000"/>
                <w:kern w:val="0"/>
                <w:sz w:val="22"/>
              </w:rPr>
              <w:t>台架端快接板和工艺线束利旧并集成，起动电源利旧、配套电缆，物流输送与</w:t>
            </w:r>
            <w:r>
              <w:rPr>
                <w:rFonts w:ascii="Times New Roman" w:hAnsi="Times New Roman" w:eastAsia="宋体" w:cs="Times New Roman"/>
                <w:color w:val="000000"/>
                <w:kern w:val="0"/>
                <w:sz w:val="22"/>
              </w:rPr>
              <w:t>AGV</w:t>
            </w:r>
            <w:r>
              <w:rPr>
                <w:rFonts w:hint="eastAsia" w:ascii="宋体" w:hAnsi="宋体" w:eastAsia="宋体" w:cs="Times New Roman"/>
                <w:color w:val="000000"/>
                <w:kern w:val="0"/>
                <w:sz w:val="22"/>
              </w:rPr>
              <w:t>通讯</w:t>
            </w:r>
          </w:p>
        </w:tc>
        <w:tc>
          <w:tcPr>
            <w:tcW w:w="670" w:type="dxa"/>
            <w:tcBorders>
              <w:top w:val="nil"/>
              <w:left w:val="nil"/>
              <w:bottom w:val="single" w:color="auto" w:sz="4" w:space="0"/>
              <w:right w:val="single" w:color="auto" w:sz="4" w:space="0"/>
            </w:tcBorders>
            <w:shd w:val="clear" w:color="auto" w:fill="auto"/>
            <w:noWrap/>
            <w:vAlign w:val="center"/>
          </w:tcPr>
          <w:p w14:paraId="3C6FEC32">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4E5F7419">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23E3FFF8">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38FAACAF">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0FA341F7">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27</w:t>
            </w:r>
          </w:p>
        </w:tc>
        <w:tc>
          <w:tcPr>
            <w:tcW w:w="2010" w:type="dxa"/>
            <w:tcBorders>
              <w:top w:val="nil"/>
              <w:left w:val="nil"/>
              <w:bottom w:val="single" w:color="auto" w:sz="4" w:space="0"/>
              <w:right w:val="single" w:color="auto" w:sz="4" w:space="0"/>
            </w:tcBorders>
            <w:shd w:val="clear" w:color="auto" w:fill="auto"/>
            <w:vAlign w:val="center"/>
          </w:tcPr>
          <w:p w14:paraId="62C86276">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PLC电气控制</w:t>
            </w:r>
          </w:p>
        </w:tc>
        <w:tc>
          <w:tcPr>
            <w:tcW w:w="4660" w:type="dxa"/>
            <w:tcBorders>
              <w:top w:val="nil"/>
              <w:left w:val="nil"/>
              <w:bottom w:val="single" w:color="auto" w:sz="4" w:space="0"/>
              <w:right w:val="single" w:color="auto" w:sz="4" w:space="0"/>
            </w:tcBorders>
            <w:shd w:val="clear" w:color="auto" w:fill="auto"/>
            <w:vAlign w:val="center"/>
          </w:tcPr>
          <w:p w14:paraId="60B66E4B">
            <w:pPr>
              <w:widowControl/>
              <w:suppressAutoHyphens w:val="0"/>
              <w:overflowPunct/>
              <w:rPr>
                <w:rFonts w:ascii="宋体" w:hAnsi="宋体" w:eastAsia="宋体" w:cs="宋体"/>
                <w:kern w:val="0"/>
                <w:sz w:val="22"/>
              </w:rPr>
            </w:pPr>
            <w:r>
              <w:rPr>
                <w:rFonts w:hint="eastAsia" w:ascii="宋体" w:hAnsi="宋体" w:eastAsia="宋体" w:cs="宋体"/>
                <w:kern w:val="0"/>
                <w:sz w:val="22"/>
              </w:rPr>
              <w:t>西门子S7-1200，集成现场升降辊道、托盘进出及压紧控制等，含程序设计</w:t>
            </w:r>
          </w:p>
        </w:tc>
        <w:tc>
          <w:tcPr>
            <w:tcW w:w="670" w:type="dxa"/>
            <w:tcBorders>
              <w:top w:val="nil"/>
              <w:left w:val="nil"/>
              <w:bottom w:val="single" w:color="auto" w:sz="4" w:space="0"/>
              <w:right w:val="single" w:color="auto" w:sz="4" w:space="0"/>
            </w:tcBorders>
            <w:shd w:val="clear" w:color="auto" w:fill="auto"/>
            <w:noWrap/>
            <w:vAlign w:val="center"/>
          </w:tcPr>
          <w:p w14:paraId="27192A7D">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54F95C09">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700BFD5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6C3EA98D">
        <w:tblPrEx>
          <w:tblCellMar>
            <w:top w:w="0" w:type="dxa"/>
            <w:left w:w="108" w:type="dxa"/>
            <w:bottom w:w="0" w:type="dxa"/>
            <w:right w:w="108" w:type="dxa"/>
          </w:tblCellMar>
        </w:tblPrEx>
        <w:trPr>
          <w:trHeight w:val="27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760923C3">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28</w:t>
            </w:r>
          </w:p>
        </w:tc>
        <w:tc>
          <w:tcPr>
            <w:tcW w:w="2010" w:type="dxa"/>
            <w:tcBorders>
              <w:top w:val="nil"/>
              <w:left w:val="nil"/>
              <w:bottom w:val="single" w:color="auto" w:sz="4" w:space="0"/>
              <w:right w:val="single" w:color="auto" w:sz="4" w:space="0"/>
            </w:tcBorders>
            <w:shd w:val="clear" w:color="auto" w:fill="auto"/>
            <w:vAlign w:val="center"/>
          </w:tcPr>
          <w:p w14:paraId="26C96ADF">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测控柜</w:t>
            </w:r>
          </w:p>
        </w:tc>
        <w:tc>
          <w:tcPr>
            <w:tcW w:w="4660" w:type="dxa"/>
            <w:tcBorders>
              <w:top w:val="nil"/>
              <w:left w:val="nil"/>
              <w:bottom w:val="single" w:color="auto" w:sz="4" w:space="0"/>
              <w:right w:val="single" w:color="auto" w:sz="4" w:space="0"/>
            </w:tcBorders>
            <w:shd w:val="clear" w:color="auto" w:fill="auto"/>
            <w:vAlign w:val="center"/>
          </w:tcPr>
          <w:p w14:paraId="4B45E779">
            <w:pPr>
              <w:widowControl/>
              <w:suppressAutoHyphens w:val="0"/>
              <w:overflowPunct/>
              <w:rPr>
                <w:rFonts w:ascii="宋体" w:hAnsi="宋体" w:eastAsia="宋体" w:cs="宋体"/>
                <w:kern w:val="0"/>
                <w:sz w:val="22"/>
              </w:rPr>
            </w:pPr>
            <w:r>
              <w:rPr>
                <w:rFonts w:hint="eastAsia" w:ascii="宋体" w:hAnsi="宋体" w:eastAsia="宋体" w:cs="宋体"/>
                <w:kern w:val="0"/>
                <w:sz w:val="22"/>
              </w:rPr>
              <w:t>19吋立式机柜，配三色灯</w:t>
            </w:r>
          </w:p>
        </w:tc>
        <w:tc>
          <w:tcPr>
            <w:tcW w:w="670" w:type="dxa"/>
            <w:tcBorders>
              <w:top w:val="nil"/>
              <w:left w:val="nil"/>
              <w:bottom w:val="single" w:color="auto" w:sz="4" w:space="0"/>
              <w:right w:val="single" w:color="auto" w:sz="4" w:space="0"/>
            </w:tcBorders>
            <w:shd w:val="clear" w:color="auto" w:fill="auto"/>
            <w:noWrap/>
            <w:vAlign w:val="center"/>
          </w:tcPr>
          <w:p w14:paraId="564C9562">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台</w:t>
            </w:r>
          </w:p>
        </w:tc>
        <w:tc>
          <w:tcPr>
            <w:tcW w:w="580" w:type="dxa"/>
            <w:tcBorders>
              <w:top w:val="nil"/>
              <w:left w:val="nil"/>
              <w:bottom w:val="single" w:color="auto" w:sz="4" w:space="0"/>
              <w:right w:val="single" w:color="auto" w:sz="4" w:space="0"/>
            </w:tcBorders>
            <w:shd w:val="clear" w:color="auto" w:fill="auto"/>
            <w:noWrap/>
            <w:vAlign w:val="center"/>
          </w:tcPr>
          <w:p w14:paraId="68921747">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1F08B7D6">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3A75F9E0">
        <w:tblPrEx>
          <w:tblCellMar>
            <w:top w:w="0" w:type="dxa"/>
            <w:left w:w="108" w:type="dxa"/>
            <w:bottom w:w="0" w:type="dxa"/>
            <w:right w:w="108" w:type="dxa"/>
          </w:tblCellMar>
        </w:tblPrEx>
        <w:trPr>
          <w:trHeight w:val="6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63C4525A">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29</w:t>
            </w:r>
          </w:p>
        </w:tc>
        <w:tc>
          <w:tcPr>
            <w:tcW w:w="2010" w:type="dxa"/>
            <w:tcBorders>
              <w:top w:val="nil"/>
              <w:left w:val="nil"/>
              <w:bottom w:val="single" w:color="auto" w:sz="4" w:space="0"/>
              <w:right w:val="single" w:color="auto" w:sz="4" w:space="0"/>
            </w:tcBorders>
            <w:shd w:val="clear" w:color="auto" w:fill="auto"/>
            <w:vAlign w:val="center"/>
          </w:tcPr>
          <w:p w14:paraId="73ABF89D">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工控机（上位机）</w:t>
            </w:r>
          </w:p>
        </w:tc>
        <w:tc>
          <w:tcPr>
            <w:tcW w:w="4660" w:type="dxa"/>
            <w:tcBorders>
              <w:top w:val="nil"/>
              <w:left w:val="nil"/>
              <w:bottom w:val="single" w:color="auto" w:sz="4" w:space="0"/>
              <w:right w:val="single" w:color="auto" w:sz="4" w:space="0"/>
            </w:tcBorders>
            <w:shd w:val="clear" w:color="auto" w:fill="auto"/>
            <w:vAlign w:val="center"/>
          </w:tcPr>
          <w:p w14:paraId="540975E9">
            <w:pPr>
              <w:widowControl/>
              <w:suppressAutoHyphens w:val="0"/>
              <w:overflowPunct/>
              <w:rPr>
                <w:rFonts w:ascii="Times New Roman" w:hAnsi="Times New Roman" w:eastAsia="宋体" w:cs="Times New Roman"/>
                <w:kern w:val="0"/>
                <w:sz w:val="22"/>
              </w:rPr>
            </w:pPr>
            <w:r>
              <w:rPr>
                <w:rFonts w:hint="eastAsia" w:ascii="宋体" w:hAnsi="宋体" w:eastAsia="宋体" w:cs="Times New Roman"/>
                <w:kern w:val="0"/>
                <w:sz w:val="22"/>
              </w:rPr>
              <w:t>研华</w:t>
            </w:r>
            <w:r>
              <w:rPr>
                <w:rFonts w:ascii="Times New Roman" w:hAnsi="Times New Roman" w:eastAsia="宋体" w:cs="Times New Roman"/>
                <w:kern w:val="0"/>
                <w:sz w:val="22"/>
              </w:rPr>
              <w:t>IPC610L</w:t>
            </w:r>
            <w:r>
              <w:rPr>
                <w:rFonts w:hint="eastAsia" w:ascii="宋体" w:hAnsi="宋体" w:eastAsia="宋体" w:cs="Times New Roman"/>
                <w:kern w:val="0"/>
                <w:sz w:val="22"/>
              </w:rPr>
              <w:t>型，当前主流配置，</w:t>
            </w:r>
            <w:r>
              <w:rPr>
                <w:rFonts w:ascii="Times New Roman" w:hAnsi="Times New Roman" w:eastAsia="宋体" w:cs="Times New Roman"/>
                <w:kern w:val="0"/>
                <w:sz w:val="22"/>
              </w:rPr>
              <w:t xml:space="preserve">CPU core i7 </w:t>
            </w:r>
            <w:r>
              <w:rPr>
                <w:rFonts w:hint="eastAsia" w:ascii="宋体" w:hAnsi="宋体" w:eastAsia="宋体" w:cs="Times New Roman"/>
                <w:kern w:val="0"/>
                <w:sz w:val="22"/>
              </w:rPr>
              <w:t>、内存</w:t>
            </w:r>
            <w:r>
              <w:rPr>
                <w:rFonts w:ascii="Times New Roman" w:hAnsi="Times New Roman" w:eastAsia="宋体" w:cs="Times New Roman"/>
                <w:kern w:val="0"/>
                <w:sz w:val="22"/>
              </w:rPr>
              <w:t>32G</w:t>
            </w:r>
            <w:r>
              <w:rPr>
                <w:rFonts w:hint="eastAsia" w:ascii="宋体" w:hAnsi="宋体" w:eastAsia="宋体" w:cs="Times New Roman"/>
                <w:kern w:val="0"/>
                <w:sz w:val="22"/>
              </w:rPr>
              <w:t>、硬盘</w:t>
            </w:r>
            <w:r>
              <w:t>SSD 256G + HDD 2T、有</w:t>
            </w:r>
            <w:r>
              <w:rPr>
                <w:rFonts w:hint="eastAsia"/>
              </w:rPr>
              <w:t>线网卡、无线网卡</w:t>
            </w:r>
          </w:p>
        </w:tc>
        <w:tc>
          <w:tcPr>
            <w:tcW w:w="670" w:type="dxa"/>
            <w:tcBorders>
              <w:top w:val="nil"/>
              <w:left w:val="nil"/>
              <w:bottom w:val="single" w:color="auto" w:sz="4" w:space="0"/>
              <w:right w:val="single" w:color="auto" w:sz="4" w:space="0"/>
            </w:tcBorders>
            <w:shd w:val="clear" w:color="auto" w:fill="auto"/>
            <w:noWrap/>
            <w:vAlign w:val="center"/>
          </w:tcPr>
          <w:p w14:paraId="06F3CF8C">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台</w:t>
            </w:r>
          </w:p>
        </w:tc>
        <w:tc>
          <w:tcPr>
            <w:tcW w:w="580" w:type="dxa"/>
            <w:tcBorders>
              <w:top w:val="nil"/>
              <w:left w:val="nil"/>
              <w:bottom w:val="single" w:color="auto" w:sz="4" w:space="0"/>
              <w:right w:val="single" w:color="auto" w:sz="4" w:space="0"/>
            </w:tcBorders>
            <w:shd w:val="clear" w:color="auto" w:fill="auto"/>
            <w:noWrap/>
            <w:vAlign w:val="center"/>
          </w:tcPr>
          <w:p w14:paraId="3AE6C8DA">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22545938">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0D276DBE">
        <w:tblPrEx>
          <w:tblCellMar>
            <w:top w:w="0" w:type="dxa"/>
            <w:left w:w="108" w:type="dxa"/>
            <w:bottom w:w="0" w:type="dxa"/>
            <w:right w:w="108" w:type="dxa"/>
          </w:tblCellMar>
        </w:tblPrEx>
        <w:trPr>
          <w:trHeight w:val="57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1BBBED89">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30</w:t>
            </w:r>
          </w:p>
        </w:tc>
        <w:tc>
          <w:tcPr>
            <w:tcW w:w="2010" w:type="dxa"/>
            <w:tcBorders>
              <w:top w:val="nil"/>
              <w:left w:val="nil"/>
              <w:bottom w:val="single" w:color="auto" w:sz="4" w:space="0"/>
              <w:right w:val="single" w:color="auto" w:sz="4" w:space="0"/>
            </w:tcBorders>
            <w:shd w:val="clear" w:color="auto" w:fill="auto"/>
            <w:vAlign w:val="center"/>
          </w:tcPr>
          <w:p w14:paraId="77078B5B">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测控单元（下位机）</w:t>
            </w:r>
          </w:p>
        </w:tc>
        <w:tc>
          <w:tcPr>
            <w:tcW w:w="4660" w:type="dxa"/>
            <w:tcBorders>
              <w:top w:val="nil"/>
              <w:left w:val="nil"/>
              <w:bottom w:val="single" w:color="auto" w:sz="4" w:space="0"/>
              <w:right w:val="single" w:color="auto" w:sz="4" w:space="0"/>
            </w:tcBorders>
            <w:shd w:val="clear" w:color="auto" w:fill="auto"/>
            <w:vAlign w:val="center"/>
          </w:tcPr>
          <w:p w14:paraId="45D1B3BE">
            <w:pPr>
              <w:widowControl/>
              <w:suppressAutoHyphens w:val="0"/>
              <w:overflowPunct/>
              <w:rPr>
                <w:rFonts w:ascii="Times New Roman" w:hAnsi="Times New Roman" w:eastAsia="宋体" w:cs="Times New Roman"/>
                <w:kern w:val="0"/>
                <w:sz w:val="22"/>
              </w:rPr>
            </w:pPr>
            <w:r>
              <w:rPr>
                <w:rFonts w:hint="eastAsia" w:ascii="宋体" w:hAnsi="宋体" w:eastAsia="宋体" w:cs="Times New Roman"/>
                <w:kern w:val="0"/>
                <w:sz w:val="22"/>
              </w:rPr>
              <w:t>控制模式：恒转速、恒扭矩、恒油门位置；无扰动、响应速度快、数字</w:t>
            </w:r>
            <w:r>
              <w:rPr>
                <w:rFonts w:ascii="Times New Roman" w:hAnsi="Times New Roman" w:eastAsia="宋体" w:cs="Times New Roman"/>
                <w:kern w:val="0"/>
                <w:sz w:val="22"/>
              </w:rPr>
              <w:t>PID</w:t>
            </w:r>
            <w:r>
              <w:rPr>
                <w:rFonts w:hint="eastAsia" w:ascii="宋体" w:hAnsi="宋体" w:eastAsia="宋体" w:cs="Times New Roman"/>
                <w:kern w:val="0"/>
                <w:sz w:val="22"/>
              </w:rPr>
              <w:t>调节</w:t>
            </w:r>
          </w:p>
        </w:tc>
        <w:tc>
          <w:tcPr>
            <w:tcW w:w="670" w:type="dxa"/>
            <w:tcBorders>
              <w:top w:val="nil"/>
              <w:left w:val="nil"/>
              <w:bottom w:val="single" w:color="auto" w:sz="4" w:space="0"/>
              <w:right w:val="single" w:color="auto" w:sz="4" w:space="0"/>
            </w:tcBorders>
            <w:shd w:val="clear" w:color="auto" w:fill="auto"/>
            <w:noWrap/>
            <w:vAlign w:val="center"/>
          </w:tcPr>
          <w:p w14:paraId="0EFA65C8">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台</w:t>
            </w:r>
          </w:p>
        </w:tc>
        <w:tc>
          <w:tcPr>
            <w:tcW w:w="580" w:type="dxa"/>
            <w:tcBorders>
              <w:top w:val="nil"/>
              <w:left w:val="nil"/>
              <w:bottom w:val="single" w:color="auto" w:sz="4" w:space="0"/>
              <w:right w:val="single" w:color="auto" w:sz="4" w:space="0"/>
            </w:tcBorders>
            <w:shd w:val="clear" w:color="auto" w:fill="auto"/>
            <w:noWrap/>
            <w:vAlign w:val="center"/>
          </w:tcPr>
          <w:p w14:paraId="58ECCFD8">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5BB4B6CB">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7EC20943">
        <w:tblPrEx>
          <w:tblCellMar>
            <w:top w:w="0" w:type="dxa"/>
            <w:left w:w="108" w:type="dxa"/>
            <w:bottom w:w="0" w:type="dxa"/>
            <w:right w:w="108" w:type="dxa"/>
          </w:tblCellMar>
        </w:tblPrEx>
        <w:trPr>
          <w:trHeight w:val="27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61BD2FC1">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31</w:t>
            </w:r>
          </w:p>
        </w:tc>
        <w:tc>
          <w:tcPr>
            <w:tcW w:w="2010" w:type="dxa"/>
            <w:tcBorders>
              <w:top w:val="nil"/>
              <w:left w:val="nil"/>
              <w:bottom w:val="single" w:color="auto" w:sz="4" w:space="0"/>
              <w:right w:val="single" w:color="auto" w:sz="4" w:space="0"/>
            </w:tcBorders>
            <w:shd w:val="clear" w:color="auto" w:fill="auto"/>
            <w:vAlign w:val="center"/>
          </w:tcPr>
          <w:p w14:paraId="26325AEC">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液晶显示器</w:t>
            </w:r>
          </w:p>
        </w:tc>
        <w:tc>
          <w:tcPr>
            <w:tcW w:w="4660" w:type="dxa"/>
            <w:tcBorders>
              <w:top w:val="nil"/>
              <w:left w:val="nil"/>
              <w:bottom w:val="single" w:color="auto" w:sz="4" w:space="0"/>
              <w:right w:val="single" w:color="auto" w:sz="4" w:space="0"/>
            </w:tcBorders>
            <w:shd w:val="clear" w:color="auto" w:fill="auto"/>
            <w:vAlign w:val="center"/>
          </w:tcPr>
          <w:p w14:paraId="492CC9BF">
            <w:pPr>
              <w:widowControl/>
              <w:suppressAutoHyphens w:val="0"/>
              <w:overflowPunct/>
              <w:rPr>
                <w:rFonts w:ascii="宋体" w:hAnsi="宋体" w:eastAsia="宋体" w:cs="宋体"/>
                <w:kern w:val="0"/>
                <w:sz w:val="22"/>
              </w:rPr>
            </w:pPr>
            <w:r>
              <w:rPr>
                <w:rFonts w:hint="eastAsia" w:ascii="宋体" w:hAnsi="宋体" w:eastAsia="宋体" w:cs="宋体"/>
                <w:kern w:val="0"/>
                <w:sz w:val="22"/>
              </w:rPr>
              <w:t>每台架两台戴尔24吋，含键盘和鼠标</w:t>
            </w:r>
          </w:p>
        </w:tc>
        <w:tc>
          <w:tcPr>
            <w:tcW w:w="670" w:type="dxa"/>
            <w:tcBorders>
              <w:top w:val="nil"/>
              <w:left w:val="nil"/>
              <w:bottom w:val="single" w:color="auto" w:sz="4" w:space="0"/>
              <w:right w:val="single" w:color="auto" w:sz="4" w:space="0"/>
            </w:tcBorders>
            <w:shd w:val="clear" w:color="auto" w:fill="auto"/>
            <w:noWrap/>
            <w:vAlign w:val="center"/>
          </w:tcPr>
          <w:p w14:paraId="2663A85C">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3A599559">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49B91CF0">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4718A9E4">
        <w:tblPrEx>
          <w:tblCellMar>
            <w:top w:w="0" w:type="dxa"/>
            <w:left w:w="108" w:type="dxa"/>
            <w:bottom w:w="0" w:type="dxa"/>
            <w:right w:w="108" w:type="dxa"/>
          </w:tblCellMar>
        </w:tblPrEx>
        <w:trPr>
          <w:trHeight w:val="27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2EC480A8">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32</w:t>
            </w:r>
          </w:p>
        </w:tc>
        <w:tc>
          <w:tcPr>
            <w:tcW w:w="2010" w:type="dxa"/>
            <w:tcBorders>
              <w:top w:val="nil"/>
              <w:left w:val="nil"/>
              <w:bottom w:val="single" w:color="auto" w:sz="4" w:space="0"/>
              <w:right w:val="single" w:color="auto" w:sz="4" w:space="0"/>
            </w:tcBorders>
            <w:shd w:val="clear" w:color="auto" w:fill="auto"/>
            <w:vAlign w:val="center"/>
          </w:tcPr>
          <w:p w14:paraId="41534EA9">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ECU电源</w:t>
            </w:r>
          </w:p>
        </w:tc>
        <w:tc>
          <w:tcPr>
            <w:tcW w:w="4660" w:type="dxa"/>
            <w:tcBorders>
              <w:top w:val="nil"/>
              <w:left w:val="nil"/>
              <w:bottom w:val="single" w:color="auto" w:sz="4" w:space="0"/>
              <w:right w:val="single" w:color="auto" w:sz="4" w:space="0"/>
            </w:tcBorders>
            <w:shd w:val="clear" w:color="auto" w:fill="auto"/>
            <w:vAlign w:val="center"/>
          </w:tcPr>
          <w:p w14:paraId="00C0AF53">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明纬24</w:t>
            </w:r>
            <w:r>
              <w:rPr>
                <w:rFonts w:ascii="宋体" w:hAnsi="宋体" w:eastAsia="宋体" w:cs="宋体"/>
                <w:color w:val="000000"/>
                <w:kern w:val="0"/>
                <w:sz w:val="22"/>
              </w:rPr>
              <w:t>V，不</w:t>
            </w:r>
            <w:r>
              <w:rPr>
                <w:rFonts w:hint="eastAsia" w:ascii="宋体" w:hAnsi="宋体" w:eastAsia="宋体" w:cs="宋体"/>
                <w:color w:val="000000"/>
                <w:kern w:val="0"/>
                <w:sz w:val="22"/>
              </w:rPr>
              <w:t>小于3</w:t>
            </w:r>
            <w:r>
              <w:rPr>
                <w:rFonts w:ascii="宋体" w:hAnsi="宋体" w:eastAsia="宋体" w:cs="宋体"/>
                <w:color w:val="000000"/>
                <w:kern w:val="0"/>
                <w:sz w:val="22"/>
              </w:rPr>
              <w:t>0A</w:t>
            </w:r>
          </w:p>
        </w:tc>
        <w:tc>
          <w:tcPr>
            <w:tcW w:w="670" w:type="dxa"/>
            <w:tcBorders>
              <w:top w:val="nil"/>
              <w:left w:val="nil"/>
              <w:bottom w:val="single" w:color="auto" w:sz="4" w:space="0"/>
              <w:right w:val="single" w:color="auto" w:sz="4" w:space="0"/>
            </w:tcBorders>
            <w:shd w:val="clear" w:color="auto" w:fill="auto"/>
            <w:noWrap/>
            <w:vAlign w:val="center"/>
          </w:tcPr>
          <w:p w14:paraId="1636F7CE">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台</w:t>
            </w:r>
          </w:p>
        </w:tc>
        <w:tc>
          <w:tcPr>
            <w:tcW w:w="580" w:type="dxa"/>
            <w:tcBorders>
              <w:top w:val="nil"/>
              <w:left w:val="nil"/>
              <w:bottom w:val="single" w:color="auto" w:sz="4" w:space="0"/>
              <w:right w:val="single" w:color="auto" w:sz="4" w:space="0"/>
            </w:tcBorders>
            <w:shd w:val="clear" w:color="auto" w:fill="auto"/>
            <w:noWrap/>
            <w:vAlign w:val="center"/>
          </w:tcPr>
          <w:p w14:paraId="51420086">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5A36BC4C">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35FEA444">
        <w:tblPrEx>
          <w:tblCellMar>
            <w:top w:w="0" w:type="dxa"/>
            <w:left w:w="108" w:type="dxa"/>
            <w:bottom w:w="0" w:type="dxa"/>
            <w:right w:w="108" w:type="dxa"/>
          </w:tblCellMar>
        </w:tblPrEx>
        <w:trPr>
          <w:trHeight w:val="3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62B949E1">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33</w:t>
            </w:r>
          </w:p>
        </w:tc>
        <w:tc>
          <w:tcPr>
            <w:tcW w:w="2010" w:type="dxa"/>
            <w:tcBorders>
              <w:top w:val="nil"/>
              <w:left w:val="nil"/>
              <w:bottom w:val="single" w:color="auto" w:sz="4" w:space="0"/>
              <w:right w:val="single" w:color="auto" w:sz="4" w:space="0"/>
            </w:tcBorders>
            <w:shd w:val="clear" w:color="auto" w:fill="auto"/>
            <w:vAlign w:val="center"/>
          </w:tcPr>
          <w:p w14:paraId="54EEE4AB">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电子油门</w:t>
            </w:r>
          </w:p>
        </w:tc>
        <w:tc>
          <w:tcPr>
            <w:tcW w:w="4660" w:type="dxa"/>
            <w:tcBorders>
              <w:top w:val="nil"/>
              <w:left w:val="nil"/>
              <w:bottom w:val="single" w:color="auto" w:sz="4" w:space="0"/>
              <w:right w:val="single" w:color="auto" w:sz="4" w:space="0"/>
            </w:tcBorders>
            <w:shd w:val="clear" w:color="auto" w:fill="auto"/>
            <w:vAlign w:val="center"/>
          </w:tcPr>
          <w:p w14:paraId="2AE97DB7">
            <w:pPr>
              <w:widowControl/>
              <w:suppressAutoHyphens w:val="0"/>
              <w:overflowPunct/>
              <w:rPr>
                <w:rFonts w:ascii="Times New Roman" w:hAnsi="Times New Roman" w:eastAsia="宋体" w:cs="Times New Roman"/>
                <w:kern w:val="0"/>
                <w:sz w:val="22"/>
              </w:rPr>
            </w:pPr>
            <w:r>
              <w:rPr>
                <w:rFonts w:hint="eastAsia" w:ascii="宋体" w:hAnsi="宋体" w:eastAsia="宋体" w:cs="Times New Roman"/>
                <w:kern w:val="0"/>
                <w:sz w:val="22"/>
              </w:rPr>
              <w:t>连结到</w:t>
            </w:r>
            <w:r>
              <w:rPr>
                <w:rFonts w:hint="eastAsia" w:ascii="Times New Roman" w:hAnsi="Times New Roman" w:eastAsia="宋体" w:cs="Times New Roman"/>
                <w:kern w:val="0"/>
                <w:sz w:val="22"/>
              </w:rPr>
              <w:t>台架</w:t>
            </w:r>
            <w:r>
              <w:rPr>
                <w:rFonts w:ascii="Times New Roman" w:hAnsi="Times New Roman" w:eastAsia="宋体" w:cs="Times New Roman"/>
                <w:kern w:val="0"/>
                <w:sz w:val="22"/>
              </w:rPr>
              <w:t>线</w:t>
            </w:r>
            <w:r>
              <w:rPr>
                <w:rFonts w:hint="eastAsia" w:ascii="Times New Roman" w:hAnsi="Times New Roman" w:eastAsia="宋体" w:cs="Times New Roman"/>
                <w:kern w:val="0"/>
                <w:sz w:val="22"/>
              </w:rPr>
              <w:t>束</w:t>
            </w:r>
            <w:r>
              <w:rPr>
                <w:rFonts w:hint="eastAsia" w:ascii="宋体" w:hAnsi="宋体" w:eastAsia="宋体" w:cs="Times New Roman"/>
                <w:kern w:val="0"/>
                <w:sz w:val="22"/>
              </w:rPr>
              <w:t>，两路模拟量电压信号输出</w:t>
            </w:r>
          </w:p>
        </w:tc>
        <w:tc>
          <w:tcPr>
            <w:tcW w:w="670" w:type="dxa"/>
            <w:tcBorders>
              <w:top w:val="nil"/>
              <w:left w:val="nil"/>
              <w:bottom w:val="single" w:color="auto" w:sz="4" w:space="0"/>
              <w:right w:val="single" w:color="auto" w:sz="4" w:space="0"/>
            </w:tcBorders>
            <w:shd w:val="clear" w:color="auto" w:fill="auto"/>
            <w:noWrap/>
            <w:vAlign w:val="center"/>
          </w:tcPr>
          <w:p w14:paraId="107F427A">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12013F9A">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7AE415A7">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4E08B875">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010862A4">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34</w:t>
            </w:r>
          </w:p>
        </w:tc>
        <w:tc>
          <w:tcPr>
            <w:tcW w:w="2010" w:type="dxa"/>
            <w:tcBorders>
              <w:top w:val="nil"/>
              <w:left w:val="nil"/>
              <w:bottom w:val="single" w:color="auto" w:sz="4" w:space="0"/>
              <w:right w:val="single" w:color="auto" w:sz="4" w:space="0"/>
            </w:tcBorders>
            <w:shd w:val="clear" w:color="auto" w:fill="auto"/>
            <w:vAlign w:val="center"/>
          </w:tcPr>
          <w:p w14:paraId="13997732">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机械油门执行器</w:t>
            </w:r>
          </w:p>
        </w:tc>
        <w:tc>
          <w:tcPr>
            <w:tcW w:w="4660" w:type="dxa"/>
            <w:tcBorders>
              <w:top w:val="nil"/>
              <w:left w:val="nil"/>
              <w:bottom w:val="single" w:color="auto" w:sz="4" w:space="0"/>
              <w:right w:val="single" w:color="auto" w:sz="4" w:space="0"/>
            </w:tcBorders>
            <w:shd w:val="clear" w:color="auto" w:fill="auto"/>
            <w:vAlign w:val="center"/>
          </w:tcPr>
          <w:p w14:paraId="220A301E">
            <w:pPr>
              <w:widowControl/>
              <w:suppressAutoHyphens w:val="0"/>
              <w:overflowPunct/>
              <w:rPr>
                <w:rFonts w:ascii="宋体" w:hAnsi="宋体" w:eastAsia="宋体" w:cs="宋体"/>
                <w:kern w:val="0"/>
                <w:sz w:val="22"/>
              </w:rPr>
            </w:pPr>
            <w:r>
              <w:rPr>
                <w:rFonts w:hint="eastAsia" w:ascii="宋体" w:hAnsi="宋体" w:eastAsia="宋体" w:cs="宋体"/>
                <w:kern w:val="0"/>
                <w:sz w:val="22"/>
              </w:rPr>
              <w:t>90°角行程、力矩电机驱动；配5m油门拉索一根</w:t>
            </w:r>
          </w:p>
        </w:tc>
        <w:tc>
          <w:tcPr>
            <w:tcW w:w="670" w:type="dxa"/>
            <w:tcBorders>
              <w:top w:val="nil"/>
              <w:left w:val="nil"/>
              <w:bottom w:val="single" w:color="auto" w:sz="4" w:space="0"/>
              <w:right w:val="single" w:color="auto" w:sz="4" w:space="0"/>
            </w:tcBorders>
            <w:shd w:val="clear" w:color="auto" w:fill="auto"/>
            <w:noWrap/>
            <w:vAlign w:val="center"/>
          </w:tcPr>
          <w:p w14:paraId="1537E3C9">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0CB9036C">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4367C539">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4F75E568">
        <w:tblPrEx>
          <w:tblCellMar>
            <w:top w:w="0" w:type="dxa"/>
            <w:left w:w="108" w:type="dxa"/>
            <w:bottom w:w="0" w:type="dxa"/>
            <w:right w:w="108" w:type="dxa"/>
          </w:tblCellMar>
        </w:tblPrEx>
        <w:trPr>
          <w:trHeight w:val="57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2AB62CBE">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35</w:t>
            </w:r>
          </w:p>
        </w:tc>
        <w:tc>
          <w:tcPr>
            <w:tcW w:w="2010" w:type="dxa"/>
            <w:tcBorders>
              <w:top w:val="nil"/>
              <w:left w:val="nil"/>
              <w:bottom w:val="single" w:color="auto" w:sz="4" w:space="0"/>
              <w:right w:val="single" w:color="auto" w:sz="4" w:space="0"/>
            </w:tcBorders>
            <w:shd w:val="clear" w:color="auto" w:fill="auto"/>
            <w:vAlign w:val="center"/>
          </w:tcPr>
          <w:p w14:paraId="59D10A0C">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自动测控软件</w:t>
            </w:r>
          </w:p>
        </w:tc>
        <w:tc>
          <w:tcPr>
            <w:tcW w:w="4660" w:type="dxa"/>
            <w:tcBorders>
              <w:top w:val="nil"/>
              <w:left w:val="nil"/>
              <w:bottom w:val="single" w:color="auto" w:sz="4" w:space="0"/>
              <w:right w:val="single" w:color="auto" w:sz="4" w:space="0"/>
            </w:tcBorders>
            <w:shd w:val="clear" w:color="auto" w:fill="auto"/>
            <w:vAlign w:val="center"/>
          </w:tcPr>
          <w:p w14:paraId="71E715C6">
            <w:pPr>
              <w:widowControl/>
              <w:suppressAutoHyphens w:val="0"/>
              <w:overflowPunct/>
              <w:rPr>
                <w:rFonts w:ascii="Times New Roman" w:hAnsi="Times New Roman" w:eastAsia="宋体" w:cs="Times New Roman"/>
                <w:kern w:val="0"/>
                <w:sz w:val="22"/>
              </w:rPr>
            </w:pPr>
            <w:r>
              <w:rPr>
                <w:rFonts w:hint="eastAsia" w:ascii="宋体" w:hAnsi="宋体" w:eastAsia="宋体" w:cs="Times New Roman"/>
                <w:kern w:val="0"/>
                <w:sz w:val="22"/>
              </w:rPr>
              <w:t>自定义试验程序，编辑方式可视化</w:t>
            </w:r>
          </w:p>
        </w:tc>
        <w:tc>
          <w:tcPr>
            <w:tcW w:w="670" w:type="dxa"/>
            <w:tcBorders>
              <w:top w:val="nil"/>
              <w:left w:val="nil"/>
              <w:bottom w:val="single" w:color="auto" w:sz="4" w:space="0"/>
              <w:right w:val="single" w:color="auto" w:sz="4" w:space="0"/>
            </w:tcBorders>
            <w:shd w:val="clear" w:color="auto" w:fill="auto"/>
            <w:noWrap/>
            <w:vAlign w:val="center"/>
          </w:tcPr>
          <w:p w14:paraId="0CF7B09E">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6043ABDE">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0929E7F3">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34491889">
        <w:tblPrEx>
          <w:tblCellMar>
            <w:top w:w="0" w:type="dxa"/>
            <w:left w:w="108" w:type="dxa"/>
            <w:bottom w:w="0" w:type="dxa"/>
            <w:right w:w="108" w:type="dxa"/>
          </w:tblCellMar>
        </w:tblPrEx>
        <w:trPr>
          <w:trHeight w:val="3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412B976D">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36</w:t>
            </w:r>
          </w:p>
        </w:tc>
        <w:tc>
          <w:tcPr>
            <w:tcW w:w="2010" w:type="dxa"/>
            <w:tcBorders>
              <w:top w:val="nil"/>
              <w:left w:val="nil"/>
              <w:bottom w:val="single" w:color="auto" w:sz="4" w:space="0"/>
              <w:right w:val="single" w:color="auto" w:sz="4" w:space="0"/>
            </w:tcBorders>
            <w:shd w:val="clear" w:color="auto" w:fill="auto"/>
            <w:vAlign w:val="center"/>
          </w:tcPr>
          <w:p w14:paraId="3D92B53E">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台架急停装置</w:t>
            </w:r>
          </w:p>
        </w:tc>
        <w:tc>
          <w:tcPr>
            <w:tcW w:w="4660" w:type="dxa"/>
            <w:tcBorders>
              <w:top w:val="nil"/>
              <w:left w:val="nil"/>
              <w:bottom w:val="single" w:color="auto" w:sz="4" w:space="0"/>
              <w:right w:val="single" w:color="auto" w:sz="4" w:space="0"/>
            </w:tcBorders>
            <w:shd w:val="clear" w:color="auto" w:fill="auto"/>
            <w:vAlign w:val="center"/>
          </w:tcPr>
          <w:p w14:paraId="44810114">
            <w:pPr>
              <w:widowControl/>
              <w:suppressAutoHyphens w:val="0"/>
              <w:overflowPunct/>
              <w:rPr>
                <w:rFonts w:ascii="Times New Roman" w:hAnsi="Times New Roman" w:eastAsia="宋体" w:cs="Times New Roman"/>
                <w:kern w:val="0"/>
                <w:sz w:val="22"/>
              </w:rPr>
            </w:pPr>
            <w:r>
              <w:rPr>
                <w:rFonts w:hint="eastAsia" w:ascii="宋体" w:hAnsi="宋体" w:eastAsia="宋体" w:cs="Times New Roman"/>
                <w:kern w:val="0"/>
                <w:sz w:val="22"/>
              </w:rPr>
              <w:t>台架间内和控制间内，共</w:t>
            </w:r>
            <w:r>
              <w:rPr>
                <w:rFonts w:ascii="Times New Roman" w:hAnsi="Times New Roman" w:eastAsia="宋体" w:cs="Times New Roman"/>
                <w:kern w:val="0"/>
                <w:sz w:val="22"/>
              </w:rPr>
              <w:t>2</w:t>
            </w:r>
            <w:r>
              <w:rPr>
                <w:rFonts w:hint="eastAsia" w:ascii="宋体" w:hAnsi="宋体" w:eastAsia="宋体" w:cs="Times New Roman"/>
                <w:kern w:val="0"/>
                <w:sz w:val="22"/>
              </w:rPr>
              <w:t>处设急停按钮</w:t>
            </w:r>
          </w:p>
        </w:tc>
        <w:tc>
          <w:tcPr>
            <w:tcW w:w="670" w:type="dxa"/>
            <w:tcBorders>
              <w:top w:val="nil"/>
              <w:left w:val="nil"/>
              <w:bottom w:val="single" w:color="auto" w:sz="4" w:space="0"/>
              <w:right w:val="single" w:color="auto" w:sz="4" w:space="0"/>
            </w:tcBorders>
            <w:shd w:val="clear" w:color="auto" w:fill="auto"/>
            <w:noWrap/>
            <w:vAlign w:val="center"/>
          </w:tcPr>
          <w:p w14:paraId="7A33A444">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26062419">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67AFB480">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72CC5AEF">
        <w:tblPrEx>
          <w:tblCellMar>
            <w:top w:w="0" w:type="dxa"/>
            <w:left w:w="108" w:type="dxa"/>
            <w:bottom w:w="0" w:type="dxa"/>
            <w:right w:w="108" w:type="dxa"/>
          </w:tblCellMar>
        </w:tblPrEx>
        <w:trPr>
          <w:trHeight w:val="27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717EDE8F">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37</w:t>
            </w:r>
          </w:p>
        </w:tc>
        <w:tc>
          <w:tcPr>
            <w:tcW w:w="2010" w:type="dxa"/>
            <w:tcBorders>
              <w:top w:val="nil"/>
              <w:left w:val="nil"/>
              <w:bottom w:val="single" w:color="auto" w:sz="4" w:space="0"/>
              <w:right w:val="single" w:color="auto" w:sz="4" w:space="0"/>
            </w:tcBorders>
            <w:shd w:val="clear" w:color="auto" w:fill="auto"/>
            <w:vAlign w:val="center"/>
          </w:tcPr>
          <w:p w14:paraId="2F4E9A3B">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卧式操作台</w:t>
            </w:r>
          </w:p>
        </w:tc>
        <w:tc>
          <w:tcPr>
            <w:tcW w:w="4660" w:type="dxa"/>
            <w:tcBorders>
              <w:top w:val="nil"/>
              <w:left w:val="nil"/>
              <w:bottom w:val="single" w:color="auto" w:sz="4" w:space="0"/>
              <w:right w:val="single" w:color="auto" w:sz="4" w:space="0"/>
            </w:tcBorders>
            <w:shd w:val="clear" w:color="auto" w:fill="auto"/>
            <w:vAlign w:val="center"/>
          </w:tcPr>
          <w:p w14:paraId="3A581D3C">
            <w:pPr>
              <w:widowControl/>
              <w:suppressAutoHyphens w:val="0"/>
              <w:overflowPunct/>
              <w:rPr>
                <w:rFonts w:ascii="宋体" w:hAnsi="宋体" w:eastAsia="宋体" w:cs="宋体"/>
                <w:kern w:val="0"/>
                <w:sz w:val="22"/>
              </w:rPr>
            </w:pPr>
            <w:r>
              <w:rPr>
                <w:rFonts w:hint="eastAsia" w:ascii="宋体" w:hAnsi="宋体" w:eastAsia="宋体" w:cs="宋体"/>
                <w:kern w:val="0"/>
                <w:sz w:val="22"/>
              </w:rPr>
              <w:t>操作台长不小于1200mm；操作台的坐凳利旧</w:t>
            </w:r>
          </w:p>
        </w:tc>
        <w:tc>
          <w:tcPr>
            <w:tcW w:w="670" w:type="dxa"/>
            <w:tcBorders>
              <w:top w:val="nil"/>
              <w:left w:val="nil"/>
              <w:bottom w:val="single" w:color="auto" w:sz="4" w:space="0"/>
              <w:right w:val="single" w:color="auto" w:sz="4" w:space="0"/>
            </w:tcBorders>
            <w:shd w:val="clear" w:color="auto" w:fill="auto"/>
            <w:noWrap/>
            <w:vAlign w:val="center"/>
          </w:tcPr>
          <w:p w14:paraId="1683B476">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台</w:t>
            </w:r>
          </w:p>
        </w:tc>
        <w:tc>
          <w:tcPr>
            <w:tcW w:w="580" w:type="dxa"/>
            <w:tcBorders>
              <w:top w:val="nil"/>
              <w:left w:val="nil"/>
              <w:bottom w:val="single" w:color="auto" w:sz="4" w:space="0"/>
              <w:right w:val="single" w:color="auto" w:sz="4" w:space="0"/>
            </w:tcBorders>
            <w:shd w:val="clear" w:color="auto" w:fill="auto"/>
            <w:noWrap/>
            <w:vAlign w:val="center"/>
          </w:tcPr>
          <w:p w14:paraId="52126D6C">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3A54A179">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7422F7B3">
        <w:tblPrEx>
          <w:tblCellMar>
            <w:top w:w="0" w:type="dxa"/>
            <w:left w:w="108" w:type="dxa"/>
            <w:bottom w:w="0" w:type="dxa"/>
            <w:right w:w="108" w:type="dxa"/>
          </w:tblCellMar>
        </w:tblPrEx>
        <w:trPr>
          <w:trHeight w:val="27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55BFE021">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38</w:t>
            </w:r>
          </w:p>
        </w:tc>
        <w:tc>
          <w:tcPr>
            <w:tcW w:w="2010" w:type="dxa"/>
            <w:tcBorders>
              <w:top w:val="nil"/>
              <w:left w:val="nil"/>
              <w:bottom w:val="single" w:color="auto" w:sz="4" w:space="0"/>
              <w:right w:val="single" w:color="auto" w:sz="4" w:space="0"/>
            </w:tcBorders>
            <w:shd w:val="clear" w:color="auto" w:fill="auto"/>
            <w:vAlign w:val="center"/>
          </w:tcPr>
          <w:p w14:paraId="5E1F428C">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扫描枪</w:t>
            </w:r>
          </w:p>
        </w:tc>
        <w:tc>
          <w:tcPr>
            <w:tcW w:w="4660" w:type="dxa"/>
            <w:tcBorders>
              <w:top w:val="nil"/>
              <w:left w:val="nil"/>
              <w:bottom w:val="single" w:color="auto" w:sz="4" w:space="0"/>
              <w:right w:val="single" w:color="auto" w:sz="4" w:space="0"/>
            </w:tcBorders>
            <w:shd w:val="clear" w:color="auto" w:fill="auto"/>
            <w:vAlign w:val="center"/>
          </w:tcPr>
          <w:p w14:paraId="1E1897BC">
            <w:pPr>
              <w:widowControl/>
              <w:suppressAutoHyphens w:val="0"/>
              <w:overflowPunct/>
              <w:rPr>
                <w:rFonts w:ascii="宋体" w:hAnsi="宋体" w:eastAsia="宋体" w:cs="宋体"/>
                <w:kern w:val="0"/>
                <w:sz w:val="22"/>
              </w:rPr>
            </w:pPr>
            <w:r>
              <w:rPr>
                <w:rFonts w:hint="eastAsia" w:ascii="宋体" w:hAnsi="宋体" w:eastAsia="宋体" w:cs="宋体"/>
                <w:kern w:val="0"/>
                <w:sz w:val="22"/>
              </w:rPr>
              <w:t>斑马扫描枪，含通讯集成</w:t>
            </w:r>
          </w:p>
        </w:tc>
        <w:tc>
          <w:tcPr>
            <w:tcW w:w="670" w:type="dxa"/>
            <w:tcBorders>
              <w:top w:val="nil"/>
              <w:left w:val="nil"/>
              <w:bottom w:val="single" w:color="auto" w:sz="4" w:space="0"/>
              <w:right w:val="single" w:color="auto" w:sz="4" w:space="0"/>
            </w:tcBorders>
            <w:shd w:val="clear" w:color="auto" w:fill="auto"/>
            <w:noWrap/>
            <w:vAlign w:val="center"/>
          </w:tcPr>
          <w:p w14:paraId="4A5A388D">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把</w:t>
            </w:r>
          </w:p>
        </w:tc>
        <w:tc>
          <w:tcPr>
            <w:tcW w:w="580" w:type="dxa"/>
            <w:tcBorders>
              <w:top w:val="nil"/>
              <w:left w:val="nil"/>
              <w:bottom w:val="single" w:color="auto" w:sz="4" w:space="0"/>
              <w:right w:val="single" w:color="auto" w:sz="4" w:space="0"/>
            </w:tcBorders>
            <w:shd w:val="clear" w:color="auto" w:fill="auto"/>
            <w:noWrap/>
            <w:vAlign w:val="center"/>
          </w:tcPr>
          <w:p w14:paraId="04DE20A1">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6745532C">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0A7F2A5A">
        <w:tblPrEx>
          <w:tblCellMar>
            <w:top w:w="0" w:type="dxa"/>
            <w:left w:w="108" w:type="dxa"/>
            <w:bottom w:w="0" w:type="dxa"/>
            <w:right w:w="108" w:type="dxa"/>
          </w:tblCellMar>
        </w:tblPrEx>
        <w:trPr>
          <w:trHeight w:val="3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043CFC9B">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39</w:t>
            </w:r>
          </w:p>
        </w:tc>
        <w:tc>
          <w:tcPr>
            <w:tcW w:w="2010" w:type="dxa"/>
            <w:tcBorders>
              <w:top w:val="nil"/>
              <w:left w:val="nil"/>
              <w:bottom w:val="single" w:color="auto" w:sz="4" w:space="0"/>
              <w:right w:val="single" w:color="auto" w:sz="4" w:space="0"/>
            </w:tcBorders>
            <w:shd w:val="clear" w:color="auto" w:fill="auto"/>
            <w:vAlign w:val="center"/>
          </w:tcPr>
          <w:p w14:paraId="4E4A72A5">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数据采集箱</w:t>
            </w:r>
          </w:p>
        </w:tc>
        <w:tc>
          <w:tcPr>
            <w:tcW w:w="4660" w:type="dxa"/>
            <w:tcBorders>
              <w:top w:val="nil"/>
              <w:left w:val="nil"/>
              <w:bottom w:val="single" w:color="auto" w:sz="4" w:space="0"/>
              <w:right w:val="single" w:color="auto" w:sz="4" w:space="0"/>
            </w:tcBorders>
            <w:shd w:val="clear" w:color="auto" w:fill="auto"/>
            <w:vAlign w:val="center"/>
          </w:tcPr>
          <w:p w14:paraId="521D7102">
            <w:pPr>
              <w:widowControl/>
              <w:suppressAutoHyphens w:val="0"/>
              <w:overflowPunct/>
              <w:rPr>
                <w:rFonts w:ascii="Times New Roman" w:hAnsi="Times New Roman" w:eastAsia="宋体" w:cs="Times New Roman"/>
                <w:kern w:val="0"/>
                <w:sz w:val="22"/>
              </w:rPr>
            </w:pPr>
            <w:r>
              <w:rPr>
                <w:rFonts w:hint="eastAsia" w:ascii="宋体" w:hAnsi="宋体" w:eastAsia="宋体" w:cs="Times New Roman"/>
                <w:kern w:val="0"/>
                <w:sz w:val="22"/>
              </w:rPr>
              <w:t>侧墙或落地安装</w:t>
            </w:r>
          </w:p>
        </w:tc>
        <w:tc>
          <w:tcPr>
            <w:tcW w:w="670" w:type="dxa"/>
            <w:tcBorders>
              <w:top w:val="nil"/>
              <w:left w:val="nil"/>
              <w:bottom w:val="single" w:color="auto" w:sz="4" w:space="0"/>
              <w:right w:val="single" w:color="auto" w:sz="4" w:space="0"/>
            </w:tcBorders>
            <w:shd w:val="clear" w:color="auto" w:fill="auto"/>
            <w:vAlign w:val="center"/>
          </w:tcPr>
          <w:p w14:paraId="71842962">
            <w:pPr>
              <w:widowControl/>
              <w:suppressAutoHyphens w:val="0"/>
              <w:overflowPunct/>
              <w:jc w:val="center"/>
              <w:rPr>
                <w:rFonts w:ascii="宋体" w:hAnsi="宋体" w:eastAsia="宋体" w:cs="宋体"/>
                <w:kern w:val="0"/>
                <w:sz w:val="22"/>
              </w:rPr>
            </w:pPr>
            <w:r>
              <w:rPr>
                <w:rFonts w:hint="eastAsia" w:ascii="宋体" w:hAnsi="宋体" w:eastAsia="宋体" w:cs="宋体"/>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438F530C">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66FB5533">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4FDBC47D">
        <w:tblPrEx>
          <w:tblCellMar>
            <w:top w:w="0" w:type="dxa"/>
            <w:left w:w="108" w:type="dxa"/>
            <w:bottom w:w="0" w:type="dxa"/>
            <w:right w:w="108" w:type="dxa"/>
          </w:tblCellMar>
        </w:tblPrEx>
        <w:trPr>
          <w:trHeight w:val="3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085FCD0A">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40</w:t>
            </w:r>
          </w:p>
        </w:tc>
        <w:tc>
          <w:tcPr>
            <w:tcW w:w="2010" w:type="dxa"/>
            <w:tcBorders>
              <w:top w:val="nil"/>
              <w:left w:val="nil"/>
              <w:bottom w:val="single" w:color="auto" w:sz="4" w:space="0"/>
              <w:right w:val="single" w:color="auto" w:sz="4" w:space="0"/>
            </w:tcBorders>
            <w:shd w:val="clear" w:color="auto" w:fill="auto"/>
            <w:vAlign w:val="center"/>
          </w:tcPr>
          <w:p w14:paraId="15C27973">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低温传感器</w:t>
            </w:r>
          </w:p>
        </w:tc>
        <w:tc>
          <w:tcPr>
            <w:tcW w:w="4660" w:type="dxa"/>
            <w:tcBorders>
              <w:top w:val="nil"/>
              <w:left w:val="nil"/>
              <w:bottom w:val="single" w:color="auto" w:sz="4" w:space="0"/>
              <w:right w:val="single" w:color="auto" w:sz="4" w:space="0"/>
            </w:tcBorders>
            <w:shd w:val="clear" w:color="auto" w:fill="auto"/>
            <w:vAlign w:val="center"/>
          </w:tcPr>
          <w:p w14:paraId="36642171">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PT100，每台架9件，靖江扬子，配安装接头</w:t>
            </w:r>
          </w:p>
        </w:tc>
        <w:tc>
          <w:tcPr>
            <w:tcW w:w="670" w:type="dxa"/>
            <w:tcBorders>
              <w:top w:val="nil"/>
              <w:left w:val="nil"/>
              <w:bottom w:val="single" w:color="auto" w:sz="4" w:space="0"/>
              <w:right w:val="single" w:color="auto" w:sz="4" w:space="0"/>
            </w:tcBorders>
            <w:shd w:val="clear" w:color="auto" w:fill="auto"/>
            <w:vAlign w:val="center"/>
          </w:tcPr>
          <w:p w14:paraId="783E8BA9">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1D07FB86">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14480F62">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71487B90">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7667BE82">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41</w:t>
            </w:r>
          </w:p>
        </w:tc>
        <w:tc>
          <w:tcPr>
            <w:tcW w:w="2010" w:type="dxa"/>
            <w:tcBorders>
              <w:top w:val="nil"/>
              <w:left w:val="nil"/>
              <w:bottom w:val="single" w:color="auto" w:sz="4" w:space="0"/>
              <w:right w:val="single" w:color="auto" w:sz="4" w:space="0"/>
            </w:tcBorders>
            <w:shd w:val="clear" w:color="auto" w:fill="auto"/>
            <w:vAlign w:val="center"/>
          </w:tcPr>
          <w:p w14:paraId="0F475892">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低温传感器</w:t>
            </w:r>
          </w:p>
        </w:tc>
        <w:tc>
          <w:tcPr>
            <w:tcW w:w="4660" w:type="dxa"/>
            <w:tcBorders>
              <w:top w:val="nil"/>
              <w:left w:val="nil"/>
              <w:bottom w:val="single" w:color="auto" w:sz="4" w:space="0"/>
              <w:right w:val="single" w:color="auto" w:sz="4" w:space="0"/>
            </w:tcBorders>
            <w:shd w:val="clear" w:color="auto" w:fill="auto"/>
            <w:vAlign w:val="center"/>
          </w:tcPr>
          <w:p w14:paraId="7B3F59D7">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PT100，增程器台架5件，靖江扬子，配安装接头</w:t>
            </w:r>
          </w:p>
        </w:tc>
        <w:tc>
          <w:tcPr>
            <w:tcW w:w="670" w:type="dxa"/>
            <w:tcBorders>
              <w:top w:val="nil"/>
              <w:left w:val="nil"/>
              <w:bottom w:val="single" w:color="auto" w:sz="4" w:space="0"/>
              <w:right w:val="single" w:color="auto" w:sz="4" w:space="0"/>
            </w:tcBorders>
            <w:shd w:val="clear" w:color="auto" w:fill="auto"/>
            <w:vAlign w:val="center"/>
          </w:tcPr>
          <w:p w14:paraId="670F468E">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52A9DDD4">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4106803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19C7BF4A">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1ACC2D3C">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42</w:t>
            </w:r>
          </w:p>
        </w:tc>
        <w:tc>
          <w:tcPr>
            <w:tcW w:w="2010" w:type="dxa"/>
            <w:tcBorders>
              <w:top w:val="nil"/>
              <w:left w:val="nil"/>
              <w:bottom w:val="single" w:color="auto" w:sz="4" w:space="0"/>
              <w:right w:val="single" w:color="auto" w:sz="4" w:space="0"/>
            </w:tcBorders>
            <w:shd w:val="clear" w:color="auto" w:fill="auto"/>
            <w:vAlign w:val="center"/>
          </w:tcPr>
          <w:p w14:paraId="03938B78">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高温传感器</w:t>
            </w:r>
          </w:p>
        </w:tc>
        <w:tc>
          <w:tcPr>
            <w:tcW w:w="4660" w:type="dxa"/>
            <w:tcBorders>
              <w:top w:val="nil"/>
              <w:left w:val="nil"/>
              <w:bottom w:val="single" w:color="auto" w:sz="4" w:space="0"/>
              <w:right w:val="single" w:color="auto" w:sz="4" w:space="0"/>
            </w:tcBorders>
            <w:shd w:val="clear" w:color="auto" w:fill="auto"/>
            <w:vAlign w:val="center"/>
          </w:tcPr>
          <w:p w14:paraId="48A1126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K分度热电偶，每台架2件，靖江扬子；配安装接头</w:t>
            </w:r>
          </w:p>
        </w:tc>
        <w:tc>
          <w:tcPr>
            <w:tcW w:w="670" w:type="dxa"/>
            <w:tcBorders>
              <w:top w:val="nil"/>
              <w:left w:val="nil"/>
              <w:bottom w:val="single" w:color="auto" w:sz="4" w:space="0"/>
              <w:right w:val="single" w:color="auto" w:sz="4" w:space="0"/>
            </w:tcBorders>
            <w:shd w:val="clear" w:color="auto" w:fill="auto"/>
            <w:vAlign w:val="center"/>
          </w:tcPr>
          <w:p w14:paraId="11A8B72C">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4CB6BF98">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025A113F">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448D7470">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07A8178B">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43</w:t>
            </w:r>
          </w:p>
        </w:tc>
        <w:tc>
          <w:tcPr>
            <w:tcW w:w="2010" w:type="dxa"/>
            <w:tcBorders>
              <w:top w:val="nil"/>
              <w:left w:val="nil"/>
              <w:bottom w:val="single" w:color="auto" w:sz="4" w:space="0"/>
              <w:right w:val="single" w:color="auto" w:sz="4" w:space="0"/>
            </w:tcBorders>
            <w:shd w:val="clear" w:color="auto" w:fill="auto"/>
            <w:vAlign w:val="center"/>
          </w:tcPr>
          <w:p w14:paraId="1269A162">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压力传感器</w:t>
            </w:r>
          </w:p>
        </w:tc>
        <w:tc>
          <w:tcPr>
            <w:tcW w:w="4660" w:type="dxa"/>
            <w:tcBorders>
              <w:top w:val="nil"/>
              <w:left w:val="nil"/>
              <w:bottom w:val="single" w:color="auto" w:sz="4" w:space="0"/>
              <w:right w:val="single" w:color="auto" w:sz="4" w:space="0"/>
            </w:tcBorders>
            <w:shd w:val="clear" w:color="auto" w:fill="auto"/>
            <w:vAlign w:val="center"/>
          </w:tcPr>
          <w:p w14:paraId="469B0B91">
            <w:pPr>
              <w:widowControl/>
              <w:suppressAutoHyphens w:val="0"/>
              <w:overflowPunct/>
              <w:rPr>
                <w:rFonts w:ascii="宋体" w:hAnsi="宋体" w:eastAsia="宋体" w:cs="宋体"/>
                <w:kern w:val="0"/>
                <w:sz w:val="22"/>
              </w:rPr>
            </w:pPr>
            <w:r>
              <w:rPr>
                <w:rFonts w:hint="eastAsia" w:ascii="宋体" w:hAnsi="宋体" w:eastAsia="宋体" w:cs="宋体"/>
                <w:kern w:val="0"/>
                <w:sz w:val="22"/>
              </w:rPr>
              <w:t>德鲁克或WIK</w:t>
            </w:r>
            <w:r>
              <w:rPr>
                <w:rFonts w:ascii="宋体" w:hAnsi="宋体" w:eastAsia="宋体" w:cs="宋体"/>
                <w:kern w:val="0"/>
                <w:sz w:val="22"/>
              </w:rPr>
              <w:t>A</w:t>
            </w:r>
            <w:r>
              <w:rPr>
                <w:rFonts w:hint="eastAsia" w:ascii="宋体" w:hAnsi="宋体" w:eastAsia="宋体" w:cs="宋体"/>
                <w:kern w:val="0"/>
                <w:sz w:val="22"/>
              </w:rPr>
              <w:t>，每台架8件；配安装接头和特氟龙管</w:t>
            </w:r>
          </w:p>
        </w:tc>
        <w:tc>
          <w:tcPr>
            <w:tcW w:w="670" w:type="dxa"/>
            <w:tcBorders>
              <w:top w:val="nil"/>
              <w:left w:val="nil"/>
              <w:bottom w:val="single" w:color="auto" w:sz="4" w:space="0"/>
              <w:right w:val="single" w:color="auto" w:sz="4" w:space="0"/>
            </w:tcBorders>
            <w:shd w:val="clear" w:color="auto" w:fill="auto"/>
            <w:vAlign w:val="center"/>
          </w:tcPr>
          <w:p w14:paraId="3D57CD85">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003076D8">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7F377F91">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5944D467">
        <w:tblPrEx>
          <w:tblCellMar>
            <w:top w:w="0" w:type="dxa"/>
            <w:left w:w="108" w:type="dxa"/>
            <w:bottom w:w="0" w:type="dxa"/>
            <w:right w:w="108" w:type="dxa"/>
          </w:tblCellMar>
        </w:tblPrEx>
        <w:trPr>
          <w:trHeight w:val="3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1B17990F">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44</w:t>
            </w:r>
          </w:p>
        </w:tc>
        <w:tc>
          <w:tcPr>
            <w:tcW w:w="2010" w:type="dxa"/>
            <w:tcBorders>
              <w:top w:val="nil"/>
              <w:left w:val="nil"/>
              <w:bottom w:val="single" w:color="auto" w:sz="4" w:space="0"/>
              <w:right w:val="single" w:color="auto" w:sz="4" w:space="0"/>
            </w:tcBorders>
            <w:shd w:val="clear" w:color="auto" w:fill="auto"/>
            <w:vAlign w:val="center"/>
          </w:tcPr>
          <w:p w14:paraId="5721F91C">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多路数据采集模块</w:t>
            </w:r>
          </w:p>
        </w:tc>
        <w:tc>
          <w:tcPr>
            <w:tcW w:w="4660" w:type="dxa"/>
            <w:tcBorders>
              <w:top w:val="nil"/>
              <w:left w:val="nil"/>
              <w:bottom w:val="single" w:color="auto" w:sz="4" w:space="0"/>
              <w:right w:val="single" w:color="auto" w:sz="4" w:space="0"/>
            </w:tcBorders>
            <w:shd w:val="clear" w:color="auto" w:fill="auto"/>
            <w:vAlign w:val="center"/>
          </w:tcPr>
          <w:p w14:paraId="419A8149">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研华4015，每台架3件</w:t>
            </w:r>
          </w:p>
        </w:tc>
        <w:tc>
          <w:tcPr>
            <w:tcW w:w="670" w:type="dxa"/>
            <w:tcBorders>
              <w:top w:val="nil"/>
              <w:left w:val="nil"/>
              <w:bottom w:val="single" w:color="auto" w:sz="4" w:space="0"/>
              <w:right w:val="single" w:color="auto" w:sz="4" w:space="0"/>
            </w:tcBorders>
            <w:shd w:val="clear" w:color="auto" w:fill="auto"/>
            <w:vAlign w:val="center"/>
          </w:tcPr>
          <w:p w14:paraId="19FDDDDD">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22EA5986">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7DA8B81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14DDF84C">
        <w:tblPrEx>
          <w:tblCellMar>
            <w:top w:w="0" w:type="dxa"/>
            <w:left w:w="108" w:type="dxa"/>
            <w:bottom w:w="0" w:type="dxa"/>
            <w:right w:w="108" w:type="dxa"/>
          </w:tblCellMar>
        </w:tblPrEx>
        <w:trPr>
          <w:trHeight w:val="3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6D17AA44">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45</w:t>
            </w:r>
          </w:p>
        </w:tc>
        <w:tc>
          <w:tcPr>
            <w:tcW w:w="2010" w:type="dxa"/>
            <w:tcBorders>
              <w:top w:val="nil"/>
              <w:left w:val="nil"/>
              <w:bottom w:val="single" w:color="auto" w:sz="4" w:space="0"/>
              <w:right w:val="single" w:color="auto" w:sz="4" w:space="0"/>
            </w:tcBorders>
            <w:shd w:val="clear" w:color="auto" w:fill="auto"/>
            <w:vAlign w:val="center"/>
          </w:tcPr>
          <w:p w14:paraId="46B2EBAC">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多路数据采集模块</w:t>
            </w:r>
          </w:p>
        </w:tc>
        <w:tc>
          <w:tcPr>
            <w:tcW w:w="4660" w:type="dxa"/>
            <w:tcBorders>
              <w:top w:val="nil"/>
              <w:left w:val="nil"/>
              <w:bottom w:val="single" w:color="auto" w:sz="4" w:space="0"/>
              <w:right w:val="single" w:color="auto" w:sz="4" w:space="0"/>
            </w:tcBorders>
            <w:shd w:val="clear" w:color="auto" w:fill="auto"/>
            <w:vAlign w:val="center"/>
          </w:tcPr>
          <w:p w14:paraId="62307B92">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研华4</w:t>
            </w:r>
            <w:r>
              <w:rPr>
                <w:rFonts w:ascii="宋体" w:hAnsi="宋体" w:eastAsia="宋体" w:cs="宋体"/>
                <w:color w:val="000000"/>
                <w:kern w:val="0"/>
                <w:sz w:val="22"/>
              </w:rPr>
              <w:t>118</w:t>
            </w:r>
            <w:r>
              <w:rPr>
                <w:rFonts w:hint="eastAsia" w:ascii="宋体" w:hAnsi="宋体" w:eastAsia="宋体" w:cs="宋体"/>
                <w:color w:val="000000"/>
                <w:kern w:val="0"/>
                <w:sz w:val="22"/>
              </w:rPr>
              <w:t>，每台架3件</w:t>
            </w:r>
          </w:p>
        </w:tc>
        <w:tc>
          <w:tcPr>
            <w:tcW w:w="670" w:type="dxa"/>
            <w:tcBorders>
              <w:top w:val="nil"/>
              <w:left w:val="nil"/>
              <w:bottom w:val="single" w:color="auto" w:sz="4" w:space="0"/>
              <w:right w:val="single" w:color="auto" w:sz="4" w:space="0"/>
            </w:tcBorders>
            <w:shd w:val="clear" w:color="auto" w:fill="auto"/>
            <w:vAlign w:val="center"/>
          </w:tcPr>
          <w:p w14:paraId="622E7E59">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25F847E9">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6FFB545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512B4CC0">
        <w:tblPrEx>
          <w:tblCellMar>
            <w:top w:w="0" w:type="dxa"/>
            <w:left w:w="108" w:type="dxa"/>
            <w:bottom w:w="0" w:type="dxa"/>
            <w:right w:w="108" w:type="dxa"/>
          </w:tblCellMar>
        </w:tblPrEx>
        <w:trPr>
          <w:trHeight w:val="3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33938F8F">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46</w:t>
            </w:r>
          </w:p>
        </w:tc>
        <w:tc>
          <w:tcPr>
            <w:tcW w:w="2010" w:type="dxa"/>
            <w:tcBorders>
              <w:top w:val="nil"/>
              <w:left w:val="nil"/>
              <w:bottom w:val="single" w:color="auto" w:sz="4" w:space="0"/>
              <w:right w:val="single" w:color="auto" w:sz="4" w:space="0"/>
            </w:tcBorders>
            <w:shd w:val="clear" w:color="auto" w:fill="auto"/>
            <w:vAlign w:val="center"/>
          </w:tcPr>
          <w:p w14:paraId="64D80679">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开关量模块</w:t>
            </w:r>
          </w:p>
        </w:tc>
        <w:tc>
          <w:tcPr>
            <w:tcW w:w="4660" w:type="dxa"/>
            <w:tcBorders>
              <w:top w:val="nil"/>
              <w:left w:val="nil"/>
              <w:bottom w:val="single" w:color="auto" w:sz="4" w:space="0"/>
              <w:right w:val="single" w:color="auto" w:sz="4" w:space="0"/>
            </w:tcBorders>
            <w:shd w:val="clear" w:color="auto" w:fill="auto"/>
            <w:vAlign w:val="center"/>
          </w:tcPr>
          <w:p w14:paraId="068A1846">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研华4050，每台架1件</w:t>
            </w:r>
          </w:p>
        </w:tc>
        <w:tc>
          <w:tcPr>
            <w:tcW w:w="670" w:type="dxa"/>
            <w:tcBorders>
              <w:top w:val="nil"/>
              <w:left w:val="nil"/>
              <w:bottom w:val="single" w:color="auto" w:sz="4" w:space="0"/>
              <w:right w:val="single" w:color="auto" w:sz="4" w:space="0"/>
            </w:tcBorders>
            <w:shd w:val="clear" w:color="auto" w:fill="auto"/>
            <w:vAlign w:val="center"/>
          </w:tcPr>
          <w:p w14:paraId="758DE573">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块</w:t>
            </w:r>
          </w:p>
        </w:tc>
        <w:tc>
          <w:tcPr>
            <w:tcW w:w="580" w:type="dxa"/>
            <w:tcBorders>
              <w:top w:val="nil"/>
              <w:left w:val="nil"/>
              <w:bottom w:val="single" w:color="auto" w:sz="4" w:space="0"/>
              <w:right w:val="single" w:color="auto" w:sz="4" w:space="0"/>
            </w:tcBorders>
            <w:shd w:val="clear" w:color="auto" w:fill="auto"/>
            <w:vAlign w:val="center"/>
          </w:tcPr>
          <w:p w14:paraId="1591FBC5">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3188EC92">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79455FCD">
        <w:tblPrEx>
          <w:tblCellMar>
            <w:top w:w="0" w:type="dxa"/>
            <w:left w:w="108" w:type="dxa"/>
            <w:bottom w:w="0" w:type="dxa"/>
            <w:right w:w="108" w:type="dxa"/>
          </w:tblCellMar>
        </w:tblPrEx>
        <w:trPr>
          <w:trHeight w:val="3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12E3878E">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47</w:t>
            </w:r>
          </w:p>
        </w:tc>
        <w:tc>
          <w:tcPr>
            <w:tcW w:w="2010" w:type="dxa"/>
            <w:tcBorders>
              <w:top w:val="nil"/>
              <w:left w:val="nil"/>
              <w:bottom w:val="single" w:color="auto" w:sz="4" w:space="0"/>
              <w:right w:val="single" w:color="auto" w:sz="4" w:space="0"/>
            </w:tcBorders>
            <w:shd w:val="clear" w:color="auto" w:fill="auto"/>
            <w:vAlign w:val="center"/>
          </w:tcPr>
          <w:p w14:paraId="59E65234">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CAN卡</w:t>
            </w:r>
          </w:p>
        </w:tc>
        <w:tc>
          <w:tcPr>
            <w:tcW w:w="4660" w:type="dxa"/>
            <w:tcBorders>
              <w:top w:val="nil"/>
              <w:left w:val="nil"/>
              <w:bottom w:val="single" w:color="auto" w:sz="4" w:space="0"/>
              <w:right w:val="single" w:color="auto" w:sz="4" w:space="0"/>
            </w:tcBorders>
            <w:shd w:val="clear" w:color="auto" w:fill="auto"/>
            <w:vAlign w:val="center"/>
          </w:tcPr>
          <w:p w14:paraId="5F0B9E61">
            <w:pPr>
              <w:widowControl/>
              <w:suppressAutoHyphens w:val="0"/>
              <w:overflowPunct/>
              <w:rPr>
                <w:rFonts w:ascii="Times New Roman" w:hAnsi="Times New Roman" w:eastAsia="宋体" w:cs="Times New Roman"/>
                <w:kern w:val="0"/>
                <w:sz w:val="22"/>
              </w:rPr>
            </w:pPr>
            <w:r>
              <w:rPr>
                <w:rFonts w:hint="eastAsia" w:ascii="宋体" w:hAnsi="宋体" w:eastAsia="宋体" w:cs="Times New Roman"/>
                <w:kern w:val="0"/>
                <w:sz w:val="22"/>
              </w:rPr>
              <w:t>周立功</w:t>
            </w:r>
            <w:r>
              <w:rPr>
                <w:rFonts w:ascii="Times New Roman" w:hAnsi="Times New Roman" w:eastAsia="宋体" w:cs="Times New Roman"/>
                <w:kern w:val="0"/>
                <w:sz w:val="22"/>
              </w:rPr>
              <w:t>4</w:t>
            </w:r>
            <w:r>
              <w:rPr>
                <w:rFonts w:hint="eastAsia" w:ascii="宋体" w:hAnsi="宋体" w:eastAsia="宋体" w:cs="Times New Roman"/>
                <w:kern w:val="0"/>
                <w:sz w:val="22"/>
              </w:rPr>
              <w:t>通道</w:t>
            </w:r>
            <w:r>
              <w:rPr>
                <w:rFonts w:ascii="Times New Roman" w:hAnsi="Times New Roman" w:eastAsia="宋体" w:cs="Times New Roman"/>
                <w:kern w:val="0"/>
                <w:sz w:val="22"/>
              </w:rPr>
              <w:t>FD</w:t>
            </w:r>
            <w:r>
              <w:rPr>
                <w:rFonts w:hint="eastAsia" w:ascii="宋体" w:hAnsi="宋体" w:eastAsia="宋体" w:cs="Times New Roman"/>
                <w:kern w:val="0"/>
                <w:sz w:val="22"/>
              </w:rPr>
              <w:t>卡</w:t>
            </w:r>
          </w:p>
        </w:tc>
        <w:tc>
          <w:tcPr>
            <w:tcW w:w="670" w:type="dxa"/>
            <w:tcBorders>
              <w:top w:val="nil"/>
              <w:left w:val="nil"/>
              <w:bottom w:val="single" w:color="auto" w:sz="4" w:space="0"/>
              <w:right w:val="single" w:color="auto" w:sz="4" w:space="0"/>
            </w:tcBorders>
            <w:shd w:val="clear" w:color="auto" w:fill="auto"/>
            <w:vAlign w:val="center"/>
          </w:tcPr>
          <w:p w14:paraId="29AB8F95">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块</w:t>
            </w:r>
          </w:p>
        </w:tc>
        <w:tc>
          <w:tcPr>
            <w:tcW w:w="580" w:type="dxa"/>
            <w:tcBorders>
              <w:top w:val="nil"/>
              <w:left w:val="nil"/>
              <w:bottom w:val="single" w:color="auto" w:sz="4" w:space="0"/>
              <w:right w:val="single" w:color="auto" w:sz="4" w:space="0"/>
            </w:tcBorders>
            <w:shd w:val="clear" w:color="auto" w:fill="auto"/>
            <w:vAlign w:val="center"/>
          </w:tcPr>
          <w:p w14:paraId="7C577F07">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172B5848">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552A0228">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50C4E780">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48</w:t>
            </w:r>
          </w:p>
        </w:tc>
        <w:tc>
          <w:tcPr>
            <w:tcW w:w="2010" w:type="dxa"/>
            <w:tcBorders>
              <w:top w:val="nil"/>
              <w:left w:val="nil"/>
              <w:bottom w:val="single" w:color="auto" w:sz="4" w:space="0"/>
              <w:right w:val="single" w:color="auto" w:sz="4" w:space="0"/>
            </w:tcBorders>
            <w:shd w:val="clear" w:color="auto" w:fill="auto"/>
            <w:vAlign w:val="center"/>
          </w:tcPr>
          <w:p w14:paraId="4222FD70">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环境温湿度测量单元</w:t>
            </w:r>
          </w:p>
        </w:tc>
        <w:tc>
          <w:tcPr>
            <w:tcW w:w="4660" w:type="dxa"/>
            <w:tcBorders>
              <w:top w:val="nil"/>
              <w:left w:val="nil"/>
              <w:bottom w:val="single" w:color="auto" w:sz="4" w:space="0"/>
              <w:right w:val="single" w:color="auto" w:sz="4" w:space="0"/>
            </w:tcBorders>
            <w:shd w:val="clear" w:color="auto" w:fill="auto"/>
            <w:vAlign w:val="center"/>
          </w:tcPr>
          <w:p w14:paraId="7E12EF54">
            <w:pPr>
              <w:widowControl/>
              <w:suppressAutoHyphens w:val="0"/>
              <w:overflowPunct/>
              <w:rPr>
                <w:rFonts w:ascii="Times New Roman" w:hAnsi="Times New Roman" w:eastAsia="宋体" w:cs="Times New Roman"/>
                <w:kern w:val="0"/>
                <w:sz w:val="22"/>
              </w:rPr>
            </w:pPr>
            <w:r>
              <w:rPr>
                <w:rFonts w:ascii="Times New Roman" w:hAnsi="Times New Roman" w:eastAsia="宋体" w:cs="Times New Roman"/>
                <w:kern w:val="0"/>
                <w:sz w:val="22"/>
              </w:rPr>
              <w:t>Vaisala</w:t>
            </w:r>
            <w:r>
              <w:rPr>
                <w:rFonts w:hint="eastAsia" w:ascii="宋体" w:hAnsi="宋体" w:eastAsia="宋体" w:cs="Times New Roman"/>
                <w:kern w:val="0"/>
                <w:sz w:val="22"/>
              </w:rPr>
              <w:t>，</w:t>
            </w:r>
            <w:r>
              <w:rPr>
                <w:rFonts w:ascii="Times New Roman" w:hAnsi="Times New Roman" w:eastAsia="宋体" w:cs="Times New Roman"/>
                <w:kern w:val="0"/>
                <w:sz w:val="22"/>
              </w:rPr>
              <w:t>HMW82</w:t>
            </w:r>
          </w:p>
        </w:tc>
        <w:tc>
          <w:tcPr>
            <w:tcW w:w="670" w:type="dxa"/>
            <w:tcBorders>
              <w:top w:val="nil"/>
              <w:left w:val="nil"/>
              <w:bottom w:val="single" w:color="auto" w:sz="4" w:space="0"/>
              <w:right w:val="single" w:color="auto" w:sz="4" w:space="0"/>
            </w:tcBorders>
            <w:shd w:val="clear" w:color="auto" w:fill="auto"/>
            <w:vAlign w:val="center"/>
          </w:tcPr>
          <w:p w14:paraId="0BD7B455">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0570BB17">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2F9759D4">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0DEC189D">
        <w:tblPrEx>
          <w:tblCellMar>
            <w:top w:w="0" w:type="dxa"/>
            <w:left w:w="108" w:type="dxa"/>
            <w:bottom w:w="0" w:type="dxa"/>
            <w:right w:w="108" w:type="dxa"/>
          </w:tblCellMar>
        </w:tblPrEx>
        <w:trPr>
          <w:trHeight w:val="3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7FB97F22">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49</w:t>
            </w:r>
          </w:p>
        </w:tc>
        <w:tc>
          <w:tcPr>
            <w:tcW w:w="2010" w:type="dxa"/>
            <w:tcBorders>
              <w:top w:val="nil"/>
              <w:left w:val="nil"/>
              <w:bottom w:val="single" w:color="auto" w:sz="4" w:space="0"/>
              <w:right w:val="single" w:color="auto" w:sz="4" w:space="0"/>
            </w:tcBorders>
            <w:shd w:val="clear" w:color="auto" w:fill="auto"/>
            <w:vAlign w:val="center"/>
          </w:tcPr>
          <w:p w14:paraId="13C16F90">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环境压力测量单元</w:t>
            </w:r>
          </w:p>
        </w:tc>
        <w:tc>
          <w:tcPr>
            <w:tcW w:w="4660" w:type="dxa"/>
            <w:tcBorders>
              <w:top w:val="nil"/>
              <w:left w:val="nil"/>
              <w:bottom w:val="single" w:color="auto" w:sz="4" w:space="0"/>
              <w:right w:val="single" w:color="auto" w:sz="4" w:space="0"/>
            </w:tcBorders>
            <w:shd w:val="clear" w:color="auto" w:fill="auto"/>
            <w:vAlign w:val="center"/>
          </w:tcPr>
          <w:p w14:paraId="5D24A748">
            <w:pPr>
              <w:widowControl/>
              <w:suppressAutoHyphens w:val="0"/>
              <w:overflowPunct/>
              <w:rPr>
                <w:rFonts w:ascii="Times New Roman" w:hAnsi="Times New Roman" w:eastAsia="宋体" w:cs="Times New Roman"/>
                <w:kern w:val="0"/>
                <w:sz w:val="22"/>
              </w:rPr>
            </w:pPr>
            <w:r>
              <w:rPr>
                <w:rFonts w:hint="eastAsia" w:ascii="宋体" w:hAnsi="宋体" w:eastAsia="宋体" w:cs="Times New Roman"/>
                <w:kern w:val="0"/>
                <w:sz w:val="22"/>
              </w:rPr>
              <w:t>德鲁克或</w:t>
            </w:r>
            <w:r>
              <w:rPr>
                <w:rFonts w:ascii="Times New Roman" w:hAnsi="Times New Roman" w:eastAsia="宋体" w:cs="Times New Roman"/>
                <w:kern w:val="0"/>
                <w:sz w:val="22"/>
              </w:rPr>
              <w:t>WIKA</w:t>
            </w:r>
          </w:p>
        </w:tc>
        <w:tc>
          <w:tcPr>
            <w:tcW w:w="670" w:type="dxa"/>
            <w:tcBorders>
              <w:top w:val="nil"/>
              <w:left w:val="nil"/>
              <w:bottom w:val="single" w:color="auto" w:sz="4" w:space="0"/>
              <w:right w:val="single" w:color="auto" w:sz="4" w:space="0"/>
            </w:tcBorders>
            <w:shd w:val="clear" w:color="auto" w:fill="auto"/>
            <w:vAlign w:val="center"/>
          </w:tcPr>
          <w:p w14:paraId="513736BE">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5EDD3F98">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5F33F3D0">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39C6DE0C">
        <w:tblPrEx>
          <w:tblCellMar>
            <w:top w:w="0" w:type="dxa"/>
            <w:left w:w="108" w:type="dxa"/>
            <w:bottom w:w="0" w:type="dxa"/>
            <w:right w:w="108" w:type="dxa"/>
          </w:tblCellMar>
        </w:tblPrEx>
        <w:trPr>
          <w:trHeight w:val="27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53588DBC">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50</w:t>
            </w:r>
          </w:p>
        </w:tc>
        <w:tc>
          <w:tcPr>
            <w:tcW w:w="2010" w:type="dxa"/>
            <w:tcBorders>
              <w:top w:val="nil"/>
              <w:left w:val="nil"/>
              <w:bottom w:val="single" w:color="auto" w:sz="4" w:space="0"/>
              <w:right w:val="single" w:color="auto" w:sz="4" w:space="0"/>
            </w:tcBorders>
            <w:shd w:val="clear" w:color="auto" w:fill="auto"/>
            <w:vAlign w:val="center"/>
          </w:tcPr>
          <w:p w14:paraId="65E464C5">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瞬态油耗仪</w:t>
            </w:r>
          </w:p>
        </w:tc>
        <w:tc>
          <w:tcPr>
            <w:tcW w:w="4660" w:type="dxa"/>
            <w:tcBorders>
              <w:top w:val="nil"/>
              <w:left w:val="nil"/>
              <w:bottom w:val="single" w:color="auto" w:sz="4" w:space="0"/>
              <w:right w:val="single" w:color="auto" w:sz="4" w:space="0"/>
            </w:tcBorders>
            <w:shd w:val="clear" w:color="auto" w:fill="auto"/>
            <w:vAlign w:val="center"/>
          </w:tcPr>
          <w:p w14:paraId="72ABB071">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艾默生CMFS015，量程0-125kg/h</w:t>
            </w:r>
          </w:p>
        </w:tc>
        <w:tc>
          <w:tcPr>
            <w:tcW w:w="670" w:type="dxa"/>
            <w:tcBorders>
              <w:top w:val="nil"/>
              <w:left w:val="nil"/>
              <w:bottom w:val="single" w:color="auto" w:sz="4" w:space="0"/>
              <w:right w:val="single" w:color="auto" w:sz="4" w:space="0"/>
            </w:tcBorders>
            <w:shd w:val="clear" w:color="auto" w:fill="auto"/>
            <w:noWrap/>
            <w:vAlign w:val="center"/>
          </w:tcPr>
          <w:p w14:paraId="4E7B7184">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台</w:t>
            </w:r>
          </w:p>
        </w:tc>
        <w:tc>
          <w:tcPr>
            <w:tcW w:w="580" w:type="dxa"/>
            <w:tcBorders>
              <w:top w:val="nil"/>
              <w:left w:val="nil"/>
              <w:bottom w:val="single" w:color="auto" w:sz="4" w:space="0"/>
              <w:right w:val="single" w:color="auto" w:sz="4" w:space="0"/>
            </w:tcBorders>
            <w:shd w:val="clear" w:color="auto" w:fill="auto"/>
            <w:noWrap/>
            <w:vAlign w:val="center"/>
          </w:tcPr>
          <w:p w14:paraId="747A7925">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37ECE5F8">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5EDC1570">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13E114C4">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51</w:t>
            </w:r>
          </w:p>
        </w:tc>
        <w:tc>
          <w:tcPr>
            <w:tcW w:w="2010" w:type="dxa"/>
            <w:tcBorders>
              <w:top w:val="nil"/>
              <w:left w:val="nil"/>
              <w:bottom w:val="single" w:color="auto" w:sz="4" w:space="0"/>
              <w:right w:val="single" w:color="auto" w:sz="4" w:space="0"/>
            </w:tcBorders>
            <w:shd w:val="clear" w:color="auto" w:fill="auto"/>
            <w:vAlign w:val="center"/>
          </w:tcPr>
          <w:p w14:paraId="595F61E0">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燃油温控装置</w:t>
            </w:r>
          </w:p>
        </w:tc>
        <w:tc>
          <w:tcPr>
            <w:tcW w:w="4660" w:type="dxa"/>
            <w:tcBorders>
              <w:top w:val="nil"/>
              <w:left w:val="nil"/>
              <w:bottom w:val="single" w:color="auto" w:sz="4" w:space="0"/>
              <w:right w:val="single" w:color="auto" w:sz="4" w:space="0"/>
            </w:tcBorders>
            <w:shd w:val="clear" w:color="auto" w:fill="auto"/>
            <w:vAlign w:val="center"/>
          </w:tcPr>
          <w:p w14:paraId="009F51EF">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温度控制范围30～50℃，精度±2℃，带加热模块和切断阀，配西门子或博力谋控制阀</w:t>
            </w:r>
          </w:p>
        </w:tc>
        <w:tc>
          <w:tcPr>
            <w:tcW w:w="670" w:type="dxa"/>
            <w:tcBorders>
              <w:top w:val="nil"/>
              <w:left w:val="nil"/>
              <w:bottom w:val="single" w:color="auto" w:sz="4" w:space="0"/>
              <w:right w:val="single" w:color="auto" w:sz="4" w:space="0"/>
            </w:tcBorders>
            <w:shd w:val="clear" w:color="auto" w:fill="auto"/>
            <w:noWrap/>
            <w:vAlign w:val="center"/>
          </w:tcPr>
          <w:p w14:paraId="7B92106B">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5D87E6BB">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4F181E67">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1337D18A">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1EED0DA4">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52</w:t>
            </w:r>
          </w:p>
        </w:tc>
        <w:tc>
          <w:tcPr>
            <w:tcW w:w="2010" w:type="dxa"/>
            <w:tcBorders>
              <w:top w:val="nil"/>
              <w:left w:val="nil"/>
              <w:bottom w:val="single" w:color="auto" w:sz="4" w:space="0"/>
              <w:right w:val="single" w:color="auto" w:sz="4" w:space="0"/>
            </w:tcBorders>
            <w:shd w:val="clear" w:color="auto" w:fill="auto"/>
            <w:vAlign w:val="center"/>
          </w:tcPr>
          <w:p w14:paraId="7CCA19D9">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燃油供应-进油端稳压单元</w:t>
            </w:r>
          </w:p>
        </w:tc>
        <w:tc>
          <w:tcPr>
            <w:tcW w:w="4660" w:type="dxa"/>
            <w:tcBorders>
              <w:top w:val="nil"/>
              <w:left w:val="nil"/>
              <w:bottom w:val="single" w:color="auto" w:sz="4" w:space="0"/>
              <w:right w:val="single" w:color="auto" w:sz="4" w:space="0"/>
            </w:tcBorders>
            <w:shd w:val="clear" w:color="auto" w:fill="auto"/>
            <w:vAlign w:val="center"/>
          </w:tcPr>
          <w:p w14:paraId="7BD51A58">
            <w:pPr>
              <w:widowControl/>
              <w:suppressAutoHyphens w:val="0"/>
              <w:overflowPunct/>
              <w:rPr>
                <w:rFonts w:ascii="宋体" w:hAnsi="宋体" w:eastAsia="宋体" w:cs="宋体"/>
                <w:kern w:val="0"/>
                <w:sz w:val="22"/>
              </w:rPr>
            </w:pPr>
            <w:r>
              <w:rPr>
                <w:rFonts w:hint="eastAsia" w:ascii="宋体" w:hAnsi="宋体" w:eastAsia="宋体" w:cs="宋体"/>
                <w:kern w:val="0"/>
                <w:sz w:val="22"/>
              </w:rPr>
              <w:t>调节进油端压力，设燃油箱、调压阀及燃油泵</w:t>
            </w:r>
          </w:p>
        </w:tc>
        <w:tc>
          <w:tcPr>
            <w:tcW w:w="670" w:type="dxa"/>
            <w:tcBorders>
              <w:top w:val="nil"/>
              <w:left w:val="nil"/>
              <w:bottom w:val="single" w:color="auto" w:sz="4" w:space="0"/>
              <w:right w:val="single" w:color="auto" w:sz="4" w:space="0"/>
            </w:tcBorders>
            <w:shd w:val="clear" w:color="auto" w:fill="auto"/>
            <w:noWrap/>
            <w:vAlign w:val="center"/>
          </w:tcPr>
          <w:p w14:paraId="24AC6593">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1032D8E3">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2704E57B">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7CCEE442">
        <w:tblPrEx>
          <w:tblCellMar>
            <w:top w:w="0" w:type="dxa"/>
            <w:left w:w="108" w:type="dxa"/>
            <w:bottom w:w="0" w:type="dxa"/>
            <w:right w:w="108" w:type="dxa"/>
          </w:tblCellMar>
        </w:tblPrEx>
        <w:trPr>
          <w:trHeight w:val="81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647DED20">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53</w:t>
            </w:r>
          </w:p>
        </w:tc>
        <w:tc>
          <w:tcPr>
            <w:tcW w:w="2010" w:type="dxa"/>
            <w:tcBorders>
              <w:top w:val="nil"/>
              <w:left w:val="nil"/>
              <w:bottom w:val="single" w:color="auto" w:sz="4" w:space="0"/>
              <w:right w:val="single" w:color="auto" w:sz="4" w:space="0"/>
            </w:tcBorders>
            <w:shd w:val="clear" w:color="auto" w:fill="auto"/>
            <w:vAlign w:val="center"/>
          </w:tcPr>
          <w:p w14:paraId="1F80DB9C">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气耗仪</w:t>
            </w:r>
          </w:p>
        </w:tc>
        <w:tc>
          <w:tcPr>
            <w:tcW w:w="4660" w:type="dxa"/>
            <w:tcBorders>
              <w:top w:val="nil"/>
              <w:left w:val="nil"/>
              <w:bottom w:val="single" w:color="auto" w:sz="4" w:space="0"/>
              <w:right w:val="single" w:color="auto" w:sz="4" w:space="0"/>
            </w:tcBorders>
            <w:shd w:val="clear" w:color="auto" w:fill="auto"/>
            <w:vAlign w:val="center"/>
          </w:tcPr>
          <w:p w14:paraId="6EFE4F08">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利旧，将已有质量流量计Emerson，共2个电力测功机+1个增程器台架通讯信号接入，其余台架预留通道</w:t>
            </w:r>
          </w:p>
        </w:tc>
        <w:tc>
          <w:tcPr>
            <w:tcW w:w="670" w:type="dxa"/>
            <w:tcBorders>
              <w:top w:val="nil"/>
              <w:left w:val="nil"/>
              <w:bottom w:val="single" w:color="auto" w:sz="4" w:space="0"/>
              <w:right w:val="single" w:color="auto" w:sz="4" w:space="0"/>
            </w:tcBorders>
            <w:shd w:val="clear" w:color="auto" w:fill="auto"/>
            <w:noWrap/>
            <w:vAlign w:val="center"/>
          </w:tcPr>
          <w:p w14:paraId="44147ACA">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项</w:t>
            </w:r>
          </w:p>
        </w:tc>
        <w:tc>
          <w:tcPr>
            <w:tcW w:w="580" w:type="dxa"/>
            <w:tcBorders>
              <w:top w:val="nil"/>
              <w:left w:val="nil"/>
              <w:bottom w:val="single" w:color="auto" w:sz="4" w:space="0"/>
              <w:right w:val="single" w:color="auto" w:sz="4" w:space="0"/>
            </w:tcBorders>
            <w:shd w:val="clear" w:color="auto" w:fill="auto"/>
            <w:noWrap/>
            <w:vAlign w:val="center"/>
          </w:tcPr>
          <w:p w14:paraId="2C05C669">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3BA1BA9D">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7296799D">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2300F61E">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54</w:t>
            </w:r>
          </w:p>
        </w:tc>
        <w:tc>
          <w:tcPr>
            <w:tcW w:w="2010" w:type="dxa"/>
            <w:tcBorders>
              <w:top w:val="nil"/>
              <w:left w:val="nil"/>
              <w:bottom w:val="single" w:color="auto" w:sz="4" w:space="0"/>
              <w:right w:val="single" w:color="auto" w:sz="4" w:space="0"/>
            </w:tcBorders>
            <w:shd w:val="clear" w:color="auto" w:fill="auto"/>
            <w:vAlign w:val="center"/>
          </w:tcPr>
          <w:p w14:paraId="035C5076">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冷却液温控装置</w:t>
            </w:r>
          </w:p>
        </w:tc>
        <w:tc>
          <w:tcPr>
            <w:tcW w:w="4660" w:type="dxa"/>
            <w:tcBorders>
              <w:top w:val="nil"/>
              <w:left w:val="nil"/>
              <w:bottom w:val="single" w:color="auto" w:sz="4" w:space="0"/>
              <w:right w:val="single" w:color="auto" w:sz="4" w:space="0"/>
            </w:tcBorders>
            <w:shd w:val="clear" w:color="auto" w:fill="auto"/>
            <w:vAlign w:val="center"/>
          </w:tcPr>
          <w:p w14:paraId="1BA26876">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温度控制范围70～120℃，精度±2℃，不带加热。配西门子或博力谋三通控制阀</w:t>
            </w:r>
          </w:p>
        </w:tc>
        <w:tc>
          <w:tcPr>
            <w:tcW w:w="670" w:type="dxa"/>
            <w:tcBorders>
              <w:top w:val="nil"/>
              <w:left w:val="nil"/>
              <w:bottom w:val="single" w:color="auto" w:sz="4" w:space="0"/>
              <w:right w:val="single" w:color="auto" w:sz="4" w:space="0"/>
            </w:tcBorders>
            <w:shd w:val="clear" w:color="auto" w:fill="auto"/>
            <w:noWrap/>
            <w:vAlign w:val="center"/>
          </w:tcPr>
          <w:p w14:paraId="1B7E64D4">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台</w:t>
            </w:r>
          </w:p>
        </w:tc>
        <w:tc>
          <w:tcPr>
            <w:tcW w:w="580" w:type="dxa"/>
            <w:tcBorders>
              <w:top w:val="nil"/>
              <w:left w:val="nil"/>
              <w:bottom w:val="single" w:color="auto" w:sz="4" w:space="0"/>
              <w:right w:val="single" w:color="auto" w:sz="4" w:space="0"/>
            </w:tcBorders>
            <w:shd w:val="clear" w:color="auto" w:fill="auto"/>
            <w:noWrap/>
            <w:vAlign w:val="center"/>
          </w:tcPr>
          <w:p w14:paraId="00052D1F">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3091F4E7">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472A4559">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25C4B121">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55</w:t>
            </w:r>
          </w:p>
        </w:tc>
        <w:tc>
          <w:tcPr>
            <w:tcW w:w="2010" w:type="dxa"/>
            <w:tcBorders>
              <w:top w:val="nil"/>
              <w:left w:val="nil"/>
              <w:bottom w:val="single" w:color="auto" w:sz="4" w:space="0"/>
              <w:right w:val="single" w:color="auto" w:sz="4" w:space="0"/>
            </w:tcBorders>
            <w:shd w:val="clear" w:color="auto" w:fill="auto"/>
            <w:vAlign w:val="center"/>
          </w:tcPr>
          <w:p w14:paraId="4FF09CAF">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集液箱及泵单元</w:t>
            </w:r>
          </w:p>
        </w:tc>
        <w:tc>
          <w:tcPr>
            <w:tcW w:w="4660" w:type="dxa"/>
            <w:tcBorders>
              <w:top w:val="nil"/>
              <w:left w:val="nil"/>
              <w:bottom w:val="single" w:color="auto" w:sz="4" w:space="0"/>
              <w:right w:val="single" w:color="auto" w:sz="4" w:space="0"/>
            </w:tcBorders>
            <w:shd w:val="clear" w:color="auto" w:fill="auto"/>
            <w:vAlign w:val="center"/>
          </w:tcPr>
          <w:p w14:paraId="5FAFB6A7">
            <w:pPr>
              <w:widowControl/>
              <w:suppressAutoHyphens w:val="0"/>
              <w:overflowPunct/>
              <w:rPr>
                <w:rFonts w:ascii="Times New Roman" w:hAnsi="Times New Roman" w:eastAsia="宋体" w:cs="Times New Roman"/>
                <w:kern w:val="0"/>
                <w:sz w:val="22"/>
              </w:rPr>
            </w:pPr>
            <w:r>
              <w:rPr>
                <w:rFonts w:hint="eastAsia" w:ascii="宋体" w:hAnsi="宋体" w:eastAsia="宋体" w:cs="Times New Roman"/>
                <w:kern w:val="0"/>
                <w:sz w:val="22"/>
              </w:rPr>
              <w:t>冷却液的补给和回收，配置袋式过滤和磁性过滤模块</w:t>
            </w:r>
          </w:p>
        </w:tc>
        <w:tc>
          <w:tcPr>
            <w:tcW w:w="670" w:type="dxa"/>
            <w:tcBorders>
              <w:top w:val="nil"/>
              <w:left w:val="nil"/>
              <w:bottom w:val="single" w:color="auto" w:sz="4" w:space="0"/>
              <w:right w:val="single" w:color="auto" w:sz="4" w:space="0"/>
            </w:tcBorders>
            <w:shd w:val="clear" w:color="auto" w:fill="auto"/>
            <w:noWrap/>
            <w:vAlign w:val="center"/>
          </w:tcPr>
          <w:p w14:paraId="3868EBCD">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55FAC5DA">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49F79BEB">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4ED90C6E">
        <w:tblPrEx>
          <w:tblCellMar>
            <w:top w:w="0" w:type="dxa"/>
            <w:left w:w="108" w:type="dxa"/>
            <w:bottom w:w="0" w:type="dxa"/>
            <w:right w:w="108" w:type="dxa"/>
          </w:tblCellMar>
        </w:tblPrEx>
        <w:trPr>
          <w:trHeight w:val="87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76A3B886">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56</w:t>
            </w:r>
          </w:p>
        </w:tc>
        <w:tc>
          <w:tcPr>
            <w:tcW w:w="2010" w:type="dxa"/>
            <w:tcBorders>
              <w:top w:val="nil"/>
              <w:left w:val="nil"/>
              <w:bottom w:val="single" w:color="auto" w:sz="4" w:space="0"/>
              <w:right w:val="single" w:color="auto" w:sz="4" w:space="0"/>
            </w:tcBorders>
            <w:shd w:val="clear" w:color="auto" w:fill="auto"/>
            <w:vAlign w:val="center"/>
          </w:tcPr>
          <w:p w14:paraId="430CD1D6">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增压中冷温控装置</w:t>
            </w:r>
          </w:p>
        </w:tc>
        <w:tc>
          <w:tcPr>
            <w:tcW w:w="4660" w:type="dxa"/>
            <w:tcBorders>
              <w:top w:val="nil"/>
              <w:left w:val="nil"/>
              <w:bottom w:val="single" w:color="auto" w:sz="4" w:space="0"/>
              <w:right w:val="single" w:color="auto" w:sz="4" w:space="0"/>
            </w:tcBorders>
            <w:shd w:val="clear" w:color="auto" w:fill="auto"/>
            <w:vAlign w:val="center"/>
          </w:tcPr>
          <w:p w14:paraId="551F5B86">
            <w:pPr>
              <w:widowControl/>
              <w:suppressAutoHyphens w:val="0"/>
              <w:overflowPunct/>
              <w:rPr>
                <w:rFonts w:ascii="Times New Roman" w:hAnsi="Times New Roman" w:eastAsia="宋体" w:cs="Times New Roman"/>
                <w:kern w:val="0"/>
                <w:sz w:val="22"/>
              </w:rPr>
            </w:pPr>
            <w:r>
              <w:rPr>
                <w:rFonts w:hint="eastAsia" w:ascii="宋体" w:hAnsi="宋体" w:eastAsia="宋体" w:cs="Times New Roman"/>
                <w:kern w:val="0"/>
                <w:sz w:val="22"/>
              </w:rPr>
              <w:t>温度控制范围</w:t>
            </w:r>
            <w:r>
              <w:rPr>
                <w:rFonts w:ascii="Times New Roman" w:hAnsi="Times New Roman" w:eastAsia="宋体" w:cs="Times New Roman"/>
                <w:kern w:val="0"/>
                <w:sz w:val="22"/>
              </w:rPr>
              <w:t>40</w:t>
            </w:r>
            <w:r>
              <w:rPr>
                <w:rFonts w:hint="eastAsia" w:ascii="宋体" w:hAnsi="宋体" w:eastAsia="宋体" w:cs="Times New Roman"/>
                <w:kern w:val="0"/>
                <w:sz w:val="22"/>
              </w:rPr>
              <w:t>～</w:t>
            </w:r>
            <w:r>
              <w:rPr>
                <w:rFonts w:ascii="Times New Roman" w:hAnsi="Times New Roman" w:eastAsia="宋体" w:cs="Times New Roman"/>
                <w:kern w:val="0"/>
                <w:sz w:val="22"/>
              </w:rPr>
              <w:t>60</w:t>
            </w:r>
            <w:r>
              <w:rPr>
                <w:rFonts w:hint="eastAsia" w:ascii="宋体" w:hAnsi="宋体" w:eastAsia="宋体" w:cs="Times New Roman"/>
                <w:kern w:val="0"/>
                <w:sz w:val="22"/>
              </w:rPr>
              <w:t>℃，精度</w:t>
            </w:r>
            <w:r>
              <w:rPr>
                <w:rFonts w:ascii="Times New Roman" w:hAnsi="Times New Roman" w:eastAsia="宋体" w:cs="Times New Roman"/>
                <w:kern w:val="0"/>
                <w:sz w:val="22"/>
              </w:rPr>
              <w:t>±1</w:t>
            </w:r>
            <w:r>
              <w:rPr>
                <w:rFonts w:hint="eastAsia" w:ascii="宋体" w:hAnsi="宋体" w:eastAsia="宋体" w:cs="Times New Roman"/>
                <w:kern w:val="0"/>
                <w:sz w:val="22"/>
              </w:rPr>
              <w:t>℃，中冷器采用川琦</w:t>
            </w:r>
            <w:r>
              <w:rPr>
                <w:rFonts w:ascii="Times New Roman" w:hAnsi="Times New Roman" w:eastAsia="宋体" w:cs="Times New Roman"/>
                <w:kern w:val="0"/>
                <w:sz w:val="22"/>
              </w:rPr>
              <w:t>KL19</w:t>
            </w:r>
            <w:r>
              <w:rPr>
                <w:rFonts w:hint="eastAsia" w:ascii="宋体" w:hAnsi="宋体" w:eastAsia="宋体" w:cs="Times New Roman"/>
                <w:kern w:val="0"/>
                <w:sz w:val="22"/>
              </w:rPr>
              <w:t>型，配冷凝水远程操作放水阀。配西门子或博力谋三控制阀</w:t>
            </w:r>
          </w:p>
        </w:tc>
        <w:tc>
          <w:tcPr>
            <w:tcW w:w="670" w:type="dxa"/>
            <w:tcBorders>
              <w:top w:val="nil"/>
              <w:left w:val="nil"/>
              <w:bottom w:val="single" w:color="auto" w:sz="4" w:space="0"/>
              <w:right w:val="single" w:color="auto" w:sz="4" w:space="0"/>
            </w:tcBorders>
            <w:shd w:val="clear" w:color="auto" w:fill="auto"/>
            <w:noWrap/>
            <w:vAlign w:val="center"/>
          </w:tcPr>
          <w:p w14:paraId="6645C7BE">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141516E2">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4437FAEB">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5B6993B5">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27A15B4A">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57</w:t>
            </w:r>
          </w:p>
        </w:tc>
        <w:tc>
          <w:tcPr>
            <w:tcW w:w="2010" w:type="dxa"/>
            <w:tcBorders>
              <w:top w:val="nil"/>
              <w:left w:val="nil"/>
              <w:bottom w:val="single" w:color="auto" w:sz="4" w:space="0"/>
              <w:right w:val="single" w:color="auto" w:sz="4" w:space="0"/>
            </w:tcBorders>
            <w:shd w:val="clear" w:color="auto" w:fill="auto"/>
            <w:vAlign w:val="center"/>
          </w:tcPr>
          <w:p w14:paraId="411E0C9C">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中冷管路及压差调节</w:t>
            </w:r>
          </w:p>
        </w:tc>
        <w:tc>
          <w:tcPr>
            <w:tcW w:w="4660" w:type="dxa"/>
            <w:tcBorders>
              <w:top w:val="nil"/>
              <w:left w:val="nil"/>
              <w:bottom w:val="single" w:color="auto" w:sz="4" w:space="0"/>
              <w:right w:val="single" w:color="auto" w:sz="4" w:space="0"/>
            </w:tcBorders>
            <w:shd w:val="clear" w:color="000000" w:fill="FFFFFF"/>
            <w:vAlign w:val="center"/>
          </w:tcPr>
          <w:p w14:paraId="50EBEA01">
            <w:pPr>
              <w:widowControl/>
              <w:suppressAutoHyphens w:val="0"/>
              <w:overflowPunct/>
              <w:rPr>
                <w:rFonts w:ascii="Times New Roman" w:hAnsi="Times New Roman" w:eastAsia="宋体" w:cs="Times New Roman"/>
                <w:color w:val="000000"/>
                <w:kern w:val="0"/>
                <w:sz w:val="22"/>
              </w:rPr>
            </w:pPr>
            <w:r>
              <w:rPr>
                <w:rFonts w:hint="eastAsia" w:ascii="宋体" w:hAnsi="宋体" w:eastAsia="宋体" w:cs="Times New Roman"/>
                <w:color w:val="000000"/>
                <w:kern w:val="0"/>
                <w:sz w:val="22"/>
              </w:rPr>
              <w:t>采用电动碟阀，调压范围可设定、精度</w:t>
            </w:r>
            <w:r>
              <w:rPr>
                <w:rFonts w:ascii="Times New Roman" w:hAnsi="Times New Roman" w:eastAsia="宋体" w:cs="Times New Roman"/>
                <w:color w:val="000000"/>
                <w:kern w:val="0"/>
                <w:sz w:val="22"/>
              </w:rPr>
              <w:t>±1kPa。</w:t>
            </w:r>
            <w:r>
              <w:rPr>
                <w:rFonts w:hint="eastAsia" w:ascii="宋体" w:hAnsi="宋体" w:eastAsia="宋体" w:cs="宋体"/>
                <w:color w:val="000000"/>
                <w:kern w:val="0"/>
                <w:sz w:val="22"/>
              </w:rPr>
              <w:t>配弹簧平衡器二件</w:t>
            </w:r>
          </w:p>
        </w:tc>
        <w:tc>
          <w:tcPr>
            <w:tcW w:w="670" w:type="dxa"/>
            <w:tcBorders>
              <w:top w:val="nil"/>
              <w:left w:val="nil"/>
              <w:bottom w:val="single" w:color="auto" w:sz="4" w:space="0"/>
              <w:right w:val="single" w:color="auto" w:sz="4" w:space="0"/>
            </w:tcBorders>
            <w:shd w:val="clear" w:color="auto" w:fill="auto"/>
            <w:noWrap/>
            <w:vAlign w:val="center"/>
          </w:tcPr>
          <w:p w14:paraId="6971F5A6">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6E9D34EE">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5DD5411C">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6B2D0C82">
        <w:tblPrEx>
          <w:tblCellMar>
            <w:top w:w="0" w:type="dxa"/>
            <w:left w:w="108" w:type="dxa"/>
            <w:bottom w:w="0" w:type="dxa"/>
            <w:right w:w="108" w:type="dxa"/>
          </w:tblCellMar>
        </w:tblPrEx>
        <w:trPr>
          <w:trHeight w:val="6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665E65DE">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58</w:t>
            </w:r>
          </w:p>
        </w:tc>
        <w:tc>
          <w:tcPr>
            <w:tcW w:w="2010" w:type="dxa"/>
            <w:tcBorders>
              <w:top w:val="nil"/>
              <w:left w:val="nil"/>
              <w:bottom w:val="single" w:color="auto" w:sz="4" w:space="0"/>
              <w:right w:val="single" w:color="auto" w:sz="4" w:space="0"/>
            </w:tcBorders>
            <w:shd w:val="clear" w:color="auto" w:fill="auto"/>
            <w:vAlign w:val="center"/>
          </w:tcPr>
          <w:p w14:paraId="018D80B6">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漏气量仪</w:t>
            </w:r>
          </w:p>
        </w:tc>
        <w:tc>
          <w:tcPr>
            <w:tcW w:w="4660" w:type="dxa"/>
            <w:tcBorders>
              <w:top w:val="nil"/>
              <w:left w:val="nil"/>
              <w:bottom w:val="single" w:color="auto" w:sz="4" w:space="0"/>
              <w:right w:val="single" w:color="auto" w:sz="4" w:space="0"/>
            </w:tcBorders>
            <w:shd w:val="clear" w:color="000000" w:fill="FFFFFF"/>
            <w:vAlign w:val="center"/>
          </w:tcPr>
          <w:p w14:paraId="4EDF74B7">
            <w:pPr>
              <w:widowControl/>
              <w:suppressAutoHyphens w:val="0"/>
              <w:overflowPunct/>
              <w:rPr>
                <w:rFonts w:ascii="Times New Roman" w:hAnsi="Times New Roman" w:eastAsia="宋体" w:cs="Times New Roman"/>
                <w:kern w:val="0"/>
                <w:sz w:val="22"/>
              </w:rPr>
            </w:pPr>
            <w:r>
              <w:rPr>
                <w:rFonts w:hint="eastAsia" w:ascii="宋体" w:hAnsi="宋体" w:eastAsia="宋体" w:cs="Times New Roman"/>
                <w:kern w:val="0"/>
                <w:sz w:val="22"/>
              </w:rPr>
              <w:t>差压式、连续测量，</w:t>
            </w:r>
            <w:r>
              <w:rPr>
                <w:rFonts w:ascii="Times New Roman" w:hAnsi="Times New Roman" w:eastAsia="宋体" w:cs="Times New Roman"/>
                <w:kern w:val="0"/>
                <w:sz w:val="22"/>
              </w:rPr>
              <w:t>6</w:t>
            </w:r>
            <w:r>
              <w:rPr>
                <w:rFonts w:hint="eastAsia" w:ascii="宋体" w:hAnsi="宋体" w:eastAsia="宋体" w:cs="Times New Roman"/>
                <w:kern w:val="0"/>
                <w:sz w:val="22"/>
              </w:rPr>
              <w:t>～</w:t>
            </w:r>
            <w:r>
              <w:rPr>
                <w:rFonts w:ascii="Times New Roman" w:hAnsi="Times New Roman" w:eastAsia="宋体" w:cs="Times New Roman"/>
                <w:kern w:val="0"/>
                <w:sz w:val="22"/>
              </w:rPr>
              <w:t>300L/min</w:t>
            </w:r>
            <w:r>
              <w:rPr>
                <w:rFonts w:hint="eastAsia" w:ascii="宋体" w:hAnsi="宋体" w:eastAsia="宋体" w:cs="Times New Roman"/>
                <w:kern w:val="0"/>
                <w:sz w:val="22"/>
              </w:rPr>
              <w:t>，精度</w:t>
            </w:r>
            <w:r>
              <w:rPr>
                <w:rFonts w:ascii="Times New Roman" w:hAnsi="Times New Roman" w:eastAsia="宋体" w:cs="Times New Roman"/>
                <w:kern w:val="0"/>
                <w:sz w:val="22"/>
              </w:rPr>
              <w:t>±3%FS</w:t>
            </w:r>
          </w:p>
        </w:tc>
        <w:tc>
          <w:tcPr>
            <w:tcW w:w="670" w:type="dxa"/>
            <w:tcBorders>
              <w:top w:val="nil"/>
              <w:left w:val="nil"/>
              <w:bottom w:val="single" w:color="auto" w:sz="4" w:space="0"/>
              <w:right w:val="single" w:color="auto" w:sz="4" w:space="0"/>
            </w:tcBorders>
            <w:shd w:val="clear" w:color="auto" w:fill="auto"/>
            <w:noWrap/>
            <w:vAlign w:val="center"/>
          </w:tcPr>
          <w:p w14:paraId="1A5B9984">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台</w:t>
            </w:r>
          </w:p>
        </w:tc>
        <w:tc>
          <w:tcPr>
            <w:tcW w:w="580" w:type="dxa"/>
            <w:tcBorders>
              <w:top w:val="nil"/>
              <w:left w:val="nil"/>
              <w:bottom w:val="single" w:color="auto" w:sz="4" w:space="0"/>
              <w:right w:val="single" w:color="auto" w:sz="4" w:space="0"/>
            </w:tcBorders>
            <w:shd w:val="clear" w:color="auto" w:fill="auto"/>
            <w:noWrap/>
            <w:vAlign w:val="center"/>
          </w:tcPr>
          <w:p w14:paraId="18E6EC91">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16623BCE">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38602543">
        <w:tblPrEx>
          <w:tblCellMar>
            <w:top w:w="0" w:type="dxa"/>
            <w:left w:w="108" w:type="dxa"/>
            <w:bottom w:w="0" w:type="dxa"/>
            <w:right w:w="108" w:type="dxa"/>
          </w:tblCellMar>
        </w:tblPrEx>
        <w:trPr>
          <w:trHeight w:val="6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599B92F9">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59</w:t>
            </w:r>
          </w:p>
        </w:tc>
        <w:tc>
          <w:tcPr>
            <w:tcW w:w="2010" w:type="dxa"/>
            <w:tcBorders>
              <w:top w:val="nil"/>
              <w:left w:val="nil"/>
              <w:bottom w:val="single" w:color="auto" w:sz="4" w:space="0"/>
              <w:right w:val="single" w:color="auto" w:sz="4" w:space="0"/>
            </w:tcBorders>
            <w:shd w:val="clear" w:color="auto" w:fill="auto"/>
            <w:vAlign w:val="center"/>
          </w:tcPr>
          <w:p w14:paraId="1687C4A1">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烟度仪</w:t>
            </w:r>
          </w:p>
        </w:tc>
        <w:tc>
          <w:tcPr>
            <w:tcW w:w="4660" w:type="dxa"/>
            <w:tcBorders>
              <w:top w:val="nil"/>
              <w:left w:val="nil"/>
              <w:bottom w:val="single" w:color="auto" w:sz="4" w:space="0"/>
              <w:right w:val="single" w:color="auto" w:sz="4" w:space="0"/>
            </w:tcBorders>
            <w:shd w:val="clear" w:color="000000" w:fill="FFFFFF"/>
            <w:vAlign w:val="center"/>
          </w:tcPr>
          <w:p w14:paraId="3412EAB7">
            <w:pPr>
              <w:widowControl/>
              <w:suppressAutoHyphens w:val="0"/>
              <w:overflowPunct/>
              <w:rPr>
                <w:rFonts w:ascii="Times New Roman" w:hAnsi="Times New Roman" w:eastAsia="宋体" w:cs="Times New Roman"/>
                <w:kern w:val="0"/>
                <w:sz w:val="22"/>
              </w:rPr>
            </w:pPr>
            <w:r>
              <w:rPr>
                <w:rFonts w:hint="eastAsia" w:ascii="宋体" w:hAnsi="宋体" w:eastAsia="宋体" w:cs="Times New Roman"/>
                <w:kern w:val="0"/>
                <w:sz w:val="22"/>
              </w:rPr>
              <w:t>利旧，将</w:t>
            </w:r>
            <w:r>
              <w:rPr>
                <w:rFonts w:ascii="Times New Roman" w:hAnsi="Times New Roman" w:eastAsia="宋体" w:cs="Times New Roman"/>
                <w:kern w:val="0"/>
                <w:sz w:val="22"/>
              </w:rPr>
              <w:t>AVL480</w:t>
            </w:r>
            <w:r>
              <w:rPr>
                <w:rFonts w:hint="eastAsia" w:ascii="宋体" w:hAnsi="宋体" w:eastAsia="宋体" w:cs="Times New Roman"/>
                <w:kern w:val="0"/>
                <w:sz w:val="22"/>
              </w:rPr>
              <w:t>的通讯信号接入台架测控，共</w:t>
            </w:r>
            <w:r>
              <w:rPr>
                <w:rFonts w:ascii="Times New Roman" w:hAnsi="Times New Roman" w:eastAsia="宋体" w:cs="Times New Roman"/>
                <w:kern w:val="0"/>
                <w:sz w:val="22"/>
              </w:rPr>
              <w:t>8</w:t>
            </w:r>
            <w:r>
              <w:rPr>
                <w:rFonts w:hint="eastAsia" w:ascii="宋体" w:hAnsi="宋体" w:eastAsia="宋体" w:cs="Times New Roman"/>
                <w:kern w:val="0"/>
                <w:sz w:val="22"/>
              </w:rPr>
              <w:t>个发动机</w:t>
            </w:r>
            <w:r>
              <w:rPr>
                <w:rFonts w:ascii="Times New Roman" w:hAnsi="Times New Roman" w:eastAsia="宋体" w:cs="Times New Roman"/>
                <w:kern w:val="0"/>
                <w:sz w:val="22"/>
              </w:rPr>
              <w:t>+1</w:t>
            </w:r>
            <w:r>
              <w:rPr>
                <w:rFonts w:hint="eastAsia" w:ascii="宋体" w:hAnsi="宋体" w:eastAsia="宋体" w:cs="Times New Roman"/>
                <w:kern w:val="0"/>
                <w:sz w:val="22"/>
              </w:rPr>
              <w:t>个增程器台架</w:t>
            </w:r>
          </w:p>
        </w:tc>
        <w:tc>
          <w:tcPr>
            <w:tcW w:w="670" w:type="dxa"/>
            <w:tcBorders>
              <w:top w:val="nil"/>
              <w:left w:val="nil"/>
              <w:bottom w:val="single" w:color="auto" w:sz="4" w:space="0"/>
              <w:right w:val="single" w:color="auto" w:sz="4" w:space="0"/>
            </w:tcBorders>
            <w:shd w:val="clear" w:color="auto" w:fill="auto"/>
            <w:noWrap/>
            <w:vAlign w:val="center"/>
          </w:tcPr>
          <w:p w14:paraId="44D28060">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项</w:t>
            </w:r>
          </w:p>
        </w:tc>
        <w:tc>
          <w:tcPr>
            <w:tcW w:w="580" w:type="dxa"/>
            <w:tcBorders>
              <w:top w:val="nil"/>
              <w:left w:val="nil"/>
              <w:bottom w:val="single" w:color="auto" w:sz="4" w:space="0"/>
              <w:right w:val="single" w:color="auto" w:sz="4" w:space="0"/>
            </w:tcBorders>
            <w:shd w:val="clear" w:color="auto" w:fill="auto"/>
            <w:noWrap/>
            <w:vAlign w:val="center"/>
          </w:tcPr>
          <w:p w14:paraId="5D5BEAD8">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2344C25F">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60E95DEB">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33489CF8">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60</w:t>
            </w:r>
          </w:p>
        </w:tc>
        <w:tc>
          <w:tcPr>
            <w:tcW w:w="2010" w:type="dxa"/>
            <w:tcBorders>
              <w:top w:val="nil"/>
              <w:left w:val="nil"/>
              <w:bottom w:val="single" w:color="auto" w:sz="4" w:space="0"/>
              <w:right w:val="single" w:color="auto" w:sz="4" w:space="0"/>
            </w:tcBorders>
            <w:shd w:val="clear" w:color="auto" w:fill="auto"/>
            <w:vAlign w:val="center"/>
          </w:tcPr>
          <w:p w14:paraId="091EC594">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压缩空气增压泵</w:t>
            </w:r>
          </w:p>
        </w:tc>
        <w:tc>
          <w:tcPr>
            <w:tcW w:w="4660" w:type="dxa"/>
            <w:tcBorders>
              <w:top w:val="nil"/>
              <w:left w:val="nil"/>
              <w:bottom w:val="single" w:color="auto" w:sz="4" w:space="0"/>
              <w:right w:val="single" w:color="auto" w:sz="4" w:space="0"/>
            </w:tcBorders>
            <w:shd w:val="clear" w:color="auto" w:fill="auto"/>
            <w:vAlign w:val="center"/>
          </w:tcPr>
          <w:p w14:paraId="47A8B7F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FESTO，DPA-100，将工厂0.6MPa的压缩空气提升至0.8~0.9MPa</w:t>
            </w:r>
          </w:p>
        </w:tc>
        <w:tc>
          <w:tcPr>
            <w:tcW w:w="670" w:type="dxa"/>
            <w:tcBorders>
              <w:top w:val="nil"/>
              <w:left w:val="nil"/>
              <w:bottom w:val="single" w:color="auto" w:sz="4" w:space="0"/>
              <w:right w:val="single" w:color="auto" w:sz="4" w:space="0"/>
            </w:tcBorders>
            <w:shd w:val="clear" w:color="auto" w:fill="auto"/>
            <w:noWrap/>
            <w:vAlign w:val="center"/>
          </w:tcPr>
          <w:p w14:paraId="1E46CDAE">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台</w:t>
            </w:r>
          </w:p>
        </w:tc>
        <w:tc>
          <w:tcPr>
            <w:tcW w:w="580" w:type="dxa"/>
            <w:tcBorders>
              <w:top w:val="nil"/>
              <w:left w:val="nil"/>
              <w:bottom w:val="single" w:color="auto" w:sz="4" w:space="0"/>
              <w:right w:val="single" w:color="auto" w:sz="4" w:space="0"/>
            </w:tcBorders>
            <w:shd w:val="clear" w:color="auto" w:fill="auto"/>
            <w:noWrap/>
            <w:vAlign w:val="center"/>
          </w:tcPr>
          <w:p w14:paraId="0F1E1773">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2</w:t>
            </w:r>
          </w:p>
        </w:tc>
        <w:tc>
          <w:tcPr>
            <w:tcW w:w="700" w:type="dxa"/>
            <w:tcBorders>
              <w:top w:val="nil"/>
              <w:left w:val="nil"/>
              <w:bottom w:val="single" w:color="auto" w:sz="4" w:space="0"/>
              <w:right w:val="single" w:color="auto" w:sz="4" w:space="0"/>
            </w:tcBorders>
            <w:shd w:val="clear" w:color="auto" w:fill="auto"/>
            <w:noWrap/>
            <w:vAlign w:val="center"/>
          </w:tcPr>
          <w:p w14:paraId="2FA69616">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6A103667">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296ED892">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61</w:t>
            </w:r>
          </w:p>
        </w:tc>
        <w:tc>
          <w:tcPr>
            <w:tcW w:w="2010" w:type="dxa"/>
            <w:tcBorders>
              <w:top w:val="nil"/>
              <w:left w:val="nil"/>
              <w:bottom w:val="single" w:color="auto" w:sz="4" w:space="0"/>
              <w:right w:val="single" w:color="auto" w:sz="4" w:space="0"/>
            </w:tcBorders>
            <w:shd w:val="clear" w:color="auto" w:fill="auto"/>
            <w:vAlign w:val="center"/>
          </w:tcPr>
          <w:p w14:paraId="16B6CEC5">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台架进气过滤及管路</w:t>
            </w:r>
          </w:p>
        </w:tc>
        <w:tc>
          <w:tcPr>
            <w:tcW w:w="4660" w:type="dxa"/>
            <w:tcBorders>
              <w:top w:val="nil"/>
              <w:left w:val="nil"/>
              <w:bottom w:val="single" w:color="auto" w:sz="4" w:space="0"/>
              <w:right w:val="single" w:color="auto" w:sz="4" w:space="0"/>
            </w:tcBorders>
            <w:shd w:val="clear" w:color="auto" w:fill="auto"/>
            <w:vAlign w:val="center"/>
          </w:tcPr>
          <w:p w14:paraId="12D70A97">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二层配过滤管路，空滤器招标方提供。管路接至台架发动机进气口，配弹簧平衡器一件</w:t>
            </w:r>
          </w:p>
        </w:tc>
        <w:tc>
          <w:tcPr>
            <w:tcW w:w="670" w:type="dxa"/>
            <w:tcBorders>
              <w:top w:val="nil"/>
              <w:left w:val="nil"/>
              <w:bottom w:val="single" w:color="auto" w:sz="4" w:space="0"/>
              <w:right w:val="single" w:color="auto" w:sz="4" w:space="0"/>
            </w:tcBorders>
            <w:shd w:val="clear" w:color="auto" w:fill="auto"/>
            <w:noWrap/>
            <w:vAlign w:val="center"/>
          </w:tcPr>
          <w:p w14:paraId="61DFC227">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000000" w:fill="FFFFFF"/>
            <w:noWrap/>
            <w:vAlign w:val="center"/>
          </w:tcPr>
          <w:p w14:paraId="36827689">
            <w:pPr>
              <w:widowControl/>
              <w:suppressAutoHyphens w:val="0"/>
              <w:overflowPunct/>
              <w:jc w:val="center"/>
              <w:rPr>
                <w:rFonts w:ascii="Times New Roman" w:hAnsi="Times New Roman" w:eastAsia="宋体" w:cs="Times New Roman"/>
                <w:color w:val="000000"/>
                <w:kern w:val="0"/>
                <w:sz w:val="22"/>
              </w:rPr>
            </w:pPr>
            <w:r>
              <w:rPr>
                <w:rFonts w:ascii="Times New Roman" w:hAnsi="Times New Roman" w:eastAsia="宋体" w:cs="Times New Roman"/>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38F0CA84">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3BCB8AC8">
        <w:tblPrEx>
          <w:tblCellMar>
            <w:top w:w="0" w:type="dxa"/>
            <w:left w:w="108" w:type="dxa"/>
            <w:bottom w:w="0" w:type="dxa"/>
            <w:right w:w="108" w:type="dxa"/>
          </w:tblCellMar>
        </w:tblPrEx>
        <w:trPr>
          <w:trHeight w:val="6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7FC6B5BE">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62</w:t>
            </w:r>
          </w:p>
        </w:tc>
        <w:tc>
          <w:tcPr>
            <w:tcW w:w="2010" w:type="dxa"/>
            <w:tcBorders>
              <w:top w:val="nil"/>
              <w:left w:val="nil"/>
              <w:bottom w:val="single" w:color="auto" w:sz="4" w:space="0"/>
              <w:right w:val="single" w:color="auto" w:sz="4" w:space="0"/>
            </w:tcBorders>
            <w:shd w:val="clear" w:color="auto" w:fill="auto"/>
            <w:vAlign w:val="center"/>
          </w:tcPr>
          <w:p w14:paraId="24D2B00E">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排气支管路</w:t>
            </w:r>
          </w:p>
        </w:tc>
        <w:tc>
          <w:tcPr>
            <w:tcW w:w="4660" w:type="dxa"/>
            <w:tcBorders>
              <w:top w:val="nil"/>
              <w:left w:val="nil"/>
              <w:bottom w:val="single" w:color="auto" w:sz="4" w:space="0"/>
              <w:right w:val="single" w:color="auto" w:sz="4" w:space="0"/>
            </w:tcBorders>
            <w:shd w:val="clear" w:color="000000" w:fill="FFFFFF"/>
            <w:vAlign w:val="center"/>
          </w:tcPr>
          <w:p w14:paraId="466BAA47">
            <w:pPr>
              <w:widowControl/>
              <w:suppressAutoHyphens w:val="0"/>
              <w:overflowPunct/>
              <w:rPr>
                <w:rFonts w:ascii="Times New Roman" w:hAnsi="Times New Roman" w:eastAsia="宋体" w:cs="Times New Roman"/>
                <w:color w:val="000000"/>
                <w:kern w:val="0"/>
                <w:sz w:val="22"/>
              </w:rPr>
            </w:pPr>
            <w:r>
              <w:rPr>
                <w:rFonts w:ascii="Times New Roman" w:hAnsi="Times New Roman" w:eastAsia="宋体" w:cs="Times New Roman"/>
                <w:color w:val="000000"/>
                <w:kern w:val="0"/>
                <w:sz w:val="22"/>
              </w:rPr>
              <w:t>5</w:t>
            </w:r>
            <w:r>
              <w:rPr>
                <w:rFonts w:hint="eastAsia" w:ascii="宋体" w:hAnsi="宋体" w:eastAsia="宋体" w:cs="Times New Roman"/>
                <w:color w:val="000000"/>
                <w:kern w:val="0"/>
                <w:sz w:val="22"/>
              </w:rPr>
              <w:t>米长波纹管，固定段外包保温，接至台架原有管路，</w:t>
            </w:r>
            <w:r>
              <w:rPr>
                <w:rFonts w:hint="eastAsia" w:ascii="宋体" w:hAnsi="宋体" w:eastAsia="宋体" w:cs="宋体"/>
                <w:color w:val="000000"/>
                <w:kern w:val="0"/>
                <w:sz w:val="22"/>
              </w:rPr>
              <w:t>配弹簧平衡器两件</w:t>
            </w:r>
          </w:p>
        </w:tc>
        <w:tc>
          <w:tcPr>
            <w:tcW w:w="670" w:type="dxa"/>
            <w:tcBorders>
              <w:top w:val="nil"/>
              <w:left w:val="nil"/>
              <w:bottom w:val="single" w:color="auto" w:sz="4" w:space="0"/>
              <w:right w:val="single" w:color="auto" w:sz="4" w:space="0"/>
            </w:tcBorders>
            <w:shd w:val="clear" w:color="auto" w:fill="auto"/>
            <w:noWrap/>
            <w:vAlign w:val="center"/>
          </w:tcPr>
          <w:p w14:paraId="090D2D4A">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000000" w:fill="FFFFFF"/>
            <w:noWrap/>
            <w:vAlign w:val="center"/>
          </w:tcPr>
          <w:p w14:paraId="6B478AC9">
            <w:pPr>
              <w:widowControl/>
              <w:suppressAutoHyphens w:val="0"/>
              <w:overflowPunct/>
              <w:jc w:val="center"/>
              <w:rPr>
                <w:rFonts w:ascii="Times New Roman" w:hAnsi="Times New Roman" w:eastAsia="宋体" w:cs="Times New Roman"/>
                <w:color w:val="000000"/>
                <w:kern w:val="0"/>
                <w:sz w:val="22"/>
              </w:rPr>
            </w:pPr>
            <w:r>
              <w:rPr>
                <w:rFonts w:ascii="Times New Roman" w:hAnsi="Times New Roman" w:eastAsia="宋体" w:cs="Times New Roman"/>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3FBA7044">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1B64D5D9">
        <w:tblPrEx>
          <w:tblCellMar>
            <w:top w:w="0" w:type="dxa"/>
            <w:left w:w="108" w:type="dxa"/>
            <w:bottom w:w="0" w:type="dxa"/>
            <w:right w:w="108" w:type="dxa"/>
          </w:tblCellMar>
        </w:tblPrEx>
        <w:trPr>
          <w:trHeight w:val="6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3BD2FFEB">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63</w:t>
            </w:r>
          </w:p>
        </w:tc>
        <w:tc>
          <w:tcPr>
            <w:tcW w:w="2010" w:type="dxa"/>
            <w:tcBorders>
              <w:top w:val="nil"/>
              <w:left w:val="nil"/>
              <w:bottom w:val="single" w:color="auto" w:sz="4" w:space="0"/>
              <w:right w:val="single" w:color="auto" w:sz="4" w:space="0"/>
            </w:tcBorders>
            <w:shd w:val="clear" w:color="auto" w:fill="auto"/>
            <w:vAlign w:val="center"/>
          </w:tcPr>
          <w:p w14:paraId="56C25069">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排气背压阀</w:t>
            </w:r>
          </w:p>
        </w:tc>
        <w:tc>
          <w:tcPr>
            <w:tcW w:w="4660" w:type="dxa"/>
            <w:tcBorders>
              <w:top w:val="nil"/>
              <w:left w:val="nil"/>
              <w:bottom w:val="single" w:color="auto" w:sz="4" w:space="0"/>
              <w:right w:val="single" w:color="auto" w:sz="4" w:space="0"/>
            </w:tcBorders>
            <w:shd w:val="clear" w:color="000000" w:fill="FFFFFF"/>
            <w:vAlign w:val="center"/>
          </w:tcPr>
          <w:p w14:paraId="169A246A">
            <w:pPr>
              <w:widowControl/>
              <w:suppressAutoHyphens w:val="0"/>
              <w:overflowPunct/>
              <w:rPr>
                <w:rFonts w:ascii="Times New Roman" w:hAnsi="Times New Roman" w:eastAsia="宋体" w:cs="Times New Roman"/>
                <w:kern w:val="0"/>
                <w:sz w:val="22"/>
              </w:rPr>
            </w:pPr>
            <w:r>
              <w:rPr>
                <w:rFonts w:hint="eastAsia" w:ascii="宋体" w:hAnsi="宋体" w:eastAsia="宋体" w:cs="Times New Roman"/>
                <w:kern w:val="0"/>
                <w:sz w:val="22"/>
              </w:rPr>
              <w:t>威尔孚</w:t>
            </w:r>
            <w:r>
              <w:rPr>
                <w:rFonts w:ascii="Times New Roman" w:hAnsi="Times New Roman" w:eastAsia="宋体" w:cs="Times New Roman"/>
                <w:kern w:val="0"/>
                <w:sz w:val="22"/>
              </w:rPr>
              <w:t>DN150</w:t>
            </w:r>
            <w:r>
              <w:rPr>
                <w:rFonts w:hint="eastAsia" w:ascii="宋体" w:hAnsi="宋体" w:eastAsia="宋体" w:cs="Times New Roman"/>
                <w:kern w:val="0"/>
                <w:sz w:val="22"/>
              </w:rPr>
              <w:t>，电动调节、背压控制，兼防火阀，耐温≥</w:t>
            </w:r>
            <w:r>
              <w:rPr>
                <w:rFonts w:ascii="Times New Roman" w:hAnsi="Times New Roman" w:eastAsia="宋体" w:cs="Times New Roman"/>
                <w:kern w:val="0"/>
                <w:sz w:val="22"/>
              </w:rPr>
              <w:t>600</w:t>
            </w:r>
            <w:r>
              <w:rPr>
                <w:rFonts w:hint="eastAsia" w:ascii="宋体" w:hAnsi="宋体" w:eastAsia="宋体" w:cs="Times New Roman"/>
                <w:kern w:val="0"/>
                <w:sz w:val="22"/>
              </w:rPr>
              <w:t>℃</w:t>
            </w:r>
          </w:p>
        </w:tc>
        <w:tc>
          <w:tcPr>
            <w:tcW w:w="670" w:type="dxa"/>
            <w:tcBorders>
              <w:top w:val="nil"/>
              <w:left w:val="nil"/>
              <w:bottom w:val="single" w:color="auto" w:sz="4" w:space="0"/>
              <w:right w:val="single" w:color="auto" w:sz="4" w:space="0"/>
            </w:tcBorders>
            <w:shd w:val="clear" w:color="auto" w:fill="auto"/>
            <w:noWrap/>
            <w:vAlign w:val="center"/>
          </w:tcPr>
          <w:p w14:paraId="75170322">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000000" w:fill="FFFFFF"/>
            <w:noWrap/>
            <w:vAlign w:val="center"/>
          </w:tcPr>
          <w:p w14:paraId="3402231B">
            <w:pPr>
              <w:widowControl/>
              <w:suppressAutoHyphens w:val="0"/>
              <w:overflowPunct/>
              <w:jc w:val="center"/>
              <w:rPr>
                <w:rFonts w:ascii="Times New Roman" w:hAnsi="Times New Roman" w:eastAsia="宋体" w:cs="Times New Roman"/>
                <w:color w:val="000000"/>
                <w:kern w:val="0"/>
                <w:sz w:val="22"/>
              </w:rPr>
            </w:pPr>
            <w:r>
              <w:rPr>
                <w:rFonts w:ascii="Times New Roman" w:hAnsi="Times New Roman" w:eastAsia="宋体" w:cs="Times New Roman"/>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5A83B321">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7E70E62B">
        <w:tblPrEx>
          <w:tblCellMar>
            <w:top w:w="0" w:type="dxa"/>
            <w:left w:w="108" w:type="dxa"/>
            <w:bottom w:w="0" w:type="dxa"/>
            <w:right w:w="108" w:type="dxa"/>
          </w:tblCellMar>
        </w:tblPrEx>
        <w:trPr>
          <w:trHeight w:val="3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61B8A676">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64</w:t>
            </w:r>
          </w:p>
        </w:tc>
        <w:tc>
          <w:tcPr>
            <w:tcW w:w="2010" w:type="dxa"/>
            <w:tcBorders>
              <w:top w:val="nil"/>
              <w:left w:val="nil"/>
              <w:bottom w:val="single" w:color="auto" w:sz="4" w:space="0"/>
              <w:right w:val="single" w:color="auto" w:sz="4" w:space="0"/>
            </w:tcBorders>
            <w:shd w:val="clear" w:color="auto" w:fill="auto"/>
            <w:vAlign w:val="center"/>
          </w:tcPr>
          <w:p w14:paraId="4C5DEA32">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后处理SCR大包</w:t>
            </w:r>
          </w:p>
        </w:tc>
        <w:tc>
          <w:tcPr>
            <w:tcW w:w="4660" w:type="dxa"/>
            <w:tcBorders>
              <w:top w:val="nil"/>
              <w:left w:val="nil"/>
              <w:bottom w:val="single" w:color="auto" w:sz="4" w:space="0"/>
              <w:right w:val="single" w:color="auto" w:sz="4" w:space="0"/>
            </w:tcBorders>
            <w:shd w:val="clear" w:color="000000" w:fill="FFFFFF"/>
            <w:vAlign w:val="center"/>
          </w:tcPr>
          <w:p w14:paraId="2E07121E">
            <w:pPr>
              <w:widowControl/>
              <w:suppressAutoHyphens w:val="0"/>
              <w:overflowPunct/>
              <w:rPr>
                <w:rFonts w:ascii="宋体" w:hAnsi="宋体" w:eastAsia="宋体" w:cs="宋体"/>
                <w:kern w:val="0"/>
                <w:sz w:val="22"/>
              </w:rPr>
            </w:pPr>
            <w:r>
              <w:rPr>
                <w:rFonts w:hint="eastAsia" w:ascii="宋体" w:hAnsi="宋体" w:eastAsia="宋体" w:cs="宋体"/>
                <w:kern w:val="0"/>
                <w:sz w:val="22"/>
              </w:rPr>
              <w:t>利旧，重做保温层，共9个台架</w:t>
            </w:r>
          </w:p>
        </w:tc>
        <w:tc>
          <w:tcPr>
            <w:tcW w:w="670" w:type="dxa"/>
            <w:tcBorders>
              <w:top w:val="nil"/>
              <w:left w:val="nil"/>
              <w:bottom w:val="single" w:color="auto" w:sz="4" w:space="0"/>
              <w:right w:val="single" w:color="auto" w:sz="4" w:space="0"/>
            </w:tcBorders>
            <w:shd w:val="clear" w:color="auto" w:fill="auto"/>
            <w:noWrap/>
            <w:vAlign w:val="center"/>
          </w:tcPr>
          <w:p w14:paraId="215BD465">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项</w:t>
            </w:r>
          </w:p>
        </w:tc>
        <w:tc>
          <w:tcPr>
            <w:tcW w:w="580" w:type="dxa"/>
            <w:tcBorders>
              <w:top w:val="nil"/>
              <w:left w:val="nil"/>
              <w:bottom w:val="single" w:color="auto" w:sz="4" w:space="0"/>
              <w:right w:val="single" w:color="auto" w:sz="4" w:space="0"/>
            </w:tcBorders>
            <w:shd w:val="clear" w:color="000000" w:fill="FFFFFF"/>
            <w:noWrap/>
            <w:vAlign w:val="center"/>
          </w:tcPr>
          <w:p w14:paraId="0A488E2F">
            <w:pPr>
              <w:widowControl/>
              <w:suppressAutoHyphens w:val="0"/>
              <w:overflowPunct/>
              <w:jc w:val="center"/>
              <w:rPr>
                <w:rFonts w:ascii="Times New Roman" w:hAnsi="Times New Roman" w:eastAsia="宋体" w:cs="Times New Roman"/>
                <w:color w:val="000000"/>
                <w:kern w:val="0"/>
                <w:sz w:val="22"/>
              </w:rPr>
            </w:pPr>
            <w:r>
              <w:rPr>
                <w:rFonts w:ascii="Times New Roman" w:hAnsi="Times New Roman" w:eastAsia="宋体" w:cs="Times New Roman"/>
                <w:color w:val="000000"/>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64DC45CD">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76059335">
        <w:tblPrEx>
          <w:tblCellMar>
            <w:top w:w="0" w:type="dxa"/>
            <w:left w:w="108" w:type="dxa"/>
            <w:bottom w:w="0" w:type="dxa"/>
            <w:right w:w="108" w:type="dxa"/>
          </w:tblCellMar>
        </w:tblPrEx>
        <w:trPr>
          <w:trHeight w:val="3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26CA8B8B">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65</w:t>
            </w:r>
          </w:p>
        </w:tc>
        <w:tc>
          <w:tcPr>
            <w:tcW w:w="2010" w:type="dxa"/>
            <w:tcBorders>
              <w:top w:val="nil"/>
              <w:left w:val="nil"/>
              <w:bottom w:val="single" w:color="auto" w:sz="4" w:space="0"/>
              <w:right w:val="single" w:color="auto" w:sz="4" w:space="0"/>
            </w:tcBorders>
            <w:shd w:val="clear" w:color="auto" w:fill="auto"/>
            <w:vAlign w:val="center"/>
          </w:tcPr>
          <w:p w14:paraId="6B85D6E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泄压阀</w:t>
            </w:r>
          </w:p>
        </w:tc>
        <w:tc>
          <w:tcPr>
            <w:tcW w:w="4660" w:type="dxa"/>
            <w:tcBorders>
              <w:top w:val="nil"/>
              <w:left w:val="nil"/>
              <w:bottom w:val="single" w:color="auto" w:sz="4" w:space="0"/>
              <w:right w:val="single" w:color="auto" w:sz="4" w:space="0"/>
            </w:tcBorders>
            <w:shd w:val="clear" w:color="000000" w:fill="FFFFFF"/>
            <w:vAlign w:val="center"/>
          </w:tcPr>
          <w:p w14:paraId="72E13044">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天然气台架排气管路需配置</w:t>
            </w:r>
          </w:p>
        </w:tc>
        <w:tc>
          <w:tcPr>
            <w:tcW w:w="670" w:type="dxa"/>
            <w:tcBorders>
              <w:top w:val="nil"/>
              <w:left w:val="nil"/>
              <w:bottom w:val="single" w:color="auto" w:sz="4" w:space="0"/>
              <w:right w:val="single" w:color="auto" w:sz="4" w:space="0"/>
            </w:tcBorders>
            <w:shd w:val="clear" w:color="auto" w:fill="auto"/>
            <w:noWrap/>
            <w:vAlign w:val="center"/>
          </w:tcPr>
          <w:p w14:paraId="46AF9C07">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件</w:t>
            </w:r>
          </w:p>
        </w:tc>
        <w:tc>
          <w:tcPr>
            <w:tcW w:w="580" w:type="dxa"/>
            <w:tcBorders>
              <w:top w:val="nil"/>
              <w:left w:val="nil"/>
              <w:bottom w:val="single" w:color="auto" w:sz="4" w:space="0"/>
              <w:right w:val="single" w:color="auto" w:sz="4" w:space="0"/>
            </w:tcBorders>
            <w:shd w:val="clear" w:color="000000" w:fill="FFFFFF"/>
            <w:noWrap/>
            <w:vAlign w:val="center"/>
          </w:tcPr>
          <w:p w14:paraId="1DC4E437">
            <w:pPr>
              <w:widowControl/>
              <w:suppressAutoHyphens w:val="0"/>
              <w:overflowPunct/>
              <w:jc w:val="center"/>
              <w:rPr>
                <w:rFonts w:ascii="Times New Roman" w:hAnsi="Times New Roman" w:eastAsia="宋体" w:cs="Times New Roman"/>
                <w:color w:val="000000"/>
                <w:kern w:val="0"/>
                <w:sz w:val="22"/>
              </w:rPr>
            </w:pPr>
            <w:r>
              <w:rPr>
                <w:rFonts w:ascii="Times New Roman" w:hAnsi="Times New Roman" w:eastAsia="宋体" w:cs="Times New Roman"/>
                <w:color w:val="000000"/>
                <w:kern w:val="0"/>
                <w:sz w:val="22"/>
              </w:rPr>
              <w:t>3</w:t>
            </w:r>
          </w:p>
        </w:tc>
        <w:tc>
          <w:tcPr>
            <w:tcW w:w="700" w:type="dxa"/>
            <w:tcBorders>
              <w:top w:val="nil"/>
              <w:left w:val="nil"/>
              <w:bottom w:val="single" w:color="auto" w:sz="4" w:space="0"/>
              <w:right w:val="single" w:color="auto" w:sz="4" w:space="0"/>
            </w:tcBorders>
            <w:shd w:val="clear" w:color="auto" w:fill="auto"/>
            <w:noWrap/>
            <w:vAlign w:val="center"/>
          </w:tcPr>
          <w:p w14:paraId="76494236">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36478B29">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0B390ACA">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66</w:t>
            </w:r>
          </w:p>
        </w:tc>
        <w:tc>
          <w:tcPr>
            <w:tcW w:w="2010" w:type="dxa"/>
            <w:tcBorders>
              <w:top w:val="nil"/>
              <w:left w:val="nil"/>
              <w:bottom w:val="single" w:color="auto" w:sz="4" w:space="0"/>
              <w:right w:val="single" w:color="auto" w:sz="4" w:space="0"/>
            </w:tcBorders>
            <w:shd w:val="clear" w:color="auto" w:fill="auto"/>
            <w:vAlign w:val="center"/>
          </w:tcPr>
          <w:p w14:paraId="2B4EBA02">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其他改造</w:t>
            </w:r>
          </w:p>
        </w:tc>
        <w:tc>
          <w:tcPr>
            <w:tcW w:w="4660" w:type="dxa"/>
            <w:tcBorders>
              <w:top w:val="nil"/>
              <w:left w:val="nil"/>
              <w:bottom w:val="single" w:color="auto" w:sz="4" w:space="0"/>
              <w:right w:val="single" w:color="auto" w:sz="4" w:space="0"/>
            </w:tcBorders>
            <w:shd w:val="clear" w:color="000000" w:fill="FFFFFF"/>
            <w:vAlign w:val="center"/>
          </w:tcPr>
          <w:p w14:paraId="452FB40D">
            <w:pPr>
              <w:widowControl/>
              <w:suppressAutoHyphens w:val="0"/>
              <w:overflowPunct/>
              <w:rPr>
                <w:rFonts w:ascii="Times New Roman" w:hAnsi="Times New Roman" w:eastAsia="宋体" w:cs="Times New Roman"/>
                <w:color w:val="000000"/>
                <w:kern w:val="0"/>
                <w:sz w:val="22"/>
              </w:rPr>
            </w:pPr>
            <w:r>
              <w:rPr>
                <w:rFonts w:hint="eastAsia" w:ascii="宋体" w:hAnsi="宋体" w:eastAsia="宋体" w:cs="Times New Roman"/>
                <w:color w:val="000000"/>
                <w:kern w:val="0"/>
                <w:sz w:val="22"/>
              </w:rPr>
              <w:t>台架二层的消声器、排烟主管、排烟风机及室外烟囱等，均利旧，局部外观修整</w:t>
            </w:r>
          </w:p>
        </w:tc>
        <w:tc>
          <w:tcPr>
            <w:tcW w:w="670" w:type="dxa"/>
            <w:tcBorders>
              <w:top w:val="nil"/>
              <w:left w:val="nil"/>
              <w:bottom w:val="single" w:color="auto" w:sz="4" w:space="0"/>
              <w:right w:val="single" w:color="auto" w:sz="4" w:space="0"/>
            </w:tcBorders>
            <w:shd w:val="clear" w:color="auto" w:fill="auto"/>
            <w:noWrap/>
            <w:vAlign w:val="center"/>
          </w:tcPr>
          <w:p w14:paraId="5D4CFD9F">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项</w:t>
            </w:r>
          </w:p>
        </w:tc>
        <w:tc>
          <w:tcPr>
            <w:tcW w:w="580" w:type="dxa"/>
            <w:tcBorders>
              <w:top w:val="nil"/>
              <w:left w:val="nil"/>
              <w:bottom w:val="single" w:color="auto" w:sz="4" w:space="0"/>
              <w:right w:val="single" w:color="auto" w:sz="4" w:space="0"/>
            </w:tcBorders>
            <w:shd w:val="clear" w:color="auto" w:fill="auto"/>
            <w:vAlign w:val="center"/>
          </w:tcPr>
          <w:p w14:paraId="7523DF2E">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0EFFB538">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4DAD1C43">
        <w:tblPrEx>
          <w:tblCellMar>
            <w:top w:w="0" w:type="dxa"/>
            <w:left w:w="108" w:type="dxa"/>
            <w:bottom w:w="0" w:type="dxa"/>
            <w:right w:w="108" w:type="dxa"/>
          </w:tblCellMar>
        </w:tblPrEx>
        <w:trPr>
          <w:trHeight w:val="3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33D8D3A5">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67</w:t>
            </w:r>
          </w:p>
        </w:tc>
        <w:tc>
          <w:tcPr>
            <w:tcW w:w="2010" w:type="dxa"/>
            <w:tcBorders>
              <w:top w:val="nil"/>
              <w:left w:val="nil"/>
              <w:bottom w:val="single" w:color="auto" w:sz="4" w:space="0"/>
              <w:right w:val="single" w:color="auto" w:sz="4" w:space="0"/>
            </w:tcBorders>
            <w:shd w:val="clear" w:color="auto" w:fill="auto"/>
            <w:vAlign w:val="center"/>
          </w:tcPr>
          <w:p w14:paraId="4D9640B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控制间</w:t>
            </w:r>
          </w:p>
        </w:tc>
        <w:tc>
          <w:tcPr>
            <w:tcW w:w="4660" w:type="dxa"/>
            <w:tcBorders>
              <w:top w:val="nil"/>
              <w:left w:val="nil"/>
              <w:bottom w:val="single" w:color="auto" w:sz="4" w:space="0"/>
              <w:right w:val="single" w:color="auto" w:sz="4" w:space="0"/>
            </w:tcBorders>
            <w:shd w:val="clear" w:color="auto" w:fill="auto"/>
            <w:vAlign w:val="center"/>
          </w:tcPr>
          <w:p w14:paraId="0880DD69">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与试验台架配套，配简单装修、插座</w:t>
            </w:r>
          </w:p>
        </w:tc>
        <w:tc>
          <w:tcPr>
            <w:tcW w:w="670" w:type="dxa"/>
            <w:tcBorders>
              <w:top w:val="nil"/>
              <w:left w:val="nil"/>
              <w:bottom w:val="single" w:color="auto" w:sz="4" w:space="0"/>
              <w:right w:val="single" w:color="auto" w:sz="4" w:space="0"/>
            </w:tcBorders>
            <w:shd w:val="clear" w:color="000000" w:fill="FFFFFF"/>
            <w:noWrap/>
            <w:vAlign w:val="center"/>
          </w:tcPr>
          <w:p w14:paraId="622F6016">
            <w:pPr>
              <w:widowControl/>
              <w:suppressAutoHyphens w:val="0"/>
              <w:overflowPunct/>
              <w:jc w:val="center"/>
              <w:rPr>
                <w:rFonts w:ascii="Times New Roman" w:hAnsi="Times New Roman" w:eastAsia="宋体" w:cs="Times New Roman"/>
                <w:color w:val="000000"/>
                <w:kern w:val="0"/>
                <w:sz w:val="22"/>
              </w:rPr>
            </w:pPr>
            <w:r>
              <w:rPr>
                <w:rFonts w:hint="eastAsia" w:ascii="宋体" w:hAnsi="宋体" w:eastAsia="宋体" w:cs="Times New Roman"/>
                <w:color w:val="000000"/>
                <w:kern w:val="0"/>
                <w:sz w:val="22"/>
              </w:rPr>
              <w:t>套</w:t>
            </w:r>
          </w:p>
        </w:tc>
        <w:tc>
          <w:tcPr>
            <w:tcW w:w="580" w:type="dxa"/>
            <w:tcBorders>
              <w:top w:val="nil"/>
              <w:left w:val="nil"/>
              <w:bottom w:val="single" w:color="auto" w:sz="4" w:space="0"/>
              <w:right w:val="single" w:color="auto" w:sz="4" w:space="0"/>
            </w:tcBorders>
            <w:shd w:val="clear" w:color="000000" w:fill="FFFFFF"/>
            <w:noWrap/>
            <w:vAlign w:val="center"/>
          </w:tcPr>
          <w:p w14:paraId="2080C4E2">
            <w:pPr>
              <w:widowControl/>
              <w:suppressAutoHyphens w:val="0"/>
              <w:overflowPunct/>
              <w:jc w:val="center"/>
              <w:rPr>
                <w:rFonts w:ascii="Times New Roman" w:hAnsi="Times New Roman" w:eastAsia="宋体" w:cs="Times New Roman"/>
                <w:color w:val="000000"/>
                <w:kern w:val="0"/>
                <w:sz w:val="22"/>
              </w:rPr>
            </w:pPr>
            <w:r>
              <w:rPr>
                <w:rFonts w:ascii="Times New Roman" w:hAnsi="Times New Roman" w:eastAsia="宋体" w:cs="Times New Roman"/>
                <w:color w:val="000000"/>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6B946B8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3B651A06">
        <w:tblPrEx>
          <w:tblCellMar>
            <w:top w:w="0" w:type="dxa"/>
            <w:left w:w="108" w:type="dxa"/>
            <w:bottom w:w="0" w:type="dxa"/>
            <w:right w:w="108" w:type="dxa"/>
          </w:tblCellMar>
        </w:tblPrEx>
        <w:trPr>
          <w:trHeight w:val="57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5D00E1BF">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68</w:t>
            </w:r>
          </w:p>
        </w:tc>
        <w:tc>
          <w:tcPr>
            <w:tcW w:w="2010" w:type="dxa"/>
            <w:tcBorders>
              <w:top w:val="nil"/>
              <w:left w:val="nil"/>
              <w:bottom w:val="single" w:color="auto" w:sz="4" w:space="0"/>
              <w:right w:val="single" w:color="auto" w:sz="4" w:space="0"/>
            </w:tcBorders>
            <w:shd w:val="clear" w:color="auto" w:fill="auto"/>
            <w:vAlign w:val="center"/>
          </w:tcPr>
          <w:p w14:paraId="628E91B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设备间</w:t>
            </w:r>
          </w:p>
        </w:tc>
        <w:tc>
          <w:tcPr>
            <w:tcW w:w="4660" w:type="dxa"/>
            <w:tcBorders>
              <w:top w:val="nil"/>
              <w:left w:val="nil"/>
              <w:bottom w:val="single" w:color="auto" w:sz="4" w:space="0"/>
              <w:right w:val="single" w:color="auto" w:sz="4" w:space="0"/>
            </w:tcBorders>
            <w:shd w:val="clear" w:color="auto" w:fill="auto"/>
            <w:vAlign w:val="center"/>
          </w:tcPr>
          <w:p w14:paraId="167F40FA">
            <w:pPr>
              <w:widowControl/>
              <w:suppressAutoHyphens w:val="0"/>
              <w:overflowPunct/>
              <w:rPr>
                <w:rFonts w:ascii="Times New Roman" w:hAnsi="Times New Roman" w:eastAsia="宋体" w:cs="Times New Roman"/>
                <w:color w:val="000000"/>
                <w:kern w:val="0"/>
                <w:sz w:val="22"/>
              </w:rPr>
            </w:pPr>
            <w:r>
              <w:rPr>
                <w:rFonts w:hint="eastAsia" w:ascii="宋体" w:hAnsi="宋体" w:eastAsia="宋体" w:cs="Times New Roman"/>
                <w:color w:val="000000"/>
                <w:kern w:val="0"/>
                <w:sz w:val="22"/>
              </w:rPr>
              <w:t>室内简单装修、照明、插座，重做钢结构支撑</w:t>
            </w:r>
            <w:r>
              <w:rPr>
                <w:rFonts w:ascii="Times New Roman" w:hAnsi="Times New Roman" w:eastAsia="宋体" w:cs="Times New Roman"/>
                <w:color w:val="000000"/>
                <w:kern w:val="0"/>
                <w:sz w:val="22"/>
              </w:rPr>
              <w:t>(</w:t>
            </w:r>
            <w:r>
              <w:rPr>
                <w:rFonts w:hint="eastAsia" w:ascii="宋体" w:hAnsi="宋体" w:eastAsia="宋体" w:cs="Times New Roman"/>
                <w:color w:val="000000"/>
                <w:kern w:val="0"/>
                <w:sz w:val="22"/>
              </w:rPr>
              <w:t>地下室</w:t>
            </w:r>
            <w:r>
              <w:rPr>
                <w:rFonts w:ascii="Times New Roman" w:hAnsi="Times New Roman" w:eastAsia="宋体" w:cs="Times New Roman"/>
                <w:color w:val="000000"/>
                <w:kern w:val="0"/>
                <w:sz w:val="22"/>
              </w:rPr>
              <w:t>)</w:t>
            </w:r>
            <w:r>
              <w:rPr>
                <w:rFonts w:hint="eastAsia" w:ascii="宋体" w:hAnsi="宋体" w:eastAsia="宋体" w:cs="Times New Roman"/>
                <w:color w:val="000000"/>
                <w:kern w:val="0"/>
                <w:sz w:val="22"/>
              </w:rPr>
              <w:t>，铺铝合金花纹地板</w:t>
            </w:r>
          </w:p>
        </w:tc>
        <w:tc>
          <w:tcPr>
            <w:tcW w:w="670" w:type="dxa"/>
            <w:tcBorders>
              <w:top w:val="nil"/>
              <w:left w:val="nil"/>
              <w:bottom w:val="single" w:color="auto" w:sz="4" w:space="0"/>
              <w:right w:val="single" w:color="auto" w:sz="4" w:space="0"/>
            </w:tcBorders>
            <w:shd w:val="clear" w:color="auto" w:fill="auto"/>
            <w:vAlign w:val="center"/>
          </w:tcPr>
          <w:p w14:paraId="67763223">
            <w:pPr>
              <w:widowControl/>
              <w:suppressAutoHyphens w:val="0"/>
              <w:overflowPunct/>
              <w:jc w:val="center"/>
              <w:rPr>
                <w:rFonts w:ascii="Times New Roman" w:hAnsi="Times New Roman" w:eastAsia="宋体" w:cs="Times New Roman"/>
                <w:color w:val="000000"/>
                <w:kern w:val="0"/>
                <w:sz w:val="22"/>
              </w:rPr>
            </w:pPr>
            <w:r>
              <w:rPr>
                <w:rFonts w:hint="eastAsia" w:ascii="宋体" w:hAnsi="宋体" w:eastAsia="宋体" w:cs="Times New Roman"/>
                <w:color w:val="000000"/>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5FDEC528">
            <w:pPr>
              <w:widowControl/>
              <w:suppressAutoHyphens w:val="0"/>
              <w:overflowPunct/>
              <w:jc w:val="center"/>
              <w:rPr>
                <w:rFonts w:ascii="Times New Roman" w:hAnsi="Times New Roman" w:eastAsia="宋体" w:cs="Times New Roman"/>
                <w:color w:val="000000"/>
                <w:kern w:val="0"/>
                <w:sz w:val="22"/>
              </w:rPr>
            </w:pPr>
            <w:r>
              <w:rPr>
                <w:rFonts w:ascii="Times New Roman" w:hAnsi="Times New Roman" w:eastAsia="宋体" w:cs="Times New Roman"/>
                <w:color w:val="000000"/>
                <w:kern w:val="0"/>
                <w:sz w:val="22"/>
              </w:rPr>
              <w:t>5</w:t>
            </w:r>
          </w:p>
        </w:tc>
        <w:tc>
          <w:tcPr>
            <w:tcW w:w="700" w:type="dxa"/>
            <w:tcBorders>
              <w:top w:val="nil"/>
              <w:left w:val="nil"/>
              <w:bottom w:val="single" w:color="auto" w:sz="4" w:space="0"/>
              <w:right w:val="single" w:color="auto" w:sz="4" w:space="0"/>
            </w:tcBorders>
            <w:shd w:val="clear" w:color="auto" w:fill="auto"/>
            <w:noWrap/>
            <w:vAlign w:val="center"/>
          </w:tcPr>
          <w:p w14:paraId="29F3FDF5">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51AAB7AE">
        <w:tblPrEx>
          <w:tblCellMar>
            <w:top w:w="0" w:type="dxa"/>
            <w:left w:w="108" w:type="dxa"/>
            <w:bottom w:w="0" w:type="dxa"/>
            <w:right w:w="108" w:type="dxa"/>
          </w:tblCellMar>
        </w:tblPrEx>
        <w:trPr>
          <w:trHeight w:val="9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7E3F2D0C">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69</w:t>
            </w:r>
          </w:p>
        </w:tc>
        <w:tc>
          <w:tcPr>
            <w:tcW w:w="2010" w:type="dxa"/>
            <w:tcBorders>
              <w:top w:val="nil"/>
              <w:left w:val="nil"/>
              <w:bottom w:val="single" w:color="auto" w:sz="4" w:space="0"/>
              <w:right w:val="single" w:color="auto" w:sz="4" w:space="0"/>
            </w:tcBorders>
            <w:shd w:val="clear" w:color="auto" w:fill="auto"/>
            <w:vAlign w:val="center"/>
          </w:tcPr>
          <w:p w14:paraId="5319C667">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台架间通风单元</w:t>
            </w:r>
          </w:p>
        </w:tc>
        <w:tc>
          <w:tcPr>
            <w:tcW w:w="4660" w:type="dxa"/>
            <w:tcBorders>
              <w:top w:val="nil"/>
              <w:left w:val="nil"/>
              <w:bottom w:val="single" w:color="auto" w:sz="4" w:space="0"/>
              <w:right w:val="single" w:color="auto" w:sz="4" w:space="0"/>
            </w:tcBorders>
            <w:shd w:val="clear" w:color="auto" w:fill="auto"/>
            <w:vAlign w:val="center"/>
          </w:tcPr>
          <w:p w14:paraId="7A87B5B4">
            <w:pPr>
              <w:widowControl/>
              <w:suppressAutoHyphens w:val="0"/>
              <w:overflowPunct/>
              <w:rPr>
                <w:rFonts w:ascii="Times New Roman" w:hAnsi="Times New Roman" w:eastAsia="宋体" w:cs="Times New Roman"/>
                <w:kern w:val="0"/>
                <w:sz w:val="22"/>
              </w:rPr>
            </w:pPr>
            <w:r>
              <w:rPr>
                <w:rFonts w:hint="eastAsia" w:ascii="宋体" w:hAnsi="宋体" w:eastAsia="宋体" w:cs="Times New Roman"/>
                <w:kern w:val="0"/>
                <w:sz w:val="22"/>
              </w:rPr>
              <w:t>送排风联动控制、风机变频，风量约</w:t>
            </w:r>
            <w:r>
              <w:rPr>
                <w:rFonts w:ascii="Times New Roman" w:hAnsi="Times New Roman" w:eastAsia="宋体" w:cs="Times New Roman"/>
                <w:kern w:val="0"/>
                <w:sz w:val="22"/>
              </w:rPr>
              <w:t>35000m</w:t>
            </w:r>
            <w:r>
              <w:rPr>
                <w:rFonts w:ascii="Times New Roman" w:hAnsi="Times New Roman" w:eastAsia="宋体" w:cs="Times New Roman"/>
                <w:kern w:val="0"/>
                <w:sz w:val="22"/>
                <w:vertAlign w:val="superscript"/>
              </w:rPr>
              <w:t>3</w:t>
            </w:r>
            <w:r>
              <w:rPr>
                <w:rFonts w:ascii="Times New Roman" w:hAnsi="Times New Roman" w:eastAsia="宋体" w:cs="Times New Roman"/>
                <w:kern w:val="0"/>
                <w:sz w:val="22"/>
              </w:rPr>
              <w:t>/h</w:t>
            </w:r>
            <w:r>
              <w:rPr>
                <w:rFonts w:hint="eastAsia" w:ascii="宋体" w:hAnsi="宋体" w:eastAsia="宋体" w:cs="Times New Roman"/>
                <w:kern w:val="0"/>
                <w:sz w:val="22"/>
              </w:rPr>
              <w:t>，温度≤</w:t>
            </w:r>
            <w:r>
              <w:rPr>
                <w:rFonts w:ascii="Times New Roman" w:hAnsi="Times New Roman" w:eastAsia="宋体" w:cs="Times New Roman"/>
                <w:kern w:val="0"/>
                <w:sz w:val="22"/>
              </w:rPr>
              <w:t>40</w:t>
            </w:r>
            <w:r>
              <w:rPr>
                <w:rFonts w:hint="eastAsia" w:ascii="宋体" w:hAnsi="宋体" w:eastAsia="宋体" w:cs="Times New Roman"/>
                <w:kern w:val="0"/>
                <w:sz w:val="22"/>
              </w:rPr>
              <w:t>℃，室外取新风和排风镀锌风管出屋面，配防火阀</w:t>
            </w:r>
          </w:p>
        </w:tc>
        <w:tc>
          <w:tcPr>
            <w:tcW w:w="670" w:type="dxa"/>
            <w:tcBorders>
              <w:top w:val="nil"/>
              <w:left w:val="nil"/>
              <w:bottom w:val="single" w:color="auto" w:sz="4" w:space="0"/>
              <w:right w:val="single" w:color="auto" w:sz="4" w:space="0"/>
            </w:tcBorders>
            <w:shd w:val="clear" w:color="auto" w:fill="auto"/>
            <w:vAlign w:val="center"/>
          </w:tcPr>
          <w:p w14:paraId="07A18584">
            <w:pPr>
              <w:widowControl/>
              <w:suppressAutoHyphens w:val="0"/>
              <w:overflowPunct/>
              <w:jc w:val="center"/>
              <w:rPr>
                <w:rFonts w:ascii="Times New Roman" w:hAnsi="Times New Roman" w:eastAsia="宋体" w:cs="Times New Roman"/>
                <w:color w:val="000000"/>
                <w:kern w:val="0"/>
                <w:sz w:val="22"/>
              </w:rPr>
            </w:pPr>
            <w:r>
              <w:rPr>
                <w:rFonts w:hint="eastAsia" w:ascii="宋体" w:hAnsi="宋体" w:eastAsia="宋体" w:cs="Times New Roman"/>
                <w:color w:val="000000"/>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39CC5530">
            <w:pPr>
              <w:widowControl/>
              <w:suppressAutoHyphens w:val="0"/>
              <w:overflowPunct/>
              <w:jc w:val="center"/>
              <w:rPr>
                <w:rFonts w:ascii="Times New Roman" w:hAnsi="Times New Roman" w:eastAsia="宋体" w:cs="Times New Roman"/>
                <w:color w:val="000000"/>
                <w:kern w:val="0"/>
                <w:sz w:val="22"/>
              </w:rPr>
            </w:pPr>
            <w:r>
              <w:rPr>
                <w:rFonts w:ascii="Times New Roman" w:hAnsi="Times New Roman" w:eastAsia="宋体" w:cs="Times New Roman"/>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702A6F9F">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01F67F84">
        <w:tblPrEx>
          <w:tblCellMar>
            <w:top w:w="0" w:type="dxa"/>
            <w:left w:w="108" w:type="dxa"/>
            <w:bottom w:w="0" w:type="dxa"/>
            <w:right w:w="108" w:type="dxa"/>
          </w:tblCellMar>
        </w:tblPrEx>
        <w:trPr>
          <w:trHeight w:val="585"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7C9DA123">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70</w:t>
            </w:r>
          </w:p>
        </w:tc>
        <w:tc>
          <w:tcPr>
            <w:tcW w:w="2010" w:type="dxa"/>
            <w:tcBorders>
              <w:top w:val="nil"/>
              <w:left w:val="nil"/>
              <w:bottom w:val="single" w:color="auto" w:sz="4" w:space="0"/>
              <w:right w:val="single" w:color="auto" w:sz="4" w:space="0"/>
            </w:tcBorders>
            <w:shd w:val="clear" w:color="auto" w:fill="auto"/>
            <w:vAlign w:val="center"/>
          </w:tcPr>
          <w:p w14:paraId="01289E4D">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设备间通风单元</w:t>
            </w:r>
          </w:p>
        </w:tc>
        <w:tc>
          <w:tcPr>
            <w:tcW w:w="4660" w:type="dxa"/>
            <w:tcBorders>
              <w:top w:val="nil"/>
              <w:left w:val="nil"/>
              <w:bottom w:val="single" w:color="auto" w:sz="4" w:space="0"/>
              <w:right w:val="single" w:color="auto" w:sz="4" w:space="0"/>
            </w:tcBorders>
            <w:shd w:val="clear" w:color="auto" w:fill="auto"/>
            <w:vAlign w:val="center"/>
          </w:tcPr>
          <w:p w14:paraId="20D8C8B2">
            <w:pPr>
              <w:widowControl/>
              <w:suppressAutoHyphens w:val="0"/>
              <w:overflowPunct/>
              <w:rPr>
                <w:rFonts w:ascii="宋体" w:hAnsi="宋体" w:eastAsia="宋体" w:cs="宋体"/>
                <w:kern w:val="0"/>
                <w:sz w:val="22"/>
              </w:rPr>
            </w:pPr>
            <w:r>
              <w:rPr>
                <w:rFonts w:hint="eastAsia" w:ascii="宋体" w:hAnsi="宋体" w:eastAsia="宋体" w:cs="Times New Roman"/>
                <w:kern w:val="0"/>
                <w:sz w:val="22"/>
              </w:rPr>
              <w:t>风机变频</w:t>
            </w:r>
            <w:r>
              <w:rPr>
                <w:rFonts w:hint="eastAsia" w:ascii="宋体" w:hAnsi="宋体" w:eastAsia="宋体" w:cs="宋体"/>
                <w:kern w:val="0"/>
                <w:sz w:val="22"/>
              </w:rPr>
              <w:t>，风量约15000m</w:t>
            </w:r>
            <w:r>
              <w:rPr>
                <w:rFonts w:hint="eastAsia" w:ascii="宋体" w:hAnsi="宋体" w:eastAsia="宋体" w:cs="宋体"/>
                <w:kern w:val="0"/>
                <w:sz w:val="22"/>
                <w:vertAlign w:val="superscript"/>
              </w:rPr>
              <w:t>3</w:t>
            </w:r>
            <w:r>
              <w:rPr>
                <w:rFonts w:hint="eastAsia" w:ascii="宋体" w:hAnsi="宋体" w:eastAsia="宋体" w:cs="宋体"/>
                <w:kern w:val="0"/>
                <w:sz w:val="22"/>
              </w:rPr>
              <w:t>/h，排风镀锌风管至厂房外</w:t>
            </w:r>
          </w:p>
        </w:tc>
        <w:tc>
          <w:tcPr>
            <w:tcW w:w="670" w:type="dxa"/>
            <w:tcBorders>
              <w:top w:val="nil"/>
              <w:left w:val="nil"/>
              <w:bottom w:val="single" w:color="auto" w:sz="4" w:space="0"/>
              <w:right w:val="single" w:color="auto" w:sz="4" w:space="0"/>
            </w:tcBorders>
            <w:shd w:val="clear" w:color="auto" w:fill="auto"/>
            <w:vAlign w:val="center"/>
          </w:tcPr>
          <w:p w14:paraId="5FA0BB34">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6BB0A264">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5</w:t>
            </w:r>
          </w:p>
        </w:tc>
        <w:tc>
          <w:tcPr>
            <w:tcW w:w="700" w:type="dxa"/>
            <w:tcBorders>
              <w:top w:val="nil"/>
              <w:left w:val="nil"/>
              <w:bottom w:val="single" w:color="auto" w:sz="4" w:space="0"/>
              <w:right w:val="single" w:color="auto" w:sz="4" w:space="0"/>
            </w:tcBorders>
            <w:shd w:val="clear" w:color="auto" w:fill="auto"/>
            <w:noWrap/>
            <w:vAlign w:val="center"/>
          </w:tcPr>
          <w:p w14:paraId="7857FB2B">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1000F6CD">
        <w:tblPrEx>
          <w:tblCellMar>
            <w:top w:w="0" w:type="dxa"/>
            <w:left w:w="108" w:type="dxa"/>
            <w:bottom w:w="0" w:type="dxa"/>
            <w:right w:w="108" w:type="dxa"/>
          </w:tblCellMar>
        </w:tblPrEx>
        <w:trPr>
          <w:trHeight w:val="87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27AA57AD">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71</w:t>
            </w:r>
          </w:p>
        </w:tc>
        <w:tc>
          <w:tcPr>
            <w:tcW w:w="2010" w:type="dxa"/>
            <w:tcBorders>
              <w:top w:val="nil"/>
              <w:left w:val="nil"/>
              <w:bottom w:val="single" w:color="auto" w:sz="4" w:space="0"/>
              <w:right w:val="single" w:color="auto" w:sz="4" w:space="0"/>
            </w:tcBorders>
            <w:shd w:val="clear" w:color="auto" w:fill="auto"/>
            <w:vAlign w:val="center"/>
          </w:tcPr>
          <w:p w14:paraId="6D1F3E3F">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台架基础底板</w:t>
            </w:r>
          </w:p>
        </w:tc>
        <w:tc>
          <w:tcPr>
            <w:tcW w:w="4660" w:type="dxa"/>
            <w:tcBorders>
              <w:top w:val="nil"/>
              <w:left w:val="nil"/>
              <w:bottom w:val="single" w:color="auto" w:sz="4" w:space="0"/>
              <w:right w:val="single" w:color="auto" w:sz="4" w:space="0"/>
            </w:tcBorders>
            <w:shd w:val="clear" w:color="auto" w:fill="auto"/>
            <w:vAlign w:val="center"/>
          </w:tcPr>
          <w:p w14:paraId="283D8E22">
            <w:pPr>
              <w:widowControl/>
              <w:suppressAutoHyphens w:val="0"/>
              <w:overflowPunct/>
              <w:rPr>
                <w:rFonts w:ascii="Times New Roman" w:hAnsi="Times New Roman" w:eastAsia="宋体" w:cs="Times New Roman"/>
                <w:kern w:val="0"/>
                <w:sz w:val="22"/>
              </w:rPr>
            </w:pPr>
            <w:r>
              <w:rPr>
                <w:rFonts w:hint="eastAsia" w:ascii="宋体" w:hAnsi="宋体" w:eastAsia="宋体" w:cs="Times New Roman"/>
                <w:kern w:val="0"/>
                <w:sz w:val="22"/>
              </w:rPr>
              <w:t>原有大底板利旧，其中</w:t>
            </w:r>
            <w:r>
              <w:rPr>
                <w:rFonts w:ascii="Times New Roman" w:hAnsi="Times New Roman" w:eastAsia="宋体" w:cs="Times New Roman"/>
                <w:kern w:val="0"/>
                <w:sz w:val="22"/>
              </w:rPr>
              <w:t>2</w:t>
            </w:r>
            <w:r>
              <w:rPr>
                <w:rFonts w:hint="eastAsia" w:ascii="宋体" w:hAnsi="宋体" w:eastAsia="宋体" w:cs="Times New Roman"/>
                <w:kern w:val="0"/>
                <w:sz w:val="22"/>
              </w:rPr>
              <w:t>块大底板从设备间移至台架间</w:t>
            </w:r>
          </w:p>
        </w:tc>
        <w:tc>
          <w:tcPr>
            <w:tcW w:w="670" w:type="dxa"/>
            <w:tcBorders>
              <w:top w:val="nil"/>
              <w:left w:val="nil"/>
              <w:bottom w:val="single" w:color="auto" w:sz="4" w:space="0"/>
              <w:right w:val="single" w:color="auto" w:sz="4" w:space="0"/>
            </w:tcBorders>
            <w:shd w:val="clear" w:color="auto" w:fill="auto"/>
            <w:vAlign w:val="center"/>
          </w:tcPr>
          <w:p w14:paraId="4BA22A29">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项</w:t>
            </w:r>
          </w:p>
        </w:tc>
        <w:tc>
          <w:tcPr>
            <w:tcW w:w="580" w:type="dxa"/>
            <w:tcBorders>
              <w:top w:val="nil"/>
              <w:left w:val="nil"/>
              <w:bottom w:val="single" w:color="auto" w:sz="4" w:space="0"/>
              <w:right w:val="single" w:color="auto" w:sz="4" w:space="0"/>
            </w:tcBorders>
            <w:shd w:val="clear" w:color="auto" w:fill="auto"/>
            <w:vAlign w:val="center"/>
          </w:tcPr>
          <w:p w14:paraId="4F04EC85">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7EB6BD2D">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5A0066D0">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6C1FAD31">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72</w:t>
            </w:r>
          </w:p>
        </w:tc>
        <w:tc>
          <w:tcPr>
            <w:tcW w:w="2010" w:type="dxa"/>
            <w:tcBorders>
              <w:top w:val="nil"/>
              <w:left w:val="nil"/>
              <w:bottom w:val="single" w:color="auto" w:sz="4" w:space="0"/>
              <w:right w:val="single" w:color="auto" w:sz="4" w:space="0"/>
            </w:tcBorders>
            <w:shd w:val="clear" w:color="auto" w:fill="auto"/>
            <w:vAlign w:val="center"/>
          </w:tcPr>
          <w:p w14:paraId="12DC4B53">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空气弹簧减振装置及台架地面</w:t>
            </w:r>
          </w:p>
        </w:tc>
        <w:tc>
          <w:tcPr>
            <w:tcW w:w="4660" w:type="dxa"/>
            <w:tcBorders>
              <w:top w:val="nil"/>
              <w:left w:val="nil"/>
              <w:bottom w:val="single" w:color="auto" w:sz="4" w:space="0"/>
              <w:right w:val="single" w:color="auto" w:sz="4" w:space="0"/>
            </w:tcBorders>
            <w:shd w:val="clear" w:color="auto" w:fill="auto"/>
            <w:vAlign w:val="center"/>
          </w:tcPr>
          <w:p w14:paraId="08E6C31F">
            <w:pPr>
              <w:widowControl/>
              <w:suppressAutoHyphens w:val="0"/>
              <w:overflowPunct/>
              <w:rPr>
                <w:rFonts w:ascii="宋体" w:hAnsi="宋体" w:eastAsia="宋体" w:cs="宋体"/>
                <w:kern w:val="0"/>
                <w:sz w:val="22"/>
              </w:rPr>
            </w:pPr>
            <w:r>
              <w:rPr>
                <w:rFonts w:ascii="宋体" w:hAnsi="宋体" w:eastAsia="宋体" w:cs="宋体"/>
                <w:kern w:val="0"/>
                <w:sz w:val="22"/>
              </w:rPr>
              <w:t>AISTECH品牌的APS薄膜式空气隔振单元</w:t>
            </w:r>
            <w:r>
              <w:rPr>
                <w:rFonts w:hint="eastAsia" w:ascii="宋体" w:hAnsi="宋体" w:eastAsia="宋体" w:cs="宋体"/>
                <w:kern w:val="0"/>
                <w:sz w:val="22"/>
              </w:rPr>
              <w:t>，自动补气、调压、失压保护。空气弹簧安装基础按需改造。</w:t>
            </w:r>
          </w:p>
          <w:p w14:paraId="5FA88D1F">
            <w:pPr>
              <w:widowControl/>
              <w:suppressAutoHyphens w:val="0"/>
              <w:overflowPunct/>
              <w:rPr>
                <w:rFonts w:ascii="宋体" w:hAnsi="宋体" w:eastAsia="宋体" w:cs="宋体"/>
                <w:kern w:val="0"/>
                <w:sz w:val="22"/>
              </w:rPr>
            </w:pPr>
            <w:r>
              <w:rPr>
                <w:rFonts w:hint="eastAsia" w:ascii="宋体" w:hAnsi="宋体" w:eastAsia="宋体" w:cs="Times New Roman"/>
                <w:kern w:val="0"/>
                <w:sz w:val="22"/>
              </w:rPr>
              <w:t>重做钢结构支撑</w:t>
            </w:r>
            <w:r>
              <w:rPr>
                <w:rFonts w:ascii="Times New Roman" w:hAnsi="Times New Roman" w:eastAsia="宋体" w:cs="Times New Roman"/>
                <w:kern w:val="0"/>
                <w:sz w:val="22"/>
              </w:rPr>
              <w:t>(</w:t>
            </w:r>
            <w:r>
              <w:rPr>
                <w:rFonts w:hint="eastAsia" w:ascii="宋体" w:hAnsi="宋体" w:eastAsia="宋体" w:cs="Times New Roman"/>
                <w:kern w:val="0"/>
                <w:sz w:val="22"/>
              </w:rPr>
              <w:t>地下室</w:t>
            </w:r>
            <w:r>
              <w:rPr>
                <w:rFonts w:ascii="Times New Roman" w:hAnsi="Times New Roman" w:eastAsia="宋体" w:cs="Times New Roman"/>
                <w:kern w:val="0"/>
                <w:sz w:val="22"/>
              </w:rPr>
              <w:t>)</w:t>
            </w:r>
            <w:r>
              <w:rPr>
                <w:rFonts w:hint="eastAsia" w:ascii="宋体" w:hAnsi="宋体" w:eastAsia="宋体" w:cs="Times New Roman"/>
                <w:kern w:val="0"/>
                <w:sz w:val="22"/>
              </w:rPr>
              <w:t>，铺格栅板</w:t>
            </w:r>
          </w:p>
        </w:tc>
        <w:tc>
          <w:tcPr>
            <w:tcW w:w="670" w:type="dxa"/>
            <w:tcBorders>
              <w:top w:val="nil"/>
              <w:left w:val="nil"/>
              <w:bottom w:val="single" w:color="auto" w:sz="4" w:space="0"/>
              <w:right w:val="single" w:color="auto" w:sz="4" w:space="0"/>
            </w:tcBorders>
            <w:shd w:val="clear" w:color="auto" w:fill="auto"/>
            <w:vAlign w:val="center"/>
          </w:tcPr>
          <w:p w14:paraId="1A2EEC3F">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6BE4946F">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459B536F">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68CF1B24">
        <w:tblPrEx>
          <w:tblCellMar>
            <w:top w:w="0" w:type="dxa"/>
            <w:left w:w="108" w:type="dxa"/>
            <w:bottom w:w="0" w:type="dxa"/>
            <w:right w:w="108" w:type="dxa"/>
          </w:tblCellMar>
        </w:tblPrEx>
        <w:trPr>
          <w:trHeight w:val="57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4B89E9FD">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73</w:t>
            </w:r>
          </w:p>
        </w:tc>
        <w:tc>
          <w:tcPr>
            <w:tcW w:w="2010" w:type="dxa"/>
            <w:tcBorders>
              <w:top w:val="nil"/>
              <w:left w:val="nil"/>
              <w:bottom w:val="single" w:color="auto" w:sz="4" w:space="0"/>
              <w:right w:val="single" w:color="auto" w:sz="4" w:space="0"/>
            </w:tcBorders>
            <w:shd w:val="clear" w:color="auto" w:fill="auto"/>
            <w:vAlign w:val="center"/>
          </w:tcPr>
          <w:p w14:paraId="2E35B19B">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试验间吸声降噪</w:t>
            </w:r>
          </w:p>
        </w:tc>
        <w:tc>
          <w:tcPr>
            <w:tcW w:w="4660" w:type="dxa"/>
            <w:tcBorders>
              <w:top w:val="nil"/>
              <w:left w:val="nil"/>
              <w:bottom w:val="single" w:color="auto" w:sz="4" w:space="0"/>
              <w:right w:val="single" w:color="auto" w:sz="4" w:space="0"/>
            </w:tcBorders>
            <w:shd w:val="clear" w:color="auto" w:fill="auto"/>
            <w:vAlign w:val="center"/>
          </w:tcPr>
          <w:p w14:paraId="1EFE1C00">
            <w:pPr>
              <w:widowControl/>
              <w:suppressAutoHyphens w:val="0"/>
              <w:overflowPunct/>
              <w:rPr>
                <w:rFonts w:ascii="Times New Roman" w:hAnsi="Times New Roman" w:eastAsia="宋体" w:cs="Times New Roman"/>
                <w:kern w:val="0"/>
                <w:sz w:val="22"/>
              </w:rPr>
            </w:pPr>
            <w:r>
              <w:rPr>
                <w:rFonts w:hint="eastAsia" w:ascii="宋体" w:hAnsi="宋体" w:eastAsia="宋体" w:cs="Times New Roman"/>
                <w:kern w:val="0"/>
                <w:sz w:val="22"/>
              </w:rPr>
              <w:t>台架间内部五面处理，运行工况外部噪声值≤</w:t>
            </w:r>
            <w:r>
              <w:rPr>
                <w:rFonts w:ascii="Times New Roman" w:hAnsi="Times New Roman" w:eastAsia="宋体" w:cs="Times New Roman"/>
                <w:kern w:val="0"/>
                <w:sz w:val="22"/>
              </w:rPr>
              <w:t>80dB(A)</w:t>
            </w:r>
            <w:r>
              <w:rPr>
                <w:rFonts w:hint="eastAsia" w:ascii="宋体" w:hAnsi="宋体" w:eastAsia="宋体" w:cs="Times New Roman"/>
                <w:kern w:val="0"/>
                <w:sz w:val="22"/>
              </w:rPr>
              <w:t>，</w:t>
            </w:r>
            <w:r>
              <w:rPr>
                <w:rFonts w:ascii="Times New Roman" w:hAnsi="Times New Roman" w:eastAsia="宋体" w:cs="Times New Roman"/>
                <w:kern w:val="0"/>
                <w:sz w:val="22"/>
              </w:rPr>
              <w:t>2mm</w:t>
            </w:r>
            <w:r>
              <w:rPr>
                <w:rFonts w:hint="eastAsia" w:ascii="宋体" w:hAnsi="宋体" w:eastAsia="宋体" w:cs="Times New Roman"/>
                <w:kern w:val="0"/>
                <w:sz w:val="22"/>
              </w:rPr>
              <w:t>镀锌板穿孔，浸塑，隔音棉</w:t>
            </w:r>
          </w:p>
        </w:tc>
        <w:tc>
          <w:tcPr>
            <w:tcW w:w="670" w:type="dxa"/>
            <w:tcBorders>
              <w:top w:val="nil"/>
              <w:left w:val="nil"/>
              <w:bottom w:val="single" w:color="auto" w:sz="4" w:space="0"/>
              <w:right w:val="single" w:color="auto" w:sz="4" w:space="0"/>
            </w:tcBorders>
            <w:shd w:val="clear" w:color="auto" w:fill="auto"/>
            <w:vAlign w:val="center"/>
          </w:tcPr>
          <w:p w14:paraId="19BAD8F7">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3B8055EB">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6D21D746">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2DF453B3">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4E38CE55">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74</w:t>
            </w:r>
          </w:p>
        </w:tc>
        <w:tc>
          <w:tcPr>
            <w:tcW w:w="2010" w:type="dxa"/>
            <w:tcBorders>
              <w:top w:val="nil"/>
              <w:left w:val="nil"/>
              <w:bottom w:val="single" w:color="auto" w:sz="4" w:space="0"/>
              <w:right w:val="single" w:color="auto" w:sz="4" w:space="0"/>
            </w:tcBorders>
            <w:shd w:val="clear" w:color="auto" w:fill="auto"/>
            <w:vAlign w:val="center"/>
          </w:tcPr>
          <w:p w14:paraId="3FD18028">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试验间隔声门窗</w:t>
            </w:r>
          </w:p>
        </w:tc>
        <w:tc>
          <w:tcPr>
            <w:tcW w:w="4660" w:type="dxa"/>
            <w:tcBorders>
              <w:top w:val="nil"/>
              <w:left w:val="nil"/>
              <w:bottom w:val="single" w:color="auto" w:sz="4" w:space="0"/>
              <w:right w:val="single" w:color="auto" w:sz="4" w:space="0"/>
            </w:tcBorders>
            <w:shd w:val="clear" w:color="auto" w:fill="auto"/>
            <w:vAlign w:val="center"/>
          </w:tcPr>
          <w:p w14:paraId="4E9E9D30">
            <w:pPr>
              <w:widowControl/>
              <w:suppressAutoHyphens w:val="0"/>
              <w:overflowPunct/>
              <w:rPr>
                <w:rFonts w:ascii="宋体" w:hAnsi="宋体" w:eastAsia="宋体" w:cs="宋体"/>
                <w:kern w:val="0"/>
                <w:sz w:val="22"/>
              </w:rPr>
            </w:pPr>
            <w:r>
              <w:rPr>
                <w:rFonts w:hint="eastAsia" w:ascii="宋体" w:hAnsi="宋体" w:eastAsia="宋体" w:cs="宋体"/>
                <w:kern w:val="0"/>
                <w:sz w:val="22"/>
              </w:rPr>
              <w:t>人员门更换，100mm厚定制隔声门；物流门亮新，恢复自动功能；隔声窗保留、亮新</w:t>
            </w:r>
          </w:p>
        </w:tc>
        <w:tc>
          <w:tcPr>
            <w:tcW w:w="670" w:type="dxa"/>
            <w:tcBorders>
              <w:top w:val="nil"/>
              <w:left w:val="nil"/>
              <w:bottom w:val="single" w:color="auto" w:sz="4" w:space="0"/>
              <w:right w:val="single" w:color="auto" w:sz="4" w:space="0"/>
            </w:tcBorders>
            <w:shd w:val="clear" w:color="auto" w:fill="auto"/>
            <w:vAlign w:val="center"/>
          </w:tcPr>
          <w:p w14:paraId="56FEDBF0">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41E9700C">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14</w:t>
            </w:r>
          </w:p>
        </w:tc>
        <w:tc>
          <w:tcPr>
            <w:tcW w:w="700" w:type="dxa"/>
            <w:tcBorders>
              <w:top w:val="nil"/>
              <w:left w:val="nil"/>
              <w:bottom w:val="single" w:color="auto" w:sz="4" w:space="0"/>
              <w:right w:val="single" w:color="auto" w:sz="4" w:space="0"/>
            </w:tcBorders>
            <w:shd w:val="clear" w:color="auto" w:fill="auto"/>
            <w:noWrap/>
            <w:vAlign w:val="center"/>
          </w:tcPr>
          <w:p w14:paraId="6351C19F">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71866EE8">
        <w:tblPrEx>
          <w:tblCellMar>
            <w:top w:w="0" w:type="dxa"/>
            <w:left w:w="108" w:type="dxa"/>
            <w:bottom w:w="0" w:type="dxa"/>
            <w:right w:w="108" w:type="dxa"/>
          </w:tblCellMar>
        </w:tblPrEx>
        <w:trPr>
          <w:trHeight w:val="8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00B28C6F">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75</w:t>
            </w:r>
          </w:p>
        </w:tc>
        <w:tc>
          <w:tcPr>
            <w:tcW w:w="2010" w:type="dxa"/>
            <w:tcBorders>
              <w:top w:val="nil"/>
              <w:left w:val="nil"/>
              <w:bottom w:val="single" w:color="auto" w:sz="4" w:space="0"/>
              <w:right w:val="single" w:color="auto" w:sz="4" w:space="0"/>
            </w:tcBorders>
            <w:shd w:val="clear" w:color="auto" w:fill="auto"/>
            <w:vAlign w:val="center"/>
          </w:tcPr>
          <w:p w14:paraId="4F33C09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试验台架配电及照明</w:t>
            </w:r>
          </w:p>
        </w:tc>
        <w:tc>
          <w:tcPr>
            <w:tcW w:w="4660" w:type="dxa"/>
            <w:tcBorders>
              <w:top w:val="nil"/>
              <w:left w:val="nil"/>
              <w:bottom w:val="single" w:color="auto" w:sz="4" w:space="0"/>
              <w:right w:val="single" w:color="auto" w:sz="4" w:space="0"/>
            </w:tcBorders>
            <w:shd w:val="clear" w:color="auto" w:fill="auto"/>
            <w:vAlign w:val="center"/>
          </w:tcPr>
          <w:p w14:paraId="05A3586A">
            <w:pPr>
              <w:widowControl/>
              <w:suppressAutoHyphens w:val="0"/>
              <w:overflowPunct/>
              <w:rPr>
                <w:rFonts w:ascii="Times New Roman" w:hAnsi="Times New Roman" w:eastAsia="宋体" w:cs="Times New Roman"/>
                <w:kern w:val="0"/>
                <w:sz w:val="22"/>
              </w:rPr>
            </w:pPr>
            <w:r>
              <w:rPr>
                <w:rFonts w:hint="eastAsia" w:ascii="宋体" w:hAnsi="宋体" w:eastAsia="宋体" w:cs="Times New Roman"/>
                <w:kern w:val="0"/>
                <w:sz w:val="22"/>
              </w:rPr>
              <w:t>设备配电（含柜）及维修用插座，照度台架间</w:t>
            </w:r>
            <w:r>
              <w:rPr>
                <w:rFonts w:ascii="Times New Roman" w:hAnsi="Times New Roman" w:eastAsia="宋体" w:cs="Times New Roman"/>
                <w:kern w:val="0"/>
                <w:sz w:val="22"/>
              </w:rPr>
              <w:t>500lux</w:t>
            </w:r>
            <w:r>
              <w:rPr>
                <w:rFonts w:hint="eastAsia" w:ascii="宋体" w:hAnsi="宋体" w:eastAsia="宋体" w:cs="Times New Roman"/>
                <w:kern w:val="0"/>
                <w:sz w:val="22"/>
              </w:rPr>
              <w:t>，</w:t>
            </w:r>
            <w:r>
              <w:rPr>
                <w:rFonts w:ascii="Times New Roman" w:hAnsi="Times New Roman" w:eastAsia="宋体" w:cs="Times New Roman"/>
                <w:kern w:val="0"/>
                <w:sz w:val="22"/>
              </w:rPr>
              <w:t>8</w:t>
            </w:r>
            <w:r>
              <w:rPr>
                <w:rFonts w:hint="eastAsia" w:ascii="宋体" w:hAnsi="宋体" w:eastAsia="宋体" w:cs="Times New Roman"/>
                <w:kern w:val="0"/>
                <w:sz w:val="22"/>
              </w:rPr>
              <w:t>盏防爆</w:t>
            </w:r>
            <w:r>
              <w:rPr>
                <w:rFonts w:ascii="Times New Roman" w:hAnsi="Times New Roman" w:eastAsia="宋体" w:cs="Times New Roman"/>
                <w:kern w:val="0"/>
                <w:sz w:val="22"/>
              </w:rPr>
              <w:t>LED</w:t>
            </w:r>
            <w:r>
              <w:rPr>
                <w:rFonts w:hint="eastAsia" w:ascii="宋体" w:hAnsi="宋体" w:eastAsia="宋体" w:cs="Times New Roman"/>
                <w:kern w:val="0"/>
                <w:sz w:val="22"/>
              </w:rPr>
              <w:t>灯，控制室</w:t>
            </w:r>
            <w:r>
              <w:rPr>
                <w:rFonts w:ascii="Times New Roman" w:hAnsi="Times New Roman" w:eastAsia="宋体" w:cs="Times New Roman"/>
                <w:kern w:val="0"/>
                <w:sz w:val="22"/>
              </w:rPr>
              <w:t>250lux</w:t>
            </w:r>
            <w:r>
              <w:rPr>
                <w:rFonts w:hint="eastAsia" w:ascii="宋体" w:hAnsi="宋体" w:eastAsia="宋体" w:cs="Times New Roman"/>
                <w:kern w:val="0"/>
                <w:sz w:val="22"/>
              </w:rPr>
              <w:t>。</w:t>
            </w:r>
          </w:p>
        </w:tc>
        <w:tc>
          <w:tcPr>
            <w:tcW w:w="670" w:type="dxa"/>
            <w:tcBorders>
              <w:top w:val="nil"/>
              <w:left w:val="nil"/>
              <w:bottom w:val="single" w:color="auto" w:sz="4" w:space="0"/>
              <w:right w:val="single" w:color="auto" w:sz="4" w:space="0"/>
            </w:tcBorders>
            <w:shd w:val="clear" w:color="auto" w:fill="auto"/>
            <w:vAlign w:val="center"/>
          </w:tcPr>
          <w:p w14:paraId="321CF6DD">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37800BE6">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5B65F97C">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2BF5C09C">
        <w:tblPrEx>
          <w:tblCellMar>
            <w:top w:w="0" w:type="dxa"/>
            <w:left w:w="108" w:type="dxa"/>
            <w:bottom w:w="0" w:type="dxa"/>
            <w:right w:w="108" w:type="dxa"/>
          </w:tblCellMar>
        </w:tblPrEx>
        <w:trPr>
          <w:trHeight w:val="8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7A3C3D47">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76</w:t>
            </w:r>
          </w:p>
        </w:tc>
        <w:tc>
          <w:tcPr>
            <w:tcW w:w="2010" w:type="dxa"/>
            <w:tcBorders>
              <w:top w:val="nil"/>
              <w:left w:val="nil"/>
              <w:bottom w:val="single" w:color="auto" w:sz="4" w:space="0"/>
              <w:right w:val="single" w:color="auto" w:sz="4" w:space="0"/>
            </w:tcBorders>
            <w:shd w:val="clear" w:color="auto" w:fill="auto"/>
            <w:vAlign w:val="center"/>
          </w:tcPr>
          <w:p w14:paraId="178DA129">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台架管路管线安装</w:t>
            </w:r>
          </w:p>
        </w:tc>
        <w:tc>
          <w:tcPr>
            <w:tcW w:w="4660" w:type="dxa"/>
            <w:tcBorders>
              <w:top w:val="nil"/>
              <w:left w:val="nil"/>
              <w:bottom w:val="single" w:color="auto" w:sz="4" w:space="0"/>
              <w:right w:val="single" w:color="auto" w:sz="4" w:space="0"/>
            </w:tcBorders>
            <w:shd w:val="clear" w:color="auto" w:fill="auto"/>
            <w:vAlign w:val="center"/>
          </w:tcPr>
          <w:p w14:paraId="04D546D6">
            <w:pPr>
              <w:widowControl/>
              <w:suppressAutoHyphens w:val="0"/>
              <w:overflowPunct/>
              <w:rPr>
                <w:rFonts w:ascii="Times New Roman" w:hAnsi="Times New Roman" w:eastAsia="宋体" w:cs="Times New Roman"/>
                <w:kern w:val="0"/>
                <w:sz w:val="22"/>
              </w:rPr>
            </w:pPr>
            <w:r>
              <w:rPr>
                <w:rFonts w:hint="eastAsia" w:ascii="宋体" w:hAnsi="宋体" w:eastAsia="宋体" w:cs="Times New Roman"/>
                <w:kern w:val="0"/>
                <w:sz w:val="22"/>
              </w:rPr>
              <w:t>试验间内部管路及阀门换新，配压力指示，台架设备连接处设阀门，强弱电缆作屏蔽</w:t>
            </w:r>
          </w:p>
        </w:tc>
        <w:tc>
          <w:tcPr>
            <w:tcW w:w="670" w:type="dxa"/>
            <w:tcBorders>
              <w:top w:val="nil"/>
              <w:left w:val="nil"/>
              <w:bottom w:val="single" w:color="auto" w:sz="4" w:space="0"/>
              <w:right w:val="single" w:color="auto" w:sz="4" w:space="0"/>
            </w:tcBorders>
            <w:shd w:val="clear" w:color="auto" w:fill="auto"/>
            <w:vAlign w:val="center"/>
          </w:tcPr>
          <w:p w14:paraId="298143E9">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5C9C2B81">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7E5A6C57">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7B42C3A6">
        <w:tblPrEx>
          <w:tblCellMar>
            <w:top w:w="0" w:type="dxa"/>
            <w:left w:w="108" w:type="dxa"/>
            <w:bottom w:w="0" w:type="dxa"/>
            <w:right w:w="108" w:type="dxa"/>
          </w:tblCellMar>
        </w:tblPrEx>
        <w:trPr>
          <w:trHeight w:val="3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495D4CBA">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7</w:t>
            </w:r>
            <w:r>
              <w:rPr>
                <w:rFonts w:ascii="宋体" w:hAnsi="宋体" w:eastAsia="宋体" w:cs="宋体"/>
                <w:color w:val="000000"/>
                <w:kern w:val="0"/>
                <w:sz w:val="22"/>
              </w:rPr>
              <w:t>7</w:t>
            </w:r>
          </w:p>
        </w:tc>
        <w:tc>
          <w:tcPr>
            <w:tcW w:w="2010" w:type="dxa"/>
            <w:tcBorders>
              <w:top w:val="nil"/>
              <w:left w:val="nil"/>
              <w:bottom w:val="single" w:color="auto" w:sz="4" w:space="0"/>
              <w:right w:val="single" w:color="auto" w:sz="4" w:space="0"/>
            </w:tcBorders>
            <w:shd w:val="clear" w:color="auto" w:fill="auto"/>
            <w:vAlign w:val="center"/>
          </w:tcPr>
          <w:p w14:paraId="1940418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视频监控摄像头</w:t>
            </w:r>
          </w:p>
        </w:tc>
        <w:tc>
          <w:tcPr>
            <w:tcW w:w="4660" w:type="dxa"/>
            <w:tcBorders>
              <w:top w:val="nil"/>
              <w:left w:val="nil"/>
              <w:bottom w:val="single" w:color="auto" w:sz="4" w:space="0"/>
              <w:right w:val="single" w:color="auto" w:sz="4" w:space="0"/>
            </w:tcBorders>
            <w:shd w:val="clear" w:color="auto" w:fill="auto"/>
            <w:vAlign w:val="center"/>
          </w:tcPr>
          <w:p w14:paraId="65CF9181">
            <w:pPr>
              <w:widowControl/>
              <w:suppressAutoHyphens w:val="0"/>
              <w:overflowPunct/>
              <w:rPr>
                <w:rFonts w:hint="eastAsia" w:ascii="宋体" w:hAnsi="宋体" w:eastAsia="宋体" w:cs="宋体"/>
                <w:kern w:val="0"/>
                <w:sz w:val="22"/>
              </w:rPr>
            </w:pPr>
            <w:r>
              <w:rPr>
                <w:rFonts w:hint="eastAsia" w:ascii="宋体" w:hAnsi="宋体" w:eastAsia="宋体" w:cs="宋体"/>
                <w:kern w:val="0"/>
                <w:sz w:val="22"/>
              </w:rPr>
              <w:t>每台架间、设备间各2个海康威视高清摄像头</w:t>
            </w:r>
          </w:p>
        </w:tc>
        <w:tc>
          <w:tcPr>
            <w:tcW w:w="670" w:type="dxa"/>
            <w:tcBorders>
              <w:top w:val="nil"/>
              <w:left w:val="nil"/>
              <w:bottom w:val="single" w:color="auto" w:sz="4" w:space="0"/>
              <w:right w:val="single" w:color="auto" w:sz="4" w:space="0"/>
            </w:tcBorders>
            <w:shd w:val="clear" w:color="auto" w:fill="auto"/>
            <w:vAlign w:val="center"/>
          </w:tcPr>
          <w:p w14:paraId="6E872D25">
            <w:pPr>
              <w:widowControl/>
              <w:suppressAutoHyphens w:val="0"/>
              <w:overflowPunct/>
              <w:jc w:val="center"/>
              <w:rPr>
                <w:rFonts w:hint="eastAsia" w:ascii="宋体" w:hAnsi="宋体" w:eastAsia="宋体" w:cs="Times New Roman"/>
                <w:kern w:val="0"/>
                <w:sz w:val="22"/>
              </w:rPr>
            </w:pPr>
            <w:r>
              <w:rPr>
                <w:rFonts w:hint="eastAsia" w:ascii="宋体" w:hAnsi="宋体"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2164687D">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14</w:t>
            </w:r>
          </w:p>
        </w:tc>
        <w:tc>
          <w:tcPr>
            <w:tcW w:w="700" w:type="dxa"/>
            <w:tcBorders>
              <w:top w:val="nil"/>
              <w:left w:val="nil"/>
              <w:bottom w:val="single" w:color="auto" w:sz="4" w:space="0"/>
              <w:right w:val="single" w:color="auto" w:sz="4" w:space="0"/>
            </w:tcBorders>
            <w:shd w:val="clear" w:color="auto" w:fill="auto"/>
            <w:noWrap/>
            <w:vAlign w:val="center"/>
          </w:tcPr>
          <w:p w14:paraId="5EA8EDEB">
            <w:pPr>
              <w:widowControl/>
              <w:suppressAutoHyphens w:val="0"/>
              <w:overflowPunct/>
              <w:rPr>
                <w:rFonts w:ascii="宋体" w:hAnsi="宋体" w:eastAsia="宋体" w:cs="宋体"/>
                <w:color w:val="000000"/>
                <w:kern w:val="0"/>
                <w:sz w:val="22"/>
              </w:rPr>
            </w:pPr>
          </w:p>
        </w:tc>
      </w:tr>
      <w:tr w14:paraId="0CA0EA67">
        <w:tblPrEx>
          <w:tblCellMar>
            <w:top w:w="0" w:type="dxa"/>
            <w:left w:w="108" w:type="dxa"/>
            <w:bottom w:w="0" w:type="dxa"/>
            <w:right w:w="108" w:type="dxa"/>
          </w:tblCellMar>
        </w:tblPrEx>
        <w:trPr>
          <w:trHeight w:val="3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32F7293C">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7</w:t>
            </w:r>
            <w:r>
              <w:rPr>
                <w:rFonts w:ascii="宋体" w:hAnsi="宋体" w:eastAsia="宋体" w:cs="宋体"/>
                <w:color w:val="000000"/>
                <w:kern w:val="0"/>
                <w:sz w:val="22"/>
              </w:rPr>
              <w:t>8</w:t>
            </w:r>
          </w:p>
        </w:tc>
        <w:tc>
          <w:tcPr>
            <w:tcW w:w="2010" w:type="dxa"/>
            <w:tcBorders>
              <w:top w:val="nil"/>
              <w:left w:val="nil"/>
              <w:bottom w:val="single" w:color="auto" w:sz="4" w:space="0"/>
              <w:right w:val="single" w:color="auto" w:sz="4" w:space="0"/>
            </w:tcBorders>
            <w:shd w:val="clear" w:color="auto" w:fill="auto"/>
            <w:vAlign w:val="center"/>
          </w:tcPr>
          <w:p w14:paraId="744A0DC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视频监控主机</w:t>
            </w:r>
          </w:p>
        </w:tc>
        <w:tc>
          <w:tcPr>
            <w:tcW w:w="4660" w:type="dxa"/>
            <w:tcBorders>
              <w:top w:val="nil"/>
              <w:left w:val="nil"/>
              <w:bottom w:val="single" w:color="auto" w:sz="4" w:space="0"/>
              <w:right w:val="single" w:color="auto" w:sz="4" w:space="0"/>
            </w:tcBorders>
            <w:shd w:val="clear" w:color="auto" w:fill="auto"/>
            <w:vAlign w:val="center"/>
          </w:tcPr>
          <w:p w14:paraId="5719E517">
            <w:pPr>
              <w:widowControl/>
              <w:suppressAutoHyphens w:val="0"/>
              <w:overflowPunct/>
              <w:rPr>
                <w:rFonts w:ascii="宋体" w:hAnsi="宋体" w:eastAsia="宋体" w:cs="宋体"/>
                <w:kern w:val="0"/>
                <w:sz w:val="22"/>
              </w:rPr>
            </w:pPr>
            <w:r>
              <w:rPr>
                <w:rFonts w:ascii="宋体" w:hAnsi="宋体" w:eastAsia="宋体" w:cs="宋体"/>
                <w:kern w:val="0"/>
                <w:sz w:val="22"/>
              </w:rPr>
              <w:t>4</w:t>
            </w:r>
            <w:r>
              <w:rPr>
                <w:rFonts w:hint="eastAsia" w:ascii="宋体" w:hAnsi="宋体" w:eastAsia="宋体" w:cs="宋体"/>
                <w:kern w:val="0"/>
                <w:sz w:val="22"/>
              </w:rPr>
              <w:t>T硬盘录像机，华为</w:t>
            </w:r>
            <w:r>
              <w:rPr>
                <w:rFonts w:ascii="宋体" w:hAnsi="宋体" w:eastAsia="宋体" w:cs="宋体"/>
                <w:kern w:val="0"/>
                <w:sz w:val="22"/>
              </w:rPr>
              <w:t>8</w:t>
            </w:r>
            <w:r>
              <w:rPr>
                <w:rFonts w:hint="eastAsia" w:ascii="宋体" w:hAnsi="宋体" w:eastAsia="宋体" w:cs="宋体"/>
                <w:kern w:val="0"/>
                <w:sz w:val="22"/>
              </w:rPr>
              <w:t>口网络交换机、24吋显示器等</w:t>
            </w:r>
          </w:p>
        </w:tc>
        <w:tc>
          <w:tcPr>
            <w:tcW w:w="670" w:type="dxa"/>
            <w:tcBorders>
              <w:top w:val="nil"/>
              <w:left w:val="nil"/>
              <w:bottom w:val="single" w:color="auto" w:sz="4" w:space="0"/>
              <w:right w:val="single" w:color="auto" w:sz="4" w:space="0"/>
            </w:tcBorders>
            <w:shd w:val="clear" w:color="auto" w:fill="auto"/>
            <w:vAlign w:val="center"/>
          </w:tcPr>
          <w:p w14:paraId="4A1DD0A1">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3478F3CD">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7AE500D8">
            <w:pPr>
              <w:widowControl/>
              <w:suppressAutoHyphens w:val="0"/>
              <w:overflowPunct/>
              <w:rPr>
                <w:rFonts w:ascii="宋体" w:hAnsi="宋体" w:eastAsia="宋体" w:cs="宋体"/>
                <w:color w:val="000000"/>
                <w:kern w:val="0"/>
                <w:sz w:val="22"/>
              </w:rPr>
            </w:pPr>
          </w:p>
        </w:tc>
      </w:tr>
      <w:tr w14:paraId="08AE89FE">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1F663236">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7</w:t>
            </w:r>
            <w:r>
              <w:rPr>
                <w:rFonts w:ascii="宋体" w:hAnsi="宋体" w:eastAsia="宋体" w:cs="宋体"/>
                <w:color w:val="000000"/>
                <w:kern w:val="0"/>
                <w:sz w:val="22"/>
              </w:rPr>
              <w:t>9</w:t>
            </w:r>
          </w:p>
        </w:tc>
        <w:tc>
          <w:tcPr>
            <w:tcW w:w="2010" w:type="dxa"/>
            <w:tcBorders>
              <w:top w:val="nil"/>
              <w:left w:val="nil"/>
              <w:bottom w:val="single" w:color="auto" w:sz="4" w:space="0"/>
              <w:right w:val="single" w:color="auto" w:sz="4" w:space="0"/>
            </w:tcBorders>
            <w:shd w:val="clear" w:color="auto" w:fill="auto"/>
            <w:vAlign w:val="center"/>
          </w:tcPr>
          <w:p w14:paraId="4EA63A0B">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管理软件</w:t>
            </w:r>
          </w:p>
        </w:tc>
        <w:tc>
          <w:tcPr>
            <w:tcW w:w="4660" w:type="dxa"/>
            <w:tcBorders>
              <w:top w:val="nil"/>
              <w:left w:val="nil"/>
              <w:bottom w:val="single" w:color="auto" w:sz="4" w:space="0"/>
              <w:right w:val="single" w:color="auto" w:sz="4" w:space="0"/>
            </w:tcBorders>
            <w:shd w:val="clear" w:color="auto" w:fill="auto"/>
            <w:vAlign w:val="center"/>
          </w:tcPr>
          <w:p w14:paraId="7B91118F">
            <w:pPr>
              <w:widowControl/>
              <w:suppressAutoHyphens w:val="0"/>
              <w:overflowPunct/>
              <w:rPr>
                <w:rFonts w:ascii="Times New Roman" w:hAnsi="Times New Roman" w:eastAsia="宋体" w:cs="Times New Roman"/>
                <w:kern w:val="0"/>
                <w:sz w:val="22"/>
              </w:rPr>
            </w:pPr>
            <w:r>
              <w:rPr>
                <w:rFonts w:hint="eastAsia" w:ascii="宋体" w:hAnsi="宋体" w:eastAsia="宋体" w:cs="Times New Roman"/>
                <w:kern w:val="0"/>
                <w:sz w:val="22"/>
              </w:rPr>
              <w:t>集中监控、显示，数据查询、汇总分析，试验规范编制向导</w:t>
            </w:r>
          </w:p>
        </w:tc>
        <w:tc>
          <w:tcPr>
            <w:tcW w:w="670" w:type="dxa"/>
            <w:tcBorders>
              <w:top w:val="nil"/>
              <w:left w:val="nil"/>
              <w:bottom w:val="single" w:color="auto" w:sz="4" w:space="0"/>
              <w:right w:val="single" w:color="auto" w:sz="4" w:space="0"/>
            </w:tcBorders>
            <w:shd w:val="clear" w:color="auto" w:fill="auto"/>
            <w:vAlign w:val="center"/>
          </w:tcPr>
          <w:p w14:paraId="78CD0AE8">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6485BFA2">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148AFAE9">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23C863D4">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69C2FC96">
            <w:pPr>
              <w:widowControl/>
              <w:suppressAutoHyphens w:val="0"/>
              <w:overflowPunct/>
              <w:jc w:val="center"/>
              <w:rPr>
                <w:rFonts w:ascii="宋体" w:hAnsi="宋体" w:eastAsia="宋体" w:cs="宋体"/>
                <w:color w:val="000000"/>
                <w:kern w:val="0"/>
                <w:sz w:val="22"/>
              </w:rPr>
            </w:pPr>
            <w:r>
              <w:rPr>
                <w:rFonts w:ascii="宋体" w:hAnsi="宋体" w:eastAsia="宋体" w:cs="宋体"/>
                <w:color w:val="000000"/>
                <w:kern w:val="0"/>
                <w:sz w:val="22"/>
              </w:rPr>
              <w:t>80</w:t>
            </w:r>
          </w:p>
        </w:tc>
        <w:tc>
          <w:tcPr>
            <w:tcW w:w="2010" w:type="dxa"/>
            <w:tcBorders>
              <w:top w:val="nil"/>
              <w:left w:val="nil"/>
              <w:bottom w:val="single" w:color="auto" w:sz="4" w:space="0"/>
              <w:right w:val="single" w:color="auto" w:sz="4" w:space="0"/>
            </w:tcBorders>
            <w:shd w:val="clear" w:color="auto" w:fill="auto"/>
            <w:vAlign w:val="center"/>
          </w:tcPr>
          <w:p w14:paraId="2CE9C6A9">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数据服务器</w:t>
            </w:r>
          </w:p>
        </w:tc>
        <w:tc>
          <w:tcPr>
            <w:tcW w:w="4660" w:type="dxa"/>
            <w:tcBorders>
              <w:top w:val="nil"/>
              <w:left w:val="nil"/>
              <w:bottom w:val="single" w:color="auto" w:sz="4" w:space="0"/>
              <w:right w:val="single" w:color="auto" w:sz="4" w:space="0"/>
            </w:tcBorders>
            <w:shd w:val="clear" w:color="auto" w:fill="auto"/>
            <w:vAlign w:val="center"/>
          </w:tcPr>
          <w:p w14:paraId="16D9680A">
            <w:pPr>
              <w:widowControl/>
              <w:suppressAutoHyphens w:val="0"/>
              <w:overflowPunct/>
            </w:pPr>
            <w:r>
              <w:rPr>
                <w:rFonts w:hint="eastAsia" w:ascii="宋体" w:hAnsi="宋体" w:eastAsia="宋体" w:cs="宋体"/>
                <w:kern w:val="0"/>
                <w:sz w:val="22"/>
              </w:rPr>
              <w:t>配24吋显示器、键盘、鼠标，服务器专用机柜，联想服务器：</w:t>
            </w:r>
            <w:r>
              <w:rPr>
                <w:rFonts w:hint="eastAsia" w:ascii="宋体" w:hAnsi="宋体" w:eastAsia="宋体" w:cs="宋体"/>
                <w:kern w:val="0"/>
                <w:sz w:val="22"/>
              </w:rPr>
              <w:br w:type="textWrapping"/>
            </w:r>
            <w:r>
              <w:rPr>
                <w:rFonts w:hint="eastAsia" w:ascii="宋体" w:hAnsi="宋体" w:eastAsia="宋体" w:cs="宋体"/>
                <w:kern w:val="0"/>
                <w:sz w:val="22"/>
              </w:rPr>
              <w:t>CPU：Intel i7</w:t>
            </w:r>
            <w:r>
              <w:rPr>
                <w:rFonts w:hint="eastAsia" w:ascii="宋体" w:hAnsi="宋体" w:eastAsia="宋体" w:cs="宋体"/>
                <w:kern w:val="0"/>
                <w:sz w:val="22"/>
              </w:rPr>
              <w:br w:type="textWrapping"/>
            </w:r>
            <w:r>
              <w:rPr>
                <w:rFonts w:hint="eastAsia" w:ascii="宋体" w:hAnsi="宋体" w:eastAsia="宋体" w:cs="宋体"/>
                <w:kern w:val="0"/>
                <w:sz w:val="22"/>
              </w:rPr>
              <w:t>RAM：</w:t>
            </w:r>
            <w:r>
              <w:rPr>
                <w:rFonts w:ascii="宋体" w:hAnsi="宋体" w:eastAsia="宋体" w:cs="宋体"/>
                <w:kern w:val="0"/>
                <w:sz w:val="22"/>
              </w:rPr>
              <w:t>128</w:t>
            </w:r>
            <w:r>
              <w:rPr>
                <w:rFonts w:hint="eastAsia" w:ascii="宋体" w:hAnsi="宋体" w:eastAsia="宋体" w:cs="宋体"/>
                <w:kern w:val="0"/>
                <w:sz w:val="22"/>
              </w:rPr>
              <w:t>G</w:t>
            </w:r>
            <w:r>
              <w:rPr>
                <w:rFonts w:hint="eastAsia" w:ascii="宋体" w:hAnsi="宋体" w:eastAsia="宋体" w:cs="宋体"/>
                <w:kern w:val="0"/>
                <w:sz w:val="22"/>
              </w:rPr>
              <w:br w:type="textWrapping"/>
            </w:r>
            <w:r>
              <w:rPr>
                <w:rFonts w:hint="eastAsia" w:ascii="宋体" w:hAnsi="宋体" w:eastAsia="宋体" w:cs="宋体"/>
                <w:kern w:val="0"/>
                <w:sz w:val="22"/>
              </w:rPr>
              <w:t>硬盘：</w:t>
            </w:r>
            <w:r>
              <w:rPr>
                <w:rFonts w:ascii="宋体" w:hAnsi="宋体" w:eastAsia="宋体" w:cs="宋体"/>
                <w:kern w:val="0"/>
                <w:sz w:val="22"/>
              </w:rPr>
              <w:t>4</w:t>
            </w:r>
            <w:r>
              <w:rPr>
                <w:rFonts w:hint="eastAsia" w:ascii="宋体" w:hAnsi="宋体" w:eastAsia="宋体" w:cs="宋体"/>
                <w:kern w:val="0"/>
                <w:sz w:val="22"/>
              </w:rPr>
              <w:t>T（</w:t>
            </w:r>
            <w:r>
              <w:t>RAID 1阵列</w:t>
            </w:r>
            <w:r>
              <w:rPr>
                <w:rFonts w:hint="eastAsia"/>
              </w:rPr>
              <w:t>）</w:t>
            </w:r>
          </w:p>
          <w:p w14:paraId="5D5EC262">
            <w:pPr>
              <w:widowControl/>
              <w:suppressAutoHyphens w:val="0"/>
              <w:overflowPunct/>
              <w:rPr>
                <w:rFonts w:ascii="宋体" w:hAnsi="宋体" w:eastAsia="宋体" w:cs="宋体"/>
                <w:kern w:val="0"/>
                <w:sz w:val="22"/>
              </w:rPr>
            </w:pPr>
            <w:r>
              <w:rPr>
                <w:rFonts w:hint="eastAsia" w:ascii="宋体" w:hAnsi="宋体" w:eastAsia="宋体" w:cs="宋体"/>
                <w:kern w:val="0"/>
                <w:sz w:val="22"/>
              </w:rPr>
              <w:t>双千兆网卡</w:t>
            </w:r>
          </w:p>
        </w:tc>
        <w:tc>
          <w:tcPr>
            <w:tcW w:w="670" w:type="dxa"/>
            <w:tcBorders>
              <w:top w:val="nil"/>
              <w:left w:val="nil"/>
              <w:bottom w:val="single" w:color="auto" w:sz="4" w:space="0"/>
              <w:right w:val="single" w:color="auto" w:sz="4" w:space="0"/>
            </w:tcBorders>
            <w:shd w:val="clear" w:color="auto" w:fill="auto"/>
            <w:vAlign w:val="center"/>
          </w:tcPr>
          <w:p w14:paraId="1340B0BA">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40FF28B9">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1ED5D961">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77B23C60">
        <w:tblPrEx>
          <w:tblCellMar>
            <w:top w:w="0" w:type="dxa"/>
            <w:left w:w="108" w:type="dxa"/>
            <w:bottom w:w="0" w:type="dxa"/>
            <w:right w:w="108" w:type="dxa"/>
          </w:tblCellMar>
        </w:tblPrEx>
        <w:trPr>
          <w:trHeight w:val="399"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4C216DD6">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8</w:t>
            </w:r>
            <w:r>
              <w:rPr>
                <w:rFonts w:ascii="宋体" w:hAnsi="宋体" w:eastAsia="宋体" w:cs="宋体"/>
                <w:color w:val="000000"/>
                <w:kern w:val="0"/>
                <w:sz w:val="22"/>
              </w:rPr>
              <w:t>1</w:t>
            </w:r>
          </w:p>
        </w:tc>
        <w:tc>
          <w:tcPr>
            <w:tcW w:w="2010" w:type="dxa"/>
            <w:tcBorders>
              <w:top w:val="nil"/>
              <w:left w:val="nil"/>
              <w:bottom w:val="single" w:color="auto" w:sz="4" w:space="0"/>
              <w:right w:val="single" w:color="auto" w:sz="4" w:space="0"/>
            </w:tcBorders>
            <w:shd w:val="clear" w:color="auto" w:fill="auto"/>
            <w:vAlign w:val="center"/>
          </w:tcPr>
          <w:p w14:paraId="725370A2">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激光打印机</w:t>
            </w:r>
          </w:p>
        </w:tc>
        <w:tc>
          <w:tcPr>
            <w:tcW w:w="4660" w:type="dxa"/>
            <w:tcBorders>
              <w:top w:val="nil"/>
              <w:left w:val="nil"/>
              <w:bottom w:val="single" w:color="auto" w:sz="4" w:space="0"/>
              <w:right w:val="single" w:color="auto" w:sz="4" w:space="0"/>
            </w:tcBorders>
            <w:shd w:val="clear" w:color="auto" w:fill="auto"/>
            <w:vAlign w:val="center"/>
          </w:tcPr>
          <w:p w14:paraId="7C3B0040">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惠普P</w:t>
            </w:r>
            <w:r>
              <w:rPr>
                <w:rFonts w:ascii="宋体" w:hAnsi="宋体" w:eastAsia="宋体" w:cs="宋体"/>
                <w:color w:val="000000"/>
                <w:kern w:val="0"/>
                <w:sz w:val="22"/>
              </w:rPr>
              <w:t>1108</w:t>
            </w:r>
            <w:r>
              <w:rPr>
                <w:rFonts w:hint="eastAsia" w:ascii="宋体" w:hAnsi="宋体" w:eastAsia="宋体" w:cs="宋体"/>
                <w:color w:val="000000"/>
                <w:kern w:val="0"/>
                <w:sz w:val="22"/>
              </w:rPr>
              <w:t>，A4</w:t>
            </w:r>
          </w:p>
        </w:tc>
        <w:tc>
          <w:tcPr>
            <w:tcW w:w="670" w:type="dxa"/>
            <w:tcBorders>
              <w:top w:val="nil"/>
              <w:left w:val="nil"/>
              <w:bottom w:val="single" w:color="auto" w:sz="4" w:space="0"/>
              <w:right w:val="single" w:color="auto" w:sz="4" w:space="0"/>
            </w:tcBorders>
            <w:shd w:val="clear" w:color="auto" w:fill="auto"/>
            <w:vAlign w:val="center"/>
          </w:tcPr>
          <w:p w14:paraId="70DA0819">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台</w:t>
            </w:r>
          </w:p>
        </w:tc>
        <w:tc>
          <w:tcPr>
            <w:tcW w:w="580" w:type="dxa"/>
            <w:tcBorders>
              <w:top w:val="nil"/>
              <w:left w:val="nil"/>
              <w:bottom w:val="single" w:color="auto" w:sz="4" w:space="0"/>
              <w:right w:val="single" w:color="auto" w:sz="4" w:space="0"/>
            </w:tcBorders>
            <w:shd w:val="clear" w:color="auto" w:fill="auto"/>
            <w:vAlign w:val="center"/>
          </w:tcPr>
          <w:p w14:paraId="31D1D3F7">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331371EF">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048CE98C">
        <w:tblPrEx>
          <w:tblCellMar>
            <w:top w:w="0" w:type="dxa"/>
            <w:left w:w="108" w:type="dxa"/>
            <w:bottom w:w="0" w:type="dxa"/>
            <w:right w:w="108" w:type="dxa"/>
          </w:tblCellMar>
        </w:tblPrEx>
        <w:trPr>
          <w:trHeight w:val="3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49C6C5A0">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8</w:t>
            </w:r>
            <w:r>
              <w:rPr>
                <w:rFonts w:ascii="宋体" w:hAnsi="宋体" w:eastAsia="宋体" w:cs="宋体"/>
                <w:color w:val="000000"/>
                <w:kern w:val="0"/>
                <w:sz w:val="22"/>
              </w:rPr>
              <w:t>2</w:t>
            </w:r>
          </w:p>
        </w:tc>
        <w:tc>
          <w:tcPr>
            <w:tcW w:w="2010" w:type="dxa"/>
            <w:tcBorders>
              <w:top w:val="nil"/>
              <w:left w:val="nil"/>
              <w:bottom w:val="single" w:color="auto" w:sz="4" w:space="0"/>
              <w:right w:val="single" w:color="auto" w:sz="4" w:space="0"/>
            </w:tcBorders>
            <w:shd w:val="clear" w:color="auto" w:fill="auto"/>
            <w:vAlign w:val="center"/>
          </w:tcPr>
          <w:p w14:paraId="583E42FE">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不间断电源</w:t>
            </w:r>
          </w:p>
        </w:tc>
        <w:tc>
          <w:tcPr>
            <w:tcW w:w="4660" w:type="dxa"/>
            <w:tcBorders>
              <w:top w:val="nil"/>
              <w:left w:val="nil"/>
              <w:bottom w:val="single" w:color="auto" w:sz="4" w:space="0"/>
              <w:right w:val="single" w:color="auto" w:sz="4" w:space="0"/>
            </w:tcBorders>
            <w:shd w:val="clear" w:color="auto" w:fill="auto"/>
            <w:vAlign w:val="center"/>
          </w:tcPr>
          <w:p w14:paraId="6A0FEA68">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1000VA</w:t>
            </w:r>
          </w:p>
        </w:tc>
        <w:tc>
          <w:tcPr>
            <w:tcW w:w="670" w:type="dxa"/>
            <w:tcBorders>
              <w:top w:val="nil"/>
              <w:left w:val="nil"/>
              <w:bottom w:val="single" w:color="auto" w:sz="4" w:space="0"/>
              <w:right w:val="single" w:color="auto" w:sz="4" w:space="0"/>
            </w:tcBorders>
            <w:shd w:val="clear" w:color="auto" w:fill="auto"/>
            <w:vAlign w:val="center"/>
          </w:tcPr>
          <w:p w14:paraId="6C87036A">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台</w:t>
            </w:r>
          </w:p>
        </w:tc>
        <w:tc>
          <w:tcPr>
            <w:tcW w:w="580" w:type="dxa"/>
            <w:tcBorders>
              <w:top w:val="nil"/>
              <w:left w:val="nil"/>
              <w:bottom w:val="single" w:color="auto" w:sz="4" w:space="0"/>
              <w:right w:val="single" w:color="auto" w:sz="4" w:space="0"/>
            </w:tcBorders>
            <w:shd w:val="clear" w:color="auto" w:fill="auto"/>
            <w:vAlign w:val="center"/>
          </w:tcPr>
          <w:p w14:paraId="4D1A9597">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4FDE926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39583D42">
        <w:tblPrEx>
          <w:tblCellMar>
            <w:top w:w="0" w:type="dxa"/>
            <w:left w:w="108" w:type="dxa"/>
            <w:bottom w:w="0" w:type="dxa"/>
            <w:right w:w="108" w:type="dxa"/>
          </w:tblCellMar>
        </w:tblPrEx>
        <w:trPr>
          <w:trHeight w:val="3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01A5193B">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8</w:t>
            </w:r>
            <w:r>
              <w:rPr>
                <w:rFonts w:ascii="宋体" w:hAnsi="宋体" w:eastAsia="宋体" w:cs="宋体"/>
                <w:color w:val="000000"/>
                <w:kern w:val="0"/>
                <w:sz w:val="22"/>
              </w:rPr>
              <w:t>3</w:t>
            </w:r>
          </w:p>
        </w:tc>
        <w:tc>
          <w:tcPr>
            <w:tcW w:w="2010" w:type="dxa"/>
            <w:tcBorders>
              <w:top w:val="nil"/>
              <w:left w:val="nil"/>
              <w:bottom w:val="single" w:color="auto" w:sz="4" w:space="0"/>
              <w:right w:val="single" w:color="auto" w:sz="4" w:space="0"/>
            </w:tcBorders>
            <w:shd w:val="clear" w:color="auto" w:fill="auto"/>
            <w:vAlign w:val="center"/>
          </w:tcPr>
          <w:p w14:paraId="4750201D">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网络交换机及布线</w:t>
            </w:r>
          </w:p>
        </w:tc>
        <w:tc>
          <w:tcPr>
            <w:tcW w:w="4660" w:type="dxa"/>
            <w:tcBorders>
              <w:top w:val="nil"/>
              <w:left w:val="nil"/>
              <w:bottom w:val="single" w:color="auto" w:sz="4" w:space="0"/>
              <w:right w:val="single" w:color="auto" w:sz="4" w:space="0"/>
            </w:tcBorders>
            <w:shd w:val="clear" w:color="auto" w:fill="auto"/>
            <w:vAlign w:val="center"/>
          </w:tcPr>
          <w:p w14:paraId="5F3606D1">
            <w:pPr>
              <w:widowControl/>
              <w:suppressAutoHyphens w:val="0"/>
              <w:overflowPunct/>
              <w:rPr>
                <w:rFonts w:ascii="宋体" w:hAnsi="宋体" w:eastAsia="宋体" w:cs="宋体"/>
                <w:kern w:val="0"/>
                <w:sz w:val="22"/>
              </w:rPr>
            </w:pPr>
            <w:r>
              <w:rPr>
                <w:rFonts w:hint="eastAsia" w:ascii="宋体" w:hAnsi="宋体" w:eastAsia="宋体" w:cs="宋体"/>
                <w:kern w:val="0"/>
                <w:sz w:val="22"/>
              </w:rPr>
              <w:t>48口华为三层交换机，超6类屏蔽网线，布至各台架</w:t>
            </w:r>
          </w:p>
        </w:tc>
        <w:tc>
          <w:tcPr>
            <w:tcW w:w="670" w:type="dxa"/>
            <w:tcBorders>
              <w:top w:val="nil"/>
              <w:left w:val="nil"/>
              <w:bottom w:val="single" w:color="auto" w:sz="4" w:space="0"/>
              <w:right w:val="single" w:color="auto" w:sz="4" w:space="0"/>
            </w:tcBorders>
            <w:shd w:val="clear" w:color="auto" w:fill="auto"/>
            <w:vAlign w:val="center"/>
          </w:tcPr>
          <w:p w14:paraId="610F39C7">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741A505E">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4978A280">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31067C88">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5C1E1757">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8</w:t>
            </w:r>
            <w:r>
              <w:rPr>
                <w:rFonts w:ascii="宋体" w:hAnsi="宋体" w:eastAsia="宋体" w:cs="宋体"/>
                <w:color w:val="000000"/>
                <w:kern w:val="0"/>
                <w:sz w:val="22"/>
              </w:rPr>
              <w:t>4</w:t>
            </w:r>
          </w:p>
        </w:tc>
        <w:tc>
          <w:tcPr>
            <w:tcW w:w="2010" w:type="dxa"/>
            <w:tcBorders>
              <w:top w:val="nil"/>
              <w:left w:val="nil"/>
              <w:bottom w:val="single" w:color="auto" w:sz="4" w:space="0"/>
              <w:right w:val="single" w:color="auto" w:sz="4" w:space="0"/>
            </w:tcBorders>
            <w:shd w:val="clear" w:color="auto" w:fill="auto"/>
            <w:vAlign w:val="center"/>
          </w:tcPr>
          <w:p w14:paraId="3D7B7052">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线缆线槽</w:t>
            </w:r>
          </w:p>
        </w:tc>
        <w:tc>
          <w:tcPr>
            <w:tcW w:w="4660" w:type="dxa"/>
            <w:tcBorders>
              <w:top w:val="nil"/>
              <w:left w:val="nil"/>
              <w:bottom w:val="single" w:color="auto" w:sz="4" w:space="0"/>
              <w:right w:val="single" w:color="auto" w:sz="4" w:space="0"/>
            </w:tcBorders>
            <w:shd w:val="clear" w:color="auto" w:fill="auto"/>
            <w:vAlign w:val="center"/>
          </w:tcPr>
          <w:p w14:paraId="3FEF69E4">
            <w:pPr>
              <w:widowControl/>
              <w:suppressAutoHyphens w:val="0"/>
              <w:overflowPunct/>
              <w:rPr>
                <w:rFonts w:ascii="宋体" w:hAnsi="宋体" w:eastAsia="宋体" w:cs="宋体"/>
                <w:kern w:val="0"/>
                <w:sz w:val="22"/>
              </w:rPr>
            </w:pPr>
            <w:r>
              <w:rPr>
                <w:rFonts w:hint="eastAsia" w:ascii="宋体" w:hAnsi="宋体" w:eastAsia="宋体" w:cs="宋体"/>
                <w:kern w:val="0"/>
                <w:sz w:val="22"/>
              </w:rPr>
              <w:t>中控室至各台架</w:t>
            </w:r>
          </w:p>
        </w:tc>
        <w:tc>
          <w:tcPr>
            <w:tcW w:w="670" w:type="dxa"/>
            <w:tcBorders>
              <w:top w:val="nil"/>
              <w:left w:val="nil"/>
              <w:bottom w:val="single" w:color="auto" w:sz="4" w:space="0"/>
              <w:right w:val="single" w:color="auto" w:sz="4" w:space="0"/>
            </w:tcBorders>
            <w:shd w:val="clear" w:color="auto" w:fill="auto"/>
            <w:vAlign w:val="center"/>
          </w:tcPr>
          <w:p w14:paraId="06ED194C">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7B912A62">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7C38F772">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0DB38E20">
        <w:tblPrEx>
          <w:tblCellMar>
            <w:top w:w="0" w:type="dxa"/>
            <w:left w:w="108" w:type="dxa"/>
            <w:bottom w:w="0" w:type="dxa"/>
            <w:right w:w="108" w:type="dxa"/>
          </w:tblCellMar>
        </w:tblPrEx>
        <w:trPr>
          <w:trHeight w:val="411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29E81E5E">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8</w:t>
            </w:r>
            <w:r>
              <w:rPr>
                <w:rFonts w:ascii="宋体" w:hAnsi="宋体" w:eastAsia="宋体" w:cs="宋体"/>
                <w:color w:val="000000"/>
                <w:kern w:val="0"/>
                <w:sz w:val="22"/>
              </w:rPr>
              <w:t>5</w:t>
            </w:r>
          </w:p>
        </w:tc>
        <w:tc>
          <w:tcPr>
            <w:tcW w:w="2010" w:type="dxa"/>
            <w:tcBorders>
              <w:top w:val="nil"/>
              <w:left w:val="nil"/>
              <w:bottom w:val="single" w:color="auto" w:sz="4" w:space="0"/>
              <w:right w:val="single" w:color="auto" w:sz="4" w:space="0"/>
            </w:tcBorders>
            <w:shd w:val="clear" w:color="auto" w:fill="auto"/>
            <w:vAlign w:val="center"/>
          </w:tcPr>
          <w:p w14:paraId="4630FF81">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配电柜1</w:t>
            </w:r>
          </w:p>
        </w:tc>
        <w:tc>
          <w:tcPr>
            <w:tcW w:w="4660" w:type="dxa"/>
            <w:tcBorders>
              <w:top w:val="nil"/>
              <w:left w:val="nil"/>
              <w:bottom w:val="single" w:color="auto" w:sz="4" w:space="0"/>
              <w:right w:val="single" w:color="auto" w:sz="4" w:space="0"/>
            </w:tcBorders>
            <w:shd w:val="clear" w:color="auto" w:fill="auto"/>
            <w:vAlign w:val="center"/>
          </w:tcPr>
          <w:p w14:paraId="08045B79">
            <w:pPr>
              <w:widowControl/>
              <w:suppressAutoHyphens w:val="0"/>
              <w:overflowPunct/>
              <w:rPr>
                <w:rFonts w:ascii="Times New Roman" w:hAnsi="Times New Roman" w:eastAsia="宋体" w:cs="Times New Roman"/>
                <w:kern w:val="0"/>
                <w:sz w:val="22"/>
              </w:rPr>
            </w:pPr>
            <w:r>
              <w:rPr>
                <w:rFonts w:hint="eastAsia" w:ascii="宋体" w:hAnsi="宋体" w:eastAsia="宋体" w:cs="Times New Roman"/>
                <w:kern w:val="0"/>
                <w:sz w:val="22"/>
              </w:rPr>
              <w:t>配装两台断路器：</w:t>
            </w:r>
            <w:r>
              <w:rPr>
                <w:rFonts w:ascii="Times New Roman" w:hAnsi="Times New Roman" w:eastAsia="宋体" w:cs="Times New Roman"/>
                <w:kern w:val="0"/>
                <w:sz w:val="22"/>
              </w:rPr>
              <w:br w:type="textWrapping"/>
            </w:r>
            <w:r>
              <w:rPr>
                <w:rFonts w:ascii="Times New Roman" w:hAnsi="Times New Roman" w:eastAsia="宋体" w:cs="Times New Roman"/>
                <w:kern w:val="0"/>
                <w:sz w:val="22"/>
              </w:rPr>
              <w:t>1.</w:t>
            </w:r>
            <w:r>
              <w:rPr>
                <w:rFonts w:hint="eastAsia" w:ascii="宋体" w:hAnsi="宋体" w:eastAsia="宋体" w:cs="Times New Roman"/>
                <w:kern w:val="0"/>
                <w:sz w:val="22"/>
              </w:rPr>
              <w:t>框架断路器</w:t>
            </w:r>
            <w:r>
              <w:rPr>
                <w:rFonts w:ascii="Times New Roman" w:hAnsi="Times New Roman" w:eastAsia="宋体" w:cs="Times New Roman"/>
                <w:kern w:val="0"/>
                <w:sz w:val="22"/>
              </w:rPr>
              <w:t>2</w:t>
            </w:r>
            <w:r>
              <w:rPr>
                <w:rFonts w:hint="eastAsia" w:ascii="宋体" w:hAnsi="宋体" w:eastAsia="宋体" w:cs="Times New Roman"/>
                <w:kern w:val="0"/>
                <w:sz w:val="22"/>
              </w:rPr>
              <w:t>件，</w:t>
            </w:r>
            <w:r>
              <w:rPr>
                <w:rFonts w:ascii="Times New Roman" w:hAnsi="Times New Roman" w:eastAsia="宋体" w:cs="Times New Roman"/>
                <w:kern w:val="0"/>
                <w:sz w:val="22"/>
              </w:rPr>
              <w:t>CW3-1000/3P-1000A EA35/</w:t>
            </w:r>
            <w:r>
              <w:rPr>
                <w:rFonts w:hint="eastAsia" w:ascii="宋体" w:hAnsi="宋体" w:eastAsia="宋体" w:cs="Times New Roman"/>
                <w:kern w:val="0"/>
                <w:sz w:val="22"/>
              </w:rPr>
              <w:t>抽屉式</w:t>
            </w:r>
            <w:r>
              <w:rPr>
                <w:rFonts w:ascii="Times New Roman" w:hAnsi="Times New Roman" w:eastAsia="宋体" w:cs="Times New Roman"/>
                <w:kern w:val="0"/>
                <w:sz w:val="22"/>
              </w:rPr>
              <w:t xml:space="preserve"> </w:t>
            </w:r>
            <w:r>
              <w:rPr>
                <w:rFonts w:hint="eastAsia" w:ascii="宋体" w:hAnsi="宋体" w:eastAsia="宋体" w:cs="Times New Roman"/>
                <w:kern w:val="0"/>
                <w:sz w:val="22"/>
              </w:rPr>
              <w:t>控制电压</w:t>
            </w:r>
            <w:r>
              <w:rPr>
                <w:rFonts w:ascii="Times New Roman" w:hAnsi="Times New Roman" w:eastAsia="宋体" w:cs="Times New Roman"/>
                <w:kern w:val="0"/>
                <w:sz w:val="22"/>
              </w:rPr>
              <w:t>:AC230V/</w:t>
            </w:r>
            <w:r>
              <w:rPr>
                <w:rFonts w:hint="eastAsia" w:ascii="宋体" w:hAnsi="宋体" w:eastAsia="宋体" w:cs="Times New Roman"/>
                <w:kern w:val="0"/>
                <w:sz w:val="22"/>
              </w:rPr>
              <w:t>分励电压</w:t>
            </w:r>
            <w:r>
              <w:rPr>
                <w:rFonts w:ascii="Times New Roman" w:hAnsi="Times New Roman" w:eastAsia="宋体" w:cs="Times New Roman"/>
                <w:kern w:val="0"/>
                <w:sz w:val="22"/>
              </w:rPr>
              <w:t xml:space="preserve"> AC230V/</w:t>
            </w:r>
            <w:r>
              <w:rPr>
                <w:rFonts w:hint="eastAsia" w:ascii="宋体" w:hAnsi="宋体" w:eastAsia="宋体" w:cs="Times New Roman"/>
                <w:kern w:val="0"/>
                <w:sz w:val="22"/>
              </w:rPr>
              <w:t>合闸电压</w:t>
            </w:r>
            <w:r>
              <w:rPr>
                <w:rFonts w:ascii="Times New Roman" w:hAnsi="Times New Roman" w:eastAsia="宋体" w:cs="Times New Roman"/>
                <w:kern w:val="0"/>
                <w:sz w:val="22"/>
              </w:rPr>
              <w:t xml:space="preserve"> AC230V/</w:t>
            </w:r>
            <w:r>
              <w:rPr>
                <w:rFonts w:hint="eastAsia" w:ascii="宋体" w:hAnsi="宋体" w:eastAsia="宋体" w:cs="Times New Roman"/>
                <w:kern w:val="0"/>
                <w:sz w:val="22"/>
              </w:rPr>
              <w:t>电操电压</w:t>
            </w:r>
            <w:r>
              <w:rPr>
                <w:rFonts w:ascii="Times New Roman" w:hAnsi="Times New Roman" w:eastAsia="宋体" w:cs="Times New Roman"/>
                <w:kern w:val="0"/>
                <w:sz w:val="22"/>
              </w:rPr>
              <w:t xml:space="preserve"> AC230V 1</w:t>
            </w:r>
            <w:r>
              <w:rPr>
                <w:rFonts w:hint="eastAsia" w:ascii="宋体" w:hAnsi="宋体" w:eastAsia="宋体" w:cs="Times New Roman"/>
                <w:kern w:val="0"/>
                <w:sz w:val="22"/>
              </w:rPr>
              <w:t>组转换触头</w:t>
            </w:r>
            <w:r>
              <w:rPr>
                <w:rFonts w:ascii="Times New Roman" w:hAnsi="Times New Roman" w:eastAsia="宋体" w:cs="Times New Roman"/>
                <w:kern w:val="0"/>
                <w:sz w:val="22"/>
              </w:rPr>
              <w:t>+FXG</w:t>
            </w:r>
            <w:r>
              <w:rPr>
                <w:rFonts w:hint="eastAsia" w:ascii="宋体" w:hAnsi="宋体" w:eastAsia="宋体" w:cs="Times New Roman"/>
                <w:kern w:val="0"/>
                <w:sz w:val="22"/>
              </w:rPr>
              <w:t>相间隔板</w:t>
            </w:r>
            <w:r>
              <w:rPr>
                <w:rFonts w:ascii="Times New Roman" w:hAnsi="Times New Roman" w:eastAsia="宋体" w:cs="Times New Roman"/>
                <w:kern w:val="0"/>
                <w:sz w:val="22"/>
              </w:rPr>
              <w:t>+</w:t>
            </w:r>
            <w:r>
              <w:rPr>
                <w:rFonts w:hint="eastAsia" w:ascii="宋体" w:hAnsi="宋体" w:eastAsia="宋体" w:cs="Times New Roman"/>
                <w:kern w:val="0"/>
                <w:sz w:val="22"/>
              </w:rPr>
              <w:t>专用电源模块</w:t>
            </w:r>
            <w:r>
              <w:rPr>
                <w:rFonts w:ascii="Times New Roman" w:hAnsi="Times New Roman" w:eastAsia="宋体" w:cs="Times New Roman"/>
                <w:kern w:val="0"/>
                <w:sz w:val="22"/>
              </w:rPr>
              <w:t>/AC230V</w:t>
            </w:r>
            <w:r>
              <w:rPr>
                <w:rFonts w:hint="eastAsia" w:ascii="宋体" w:hAnsi="宋体" w:eastAsia="宋体" w:cs="Times New Roman"/>
                <w:kern w:val="0"/>
                <w:sz w:val="22"/>
              </w:rPr>
              <w:t>，江苏常熟；</w:t>
            </w:r>
            <w:r>
              <w:rPr>
                <w:rFonts w:hint="eastAsia" w:ascii="宋体" w:hAnsi="宋体" w:eastAsia="宋体" w:cs="Times New Roman"/>
                <w:kern w:val="0"/>
                <w:sz w:val="22"/>
              </w:rPr>
              <w:br w:type="textWrapping"/>
            </w:r>
            <w:r>
              <w:rPr>
                <w:rFonts w:ascii="Times New Roman" w:hAnsi="Times New Roman" w:eastAsia="宋体" w:cs="Times New Roman"/>
                <w:kern w:val="0"/>
                <w:sz w:val="22"/>
              </w:rPr>
              <w:t>2.</w:t>
            </w:r>
            <w:r>
              <w:rPr>
                <w:rFonts w:hint="eastAsia" w:ascii="宋体" w:hAnsi="宋体" w:eastAsia="宋体" w:cs="Times New Roman"/>
                <w:kern w:val="0"/>
                <w:sz w:val="22"/>
              </w:rPr>
              <w:t>电流互感器</w:t>
            </w:r>
            <w:r>
              <w:rPr>
                <w:rFonts w:ascii="Times New Roman" w:hAnsi="Times New Roman" w:eastAsia="宋体" w:cs="Times New Roman"/>
                <w:kern w:val="0"/>
                <w:sz w:val="22"/>
              </w:rPr>
              <w:t>6</w:t>
            </w:r>
            <w:r>
              <w:rPr>
                <w:rFonts w:hint="eastAsia" w:ascii="宋体" w:hAnsi="宋体" w:eastAsia="宋体" w:cs="Times New Roman"/>
                <w:kern w:val="0"/>
                <w:sz w:val="22"/>
              </w:rPr>
              <w:t>件，</w:t>
            </w:r>
            <w:r>
              <w:rPr>
                <w:rFonts w:ascii="Times New Roman" w:hAnsi="Times New Roman" w:eastAsia="宋体" w:cs="Times New Roman"/>
                <w:kern w:val="0"/>
                <w:sz w:val="22"/>
              </w:rPr>
              <w:t>BH0.66-1000/5A</w:t>
            </w:r>
            <w:r>
              <w:rPr>
                <w:rFonts w:hint="eastAsia" w:ascii="宋体" w:hAnsi="宋体" w:eastAsia="宋体" w:cs="Times New Roman"/>
                <w:kern w:val="0"/>
                <w:sz w:val="22"/>
              </w:rPr>
              <w:t>，浙江正泰；</w:t>
            </w:r>
            <w:r>
              <w:rPr>
                <w:rFonts w:hint="eastAsia" w:ascii="宋体" w:hAnsi="宋体" w:eastAsia="宋体" w:cs="Times New Roman"/>
                <w:kern w:val="0"/>
                <w:sz w:val="22"/>
              </w:rPr>
              <w:br w:type="textWrapping"/>
            </w:r>
            <w:r>
              <w:rPr>
                <w:rFonts w:ascii="Times New Roman" w:hAnsi="Times New Roman" w:eastAsia="宋体" w:cs="Times New Roman"/>
                <w:kern w:val="0"/>
                <w:sz w:val="22"/>
              </w:rPr>
              <w:t>3.</w:t>
            </w:r>
            <w:r>
              <w:rPr>
                <w:rFonts w:hint="eastAsia" w:ascii="宋体" w:hAnsi="宋体" w:eastAsia="宋体" w:cs="Times New Roman"/>
                <w:kern w:val="0"/>
                <w:sz w:val="22"/>
              </w:rPr>
              <w:t>多功能电表</w:t>
            </w:r>
            <w:r>
              <w:rPr>
                <w:rFonts w:ascii="Times New Roman" w:hAnsi="Times New Roman" w:eastAsia="宋体" w:cs="Times New Roman"/>
                <w:kern w:val="0"/>
                <w:sz w:val="22"/>
              </w:rPr>
              <w:t>2</w:t>
            </w:r>
            <w:r>
              <w:rPr>
                <w:rFonts w:hint="eastAsia" w:ascii="宋体" w:hAnsi="宋体" w:eastAsia="宋体" w:cs="Times New Roman"/>
                <w:kern w:val="0"/>
                <w:sz w:val="22"/>
              </w:rPr>
              <w:t>件，江苏斯菲尔</w:t>
            </w:r>
            <w:r>
              <w:rPr>
                <w:rFonts w:ascii="Times New Roman" w:hAnsi="Times New Roman" w:eastAsia="宋体" w:cs="Times New Roman"/>
                <w:kern w:val="0"/>
                <w:sz w:val="22"/>
              </w:rPr>
              <w:t>PD194Z-2SY</w:t>
            </w:r>
            <w:r>
              <w:rPr>
                <w:rFonts w:hint="eastAsia" w:ascii="宋体" w:hAnsi="宋体" w:eastAsia="宋体" w:cs="Times New Roman"/>
                <w:kern w:val="0"/>
                <w:sz w:val="22"/>
              </w:rPr>
              <w:t>；</w:t>
            </w:r>
            <w:r>
              <w:rPr>
                <w:rFonts w:hint="eastAsia" w:ascii="宋体" w:hAnsi="宋体" w:eastAsia="宋体" w:cs="Times New Roman"/>
                <w:kern w:val="0"/>
                <w:sz w:val="22"/>
              </w:rPr>
              <w:br w:type="textWrapping"/>
            </w:r>
            <w:r>
              <w:rPr>
                <w:rFonts w:ascii="Times New Roman" w:hAnsi="Times New Roman" w:eastAsia="宋体" w:cs="Times New Roman"/>
                <w:kern w:val="0"/>
                <w:sz w:val="22"/>
              </w:rPr>
              <w:t>4.</w:t>
            </w:r>
            <w:r>
              <w:rPr>
                <w:rFonts w:hint="eastAsia" w:ascii="宋体" w:hAnsi="宋体" w:eastAsia="宋体" w:cs="Times New Roman"/>
                <w:kern w:val="0"/>
                <w:sz w:val="22"/>
              </w:rPr>
              <w:t>指示灯</w:t>
            </w:r>
            <w:r>
              <w:rPr>
                <w:rFonts w:ascii="Times New Roman" w:hAnsi="Times New Roman" w:eastAsia="宋体" w:cs="Times New Roman"/>
                <w:kern w:val="0"/>
                <w:sz w:val="22"/>
              </w:rPr>
              <w:t>6</w:t>
            </w:r>
            <w:r>
              <w:rPr>
                <w:rFonts w:hint="eastAsia" w:ascii="宋体" w:hAnsi="宋体" w:eastAsia="宋体" w:cs="Times New Roman"/>
                <w:kern w:val="0"/>
                <w:sz w:val="22"/>
              </w:rPr>
              <w:t>只、按钮</w:t>
            </w:r>
            <w:r>
              <w:rPr>
                <w:rFonts w:ascii="Times New Roman" w:hAnsi="Times New Roman" w:eastAsia="宋体" w:cs="Times New Roman"/>
                <w:kern w:val="0"/>
                <w:sz w:val="22"/>
              </w:rPr>
              <w:t>4</w:t>
            </w:r>
            <w:r>
              <w:rPr>
                <w:rFonts w:hint="eastAsia" w:ascii="宋体" w:hAnsi="宋体" w:eastAsia="宋体" w:cs="Times New Roman"/>
                <w:kern w:val="0"/>
                <w:sz w:val="22"/>
              </w:rPr>
              <w:t>只、熔断器</w:t>
            </w:r>
            <w:r>
              <w:rPr>
                <w:rFonts w:ascii="Times New Roman" w:hAnsi="Times New Roman" w:eastAsia="宋体" w:cs="Times New Roman"/>
                <w:kern w:val="0"/>
                <w:sz w:val="22"/>
              </w:rPr>
              <w:t>10</w:t>
            </w:r>
            <w:r>
              <w:rPr>
                <w:rFonts w:hint="eastAsia" w:ascii="宋体" w:hAnsi="宋体" w:eastAsia="宋体" w:cs="Times New Roman"/>
                <w:kern w:val="0"/>
                <w:sz w:val="22"/>
              </w:rPr>
              <w:t>套，浙江正泰；</w:t>
            </w:r>
            <w:r>
              <w:rPr>
                <w:rFonts w:hint="eastAsia" w:ascii="宋体" w:hAnsi="宋体" w:eastAsia="宋体" w:cs="Times New Roman"/>
                <w:kern w:val="0"/>
                <w:sz w:val="22"/>
              </w:rPr>
              <w:br w:type="textWrapping"/>
            </w:r>
            <w:r>
              <w:rPr>
                <w:rFonts w:ascii="Times New Roman" w:hAnsi="Times New Roman" w:eastAsia="宋体" w:cs="Times New Roman"/>
                <w:kern w:val="0"/>
                <w:sz w:val="22"/>
              </w:rPr>
              <w:t>5.</w:t>
            </w:r>
            <w:r>
              <w:rPr>
                <w:rFonts w:hint="eastAsia" w:ascii="宋体" w:hAnsi="宋体" w:eastAsia="宋体" w:cs="Times New Roman"/>
                <w:kern w:val="0"/>
                <w:sz w:val="22"/>
              </w:rPr>
              <w:t>铜排、端子、导线、二次元件；</w:t>
            </w:r>
            <w:r>
              <w:rPr>
                <w:rFonts w:hint="eastAsia" w:ascii="宋体" w:hAnsi="宋体" w:eastAsia="宋体" w:cs="Times New Roman"/>
                <w:kern w:val="0"/>
                <w:sz w:val="22"/>
              </w:rPr>
              <w:br w:type="textWrapping"/>
            </w:r>
            <w:r>
              <w:rPr>
                <w:rFonts w:ascii="Times New Roman" w:hAnsi="Times New Roman" w:eastAsia="宋体" w:cs="Times New Roman"/>
                <w:kern w:val="0"/>
                <w:sz w:val="22"/>
              </w:rPr>
              <w:t>6.</w:t>
            </w:r>
            <w:r>
              <w:rPr>
                <w:rFonts w:hint="eastAsia" w:ascii="宋体" w:hAnsi="宋体" w:eastAsia="宋体" w:cs="Times New Roman"/>
                <w:kern w:val="0"/>
                <w:sz w:val="22"/>
              </w:rPr>
              <w:t>柜体</w:t>
            </w:r>
            <w:r>
              <w:rPr>
                <w:rFonts w:ascii="Times New Roman" w:hAnsi="Times New Roman" w:eastAsia="宋体" w:cs="Times New Roman"/>
                <w:kern w:val="0"/>
                <w:sz w:val="22"/>
              </w:rPr>
              <w:t>1</w:t>
            </w:r>
            <w:r>
              <w:rPr>
                <w:rFonts w:hint="eastAsia" w:ascii="宋体" w:hAnsi="宋体" w:eastAsia="宋体" w:cs="Times New Roman"/>
                <w:kern w:val="0"/>
                <w:sz w:val="22"/>
              </w:rPr>
              <w:t>件，</w:t>
            </w:r>
            <w:r>
              <w:rPr>
                <w:rFonts w:ascii="Times New Roman" w:hAnsi="Times New Roman" w:eastAsia="宋体" w:cs="Times New Roman"/>
                <w:kern w:val="0"/>
                <w:sz w:val="22"/>
              </w:rPr>
              <w:t>800*1000*2200</w:t>
            </w:r>
            <w:r>
              <w:rPr>
                <w:rFonts w:hint="eastAsia" w:ascii="宋体" w:hAnsi="宋体" w:eastAsia="宋体" w:cs="Times New Roman"/>
                <w:kern w:val="0"/>
                <w:sz w:val="22"/>
              </w:rPr>
              <w:t>。柜体可利旧。</w:t>
            </w:r>
            <w:r>
              <w:rPr>
                <w:rFonts w:hint="eastAsia" w:ascii="宋体" w:hAnsi="宋体" w:eastAsia="宋体" w:cs="Times New Roman"/>
                <w:kern w:val="0"/>
                <w:sz w:val="22"/>
              </w:rPr>
              <w:br w:type="textWrapping"/>
            </w:r>
            <w:r>
              <w:rPr>
                <w:rFonts w:ascii="Times New Roman" w:hAnsi="Times New Roman" w:eastAsia="宋体" w:cs="Times New Roman"/>
                <w:kern w:val="0"/>
                <w:sz w:val="22"/>
              </w:rPr>
              <w:t>7.</w:t>
            </w:r>
            <w:r>
              <w:rPr>
                <w:rFonts w:hint="eastAsia" w:ascii="宋体" w:hAnsi="宋体" w:eastAsia="宋体" w:cs="Times New Roman"/>
                <w:kern w:val="0"/>
                <w:sz w:val="22"/>
              </w:rPr>
              <w:t>远传台架端串联控制，每台架</w:t>
            </w:r>
            <w:r>
              <w:rPr>
                <w:rFonts w:ascii="Times New Roman" w:hAnsi="Times New Roman" w:eastAsia="宋体" w:cs="Times New Roman"/>
                <w:kern w:val="0"/>
                <w:sz w:val="22"/>
              </w:rPr>
              <w:t>1</w:t>
            </w:r>
            <w:r>
              <w:rPr>
                <w:rFonts w:hint="eastAsia" w:ascii="宋体" w:hAnsi="宋体" w:eastAsia="宋体" w:cs="Times New Roman"/>
                <w:kern w:val="0"/>
                <w:sz w:val="22"/>
              </w:rPr>
              <w:t>项。</w:t>
            </w:r>
          </w:p>
        </w:tc>
        <w:tc>
          <w:tcPr>
            <w:tcW w:w="670" w:type="dxa"/>
            <w:tcBorders>
              <w:top w:val="nil"/>
              <w:left w:val="nil"/>
              <w:bottom w:val="single" w:color="auto" w:sz="4" w:space="0"/>
              <w:right w:val="single" w:color="auto" w:sz="4" w:space="0"/>
            </w:tcBorders>
            <w:shd w:val="clear" w:color="auto" w:fill="auto"/>
            <w:vAlign w:val="center"/>
          </w:tcPr>
          <w:p w14:paraId="2357DABE">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52526F0D">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4</w:t>
            </w:r>
          </w:p>
        </w:tc>
        <w:tc>
          <w:tcPr>
            <w:tcW w:w="700" w:type="dxa"/>
            <w:tcBorders>
              <w:top w:val="nil"/>
              <w:left w:val="nil"/>
              <w:bottom w:val="single" w:color="auto" w:sz="4" w:space="0"/>
              <w:right w:val="single" w:color="auto" w:sz="4" w:space="0"/>
            </w:tcBorders>
            <w:shd w:val="clear" w:color="auto" w:fill="auto"/>
            <w:noWrap/>
            <w:vAlign w:val="center"/>
          </w:tcPr>
          <w:p w14:paraId="4D4E1C5C">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4FFE254F">
        <w:tblPrEx>
          <w:tblCellMar>
            <w:top w:w="0" w:type="dxa"/>
            <w:left w:w="108" w:type="dxa"/>
            <w:bottom w:w="0" w:type="dxa"/>
            <w:right w:w="108" w:type="dxa"/>
          </w:tblCellMar>
        </w:tblPrEx>
        <w:trPr>
          <w:trHeight w:val="408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5976CC2D">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8</w:t>
            </w:r>
            <w:r>
              <w:rPr>
                <w:rFonts w:ascii="宋体" w:hAnsi="宋体" w:eastAsia="宋体" w:cs="宋体"/>
                <w:color w:val="000000"/>
                <w:kern w:val="0"/>
                <w:sz w:val="22"/>
              </w:rPr>
              <w:t>6</w:t>
            </w:r>
          </w:p>
        </w:tc>
        <w:tc>
          <w:tcPr>
            <w:tcW w:w="2010" w:type="dxa"/>
            <w:tcBorders>
              <w:top w:val="nil"/>
              <w:left w:val="nil"/>
              <w:bottom w:val="single" w:color="auto" w:sz="4" w:space="0"/>
              <w:right w:val="single" w:color="auto" w:sz="4" w:space="0"/>
            </w:tcBorders>
            <w:shd w:val="clear" w:color="auto" w:fill="auto"/>
            <w:vAlign w:val="center"/>
          </w:tcPr>
          <w:p w14:paraId="5144C48B">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配电柜2</w:t>
            </w:r>
          </w:p>
        </w:tc>
        <w:tc>
          <w:tcPr>
            <w:tcW w:w="4660" w:type="dxa"/>
            <w:tcBorders>
              <w:top w:val="nil"/>
              <w:left w:val="nil"/>
              <w:bottom w:val="single" w:color="auto" w:sz="4" w:space="0"/>
              <w:right w:val="single" w:color="auto" w:sz="4" w:space="0"/>
            </w:tcBorders>
            <w:shd w:val="clear" w:color="auto" w:fill="auto"/>
            <w:vAlign w:val="center"/>
          </w:tcPr>
          <w:p w14:paraId="4E4BD165">
            <w:pPr>
              <w:widowControl/>
              <w:suppressAutoHyphens w:val="0"/>
              <w:overflowPunct/>
              <w:rPr>
                <w:rFonts w:ascii="Times New Roman" w:hAnsi="Times New Roman" w:eastAsia="宋体" w:cs="Times New Roman"/>
                <w:kern w:val="0"/>
                <w:sz w:val="22"/>
              </w:rPr>
            </w:pPr>
            <w:r>
              <w:rPr>
                <w:rFonts w:hint="eastAsia" w:ascii="宋体" w:hAnsi="宋体" w:eastAsia="宋体" w:cs="Times New Roman"/>
                <w:kern w:val="0"/>
                <w:sz w:val="22"/>
              </w:rPr>
              <w:t>配装一台断路器：</w:t>
            </w:r>
            <w:r>
              <w:rPr>
                <w:rFonts w:hint="eastAsia" w:ascii="宋体" w:hAnsi="宋体" w:eastAsia="宋体" w:cs="Times New Roman"/>
                <w:kern w:val="0"/>
                <w:sz w:val="22"/>
              </w:rPr>
              <w:br w:type="textWrapping"/>
            </w:r>
            <w:r>
              <w:rPr>
                <w:rFonts w:ascii="Times New Roman" w:hAnsi="Times New Roman" w:eastAsia="宋体" w:cs="Times New Roman"/>
                <w:kern w:val="0"/>
                <w:sz w:val="22"/>
              </w:rPr>
              <w:t>1.</w:t>
            </w:r>
            <w:r>
              <w:rPr>
                <w:rFonts w:hint="eastAsia" w:ascii="宋体" w:hAnsi="宋体" w:eastAsia="宋体" w:cs="Times New Roman"/>
                <w:kern w:val="0"/>
                <w:sz w:val="22"/>
              </w:rPr>
              <w:t>框架断路器</w:t>
            </w:r>
            <w:r>
              <w:rPr>
                <w:rFonts w:ascii="Times New Roman" w:hAnsi="Times New Roman" w:eastAsia="宋体" w:cs="Times New Roman"/>
                <w:kern w:val="0"/>
                <w:sz w:val="22"/>
              </w:rPr>
              <w:t>1</w:t>
            </w:r>
            <w:r>
              <w:rPr>
                <w:rFonts w:hint="eastAsia" w:ascii="宋体" w:hAnsi="宋体" w:eastAsia="宋体" w:cs="Times New Roman"/>
                <w:kern w:val="0"/>
                <w:sz w:val="22"/>
              </w:rPr>
              <w:t>件，</w:t>
            </w:r>
            <w:r>
              <w:rPr>
                <w:rFonts w:ascii="Times New Roman" w:hAnsi="Times New Roman" w:eastAsia="宋体" w:cs="Times New Roman"/>
                <w:kern w:val="0"/>
                <w:sz w:val="22"/>
              </w:rPr>
              <w:t>CW3-1000/3P-1000A EA35/</w:t>
            </w:r>
            <w:r>
              <w:rPr>
                <w:rFonts w:hint="eastAsia" w:ascii="宋体" w:hAnsi="宋体" w:eastAsia="宋体" w:cs="Times New Roman"/>
                <w:kern w:val="0"/>
                <w:sz w:val="22"/>
              </w:rPr>
              <w:t>抽屉式</w:t>
            </w:r>
            <w:r>
              <w:rPr>
                <w:rFonts w:ascii="Times New Roman" w:hAnsi="Times New Roman" w:eastAsia="宋体" w:cs="Times New Roman"/>
                <w:kern w:val="0"/>
                <w:sz w:val="22"/>
              </w:rPr>
              <w:t xml:space="preserve"> </w:t>
            </w:r>
            <w:r>
              <w:rPr>
                <w:rFonts w:hint="eastAsia" w:ascii="宋体" w:hAnsi="宋体" w:eastAsia="宋体" w:cs="Times New Roman"/>
                <w:kern w:val="0"/>
                <w:sz w:val="22"/>
              </w:rPr>
              <w:t>控制电压</w:t>
            </w:r>
            <w:r>
              <w:rPr>
                <w:rFonts w:ascii="Times New Roman" w:hAnsi="Times New Roman" w:eastAsia="宋体" w:cs="Times New Roman"/>
                <w:kern w:val="0"/>
                <w:sz w:val="22"/>
              </w:rPr>
              <w:t>:AC230V/</w:t>
            </w:r>
            <w:r>
              <w:rPr>
                <w:rFonts w:hint="eastAsia" w:ascii="宋体" w:hAnsi="宋体" w:eastAsia="宋体" w:cs="Times New Roman"/>
                <w:kern w:val="0"/>
                <w:sz w:val="22"/>
              </w:rPr>
              <w:t>分励电压</w:t>
            </w:r>
            <w:r>
              <w:rPr>
                <w:rFonts w:ascii="Times New Roman" w:hAnsi="Times New Roman" w:eastAsia="宋体" w:cs="Times New Roman"/>
                <w:kern w:val="0"/>
                <w:sz w:val="22"/>
              </w:rPr>
              <w:t xml:space="preserve"> AC230V/</w:t>
            </w:r>
            <w:r>
              <w:rPr>
                <w:rFonts w:hint="eastAsia" w:ascii="宋体" w:hAnsi="宋体" w:eastAsia="宋体" w:cs="Times New Roman"/>
                <w:kern w:val="0"/>
                <w:sz w:val="22"/>
              </w:rPr>
              <w:t>合闸电压</w:t>
            </w:r>
            <w:r>
              <w:rPr>
                <w:rFonts w:ascii="Times New Roman" w:hAnsi="Times New Roman" w:eastAsia="宋体" w:cs="Times New Roman"/>
                <w:kern w:val="0"/>
                <w:sz w:val="22"/>
              </w:rPr>
              <w:t xml:space="preserve"> AC230V/</w:t>
            </w:r>
            <w:r>
              <w:rPr>
                <w:rFonts w:hint="eastAsia" w:ascii="宋体" w:hAnsi="宋体" w:eastAsia="宋体" w:cs="Times New Roman"/>
                <w:kern w:val="0"/>
                <w:sz w:val="22"/>
              </w:rPr>
              <w:t>电操电压</w:t>
            </w:r>
            <w:r>
              <w:rPr>
                <w:rFonts w:ascii="Times New Roman" w:hAnsi="Times New Roman" w:eastAsia="宋体" w:cs="Times New Roman"/>
                <w:kern w:val="0"/>
                <w:sz w:val="22"/>
              </w:rPr>
              <w:t xml:space="preserve"> AC230V 4</w:t>
            </w:r>
            <w:r>
              <w:rPr>
                <w:rFonts w:hint="eastAsia" w:ascii="宋体" w:hAnsi="宋体" w:eastAsia="宋体" w:cs="Times New Roman"/>
                <w:kern w:val="0"/>
                <w:sz w:val="22"/>
              </w:rPr>
              <w:t>组转换触头</w:t>
            </w:r>
            <w:r>
              <w:rPr>
                <w:rFonts w:ascii="Times New Roman" w:hAnsi="Times New Roman" w:eastAsia="宋体" w:cs="Times New Roman"/>
                <w:kern w:val="0"/>
                <w:sz w:val="22"/>
              </w:rPr>
              <w:t>+FXG</w:t>
            </w:r>
            <w:r>
              <w:rPr>
                <w:rFonts w:hint="eastAsia" w:ascii="宋体" w:hAnsi="宋体" w:eastAsia="宋体" w:cs="Times New Roman"/>
                <w:kern w:val="0"/>
                <w:sz w:val="22"/>
              </w:rPr>
              <w:t>相间隔板</w:t>
            </w:r>
            <w:r>
              <w:rPr>
                <w:rFonts w:ascii="Times New Roman" w:hAnsi="Times New Roman" w:eastAsia="宋体" w:cs="Times New Roman"/>
                <w:kern w:val="0"/>
                <w:sz w:val="22"/>
              </w:rPr>
              <w:t>+</w:t>
            </w:r>
            <w:r>
              <w:rPr>
                <w:rFonts w:hint="eastAsia" w:ascii="宋体" w:hAnsi="宋体" w:eastAsia="宋体" w:cs="Times New Roman"/>
                <w:kern w:val="0"/>
                <w:sz w:val="22"/>
              </w:rPr>
              <w:t>专用电源模块</w:t>
            </w:r>
            <w:r>
              <w:rPr>
                <w:rFonts w:ascii="Times New Roman" w:hAnsi="Times New Roman" w:eastAsia="宋体" w:cs="Times New Roman"/>
                <w:kern w:val="0"/>
                <w:sz w:val="22"/>
              </w:rPr>
              <w:t>/AC230V</w:t>
            </w:r>
            <w:r>
              <w:rPr>
                <w:rFonts w:hint="eastAsia" w:ascii="宋体" w:hAnsi="宋体" w:eastAsia="宋体" w:cs="Times New Roman"/>
                <w:kern w:val="0"/>
                <w:sz w:val="22"/>
              </w:rPr>
              <w:t>，江苏常熟；</w:t>
            </w:r>
            <w:r>
              <w:rPr>
                <w:rFonts w:hint="eastAsia" w:ascii="宋体" w:hAnsi="宋体" w:eastAsia="宋体" w:cs="Times New Roman"/>
                <w:kern w:val="0"/>
                <w:sz w:val="22"/>
              </w:rPr>
              <w:br w:type="textWrapping"/>
            </w:r>
            <w:r>
              <w:rPr>
                <w:rFonts w:ascii="Times New Roman" w:hAnsi="Times New Roman" w:eastAsia="宋体" w:cs="Times New Roman"/>
                <w:kern w:val="0"/>
                <w:sz w:val="22"/>
              </w:rPr>
              <w:t>2.</w:t>
            </w:r>
            <w:r>
              <w:rPr>
                <w:rFonts w:hint="eastAsia" w:ascii="宋体" w:hAnsi="宋体" w:eastAsia="宋体" w:cs="Times New Roman"/>
                <w:kern w:val="0"/>
                <w:sz w:val="22"/>
              </w:rPr>
              <w:t>电流互感器</w:t>
            </w:r>
            <w:r>
              <w:rPr>
                <w:rFonts w:ascii="Times New Roman" w:hAnsi="Times New Roman" w:eastAsia="宋体" w:cs="Times New Roman"/>
                <w:kern w:val="0"/>
                <w:sz w:val="22"/>
              </w:rPr>
              <w:t>3</w:t>
            </w:r>
            <w:r>
              <w:rPr>
                <w:rFonts w:hint="eastAsia" w:ascii="宋体" w:hAnsi="宋体" w:eastAsia="宋体" w:cs="Times New Roman"/>
                <w:kern w:val="0"/>
                <w:sz w:val="22"/>
              </w:rPr>
              <w:t>件，</w:t>
            </w:r>
            <w:r>
              <w:rPr>
                <w:rFonts w:ascii="Times New Roman" w:hAnsi="Times New Roman" w:eastAsia="宋体" w:cs="Times New Roman"/>
                <w:kern w:val="0"/>
                <w:sz w:val="22"/>
              </w:rPr>
              <w:t>BH0.66-1000/5A</w:t>
            </w:r>
            <w:r>
              <w:rPr>
                <w:rFonts w:hint="eastAsia" w:ascii="宋体" w:hAnsi="宋体" w:eastAsia="宋体" w:cs="Times New Roman"/>
                <w:kern w:val="0"/>
                <w:sz w:val="22"/>
              </w:rPr>
              <w:t>，浙江正泰；</w:t>
            </w:r>
            <w:r>
              <w:rPr>
                <w:rFonts w:hint="eastAsia" w:ascii="宋体" w:hAnsi="宋体" w:eastAsia="宋体" w:cs="Times New Roman"/>
                <w:kern w:val="0"/>
                <w:sz w:val="22"/>
              </w:rPr>
              <w:br w:type="textWrapping"/>
            </w:r>
            <w:r>
              <w:rPr>
                <w:rFonts w:ascii="Times New Roman" w:hAnsi="Times New Roman" w:eastAsia="宋体" w:cs="Times New Roman"/>
                <w:kern w:val="0"/>
                <w:sz w:val="22"/>
              </w:rPr>
              <w:t>3.</w:t>
            </w:r>
            <w:r>
              <w:rPr>
                <w:rFonts w:hint="eastAsia" w:ascii="宋体" w:hAnsi="宋体" w:eastAsia="宋体" w:cs="Times New Roman"/>
                <w:kern w:val="0"/>
                <w:sz w:val="22"/>
              </w:rPr>
              <w:t>多功能电表</w:t>
            </w:r>
            <w:r>
              <w:rPr>
                <w:rFonts w:ascii="Times New Roman" w:hAnsi="Times New Roman" w:eastAsia="宋体" w:cs="Times New Roman"/>
                <w:kern w:val="0"/>
                <w:sz w:val="22"/>
              </w:rPr>
              <w:t>1</w:t>
            </w:r>
            <w:r>
              <w:rPr>
                <w:rFonts w:hint="eastAsia" w:ascii="宋体" w:hAnsi="宋体" w:eastAsia="宋体" w:cs="Times New Roman"/>
                <w:kern w:val="0"/>
                <w:sz w:val="22"/>
              </w:rPr>
              <w:t>件，江苏斯菲尔</w:t>
            </w:r>
            <w:r>
              <w:rPr>
                <w:rFonts w:ascii="Times New Roman" w:hAnsi="Times New Roman" w:eastAsia="宋体" w:cs="Times New Roman"/>
                <w:kern w:val="0"/>
                <w:sz w:val="22"/>
              </w:rPr>
              <w:t>PD194Z-2SY</w:t>
            </w:r>
            <w:r>
              <w:rPr>
                <w:rFonts w:hint="eastAsia" w:ascii="宋体" w:hAnsi="宋体" w:eastAsia="宋体" w:cs="Times New Roman"/>
                <w:kern w:val="0"/>
                <w:sz w:val="22"/>
              </w:rPr>
              <w:t>；</w:t>
            </w:r>
            <w:r>
              <w:rPr>
                <w:rFonts w:hint="eastAsia" w:ascii="宋体" w:hAnsi="宋体" w:eastAsia="宋体" w:cs="Times New Roman"/>
                <w:kern w:val="0"/>
                <w:sz w:val="22"/>
              </w:rPr>
              <w:br w:type="textWrapping"/>
            </w:r>
            <w:r>
              <w:rPr>
                <w:rFonts w:ascii="Times New Roman" w:hAnsi="Times New Roman" w:eastAsia="宋体" w:cs="Times New Roman"/>
                <w:kern w:val="0"/>
                <w:sz w:val="22"/>
              </w:rPr>
              <w:t>4.</w:t>
            </w:r>
            <w:r>
              <w:rPr>
                <w:rFonts w:hint="eastAsia" w:ascii="宋体" w:hAnsi="宋体" w:eastAsia="宋体" w:cs="Times New Roman"/>
                <w:kern w:val="0"/>
                <w:sz w:val="22"/>
              </w:rPr>
              <w:t>指示灯</w:t>
            </w:r>
            <w:r>
              <w:rPr>
                <w:rFonts w:ascii="Times New Roman" w:hAnsi="Times New Roman" w:eastAsia="宋体" w:cs="Times New Roman"/>
                <w:kern w:val="0"/>
                <w:sz w:val="22"/>
              </w:rPr>
              <w:t>3</w:t>
            </w:r>
            <w:r>
              <w:rPr>
                <w:rFonts w:hint="eastAsia" w:ascii="宋体" w:hAnsi="宋体" w:eastAsia="宋体" w:cs="Times New Roman"/>
                <w:kern w:val="0"/>
                <w:sz w:val="22"/>
              </w:rPr>
              <w:t>只、按钮</w:t>
            </w:r>
            <w:r>
              <w:rPr>
                <w:rFonts w:ascii="Times New Roman" w:hAnsi="Times New Roman" w:eastAsia="宋体" w:cs="Times New Roman"/>
                <w:kern w:val="0"/>
                <w:sz w:val="22"/>
              </w:rPr>
              <w:t>2</w:t>
            </w:r>
            <w:r>
              <w:rPr>
                <w:rFonts w:hint="eastAsia" w:ascii="宋体" w:hAnsi="宋体" w:eastAsia="宋体" w:cs="Times New Roman"/>
                <w:kern w:val="0"/>
                <w:sz w:val="22"/>
              </w:rPr>
              <w:t>只、熔断器</w:t>
            </w:r>
            <w:r>
              <w:rPr>
                <w:rFonts w:ascii="Times New Roman" w:hAnsi="Times New Roman" w:eastAsia="宋体" w:cs="Times New Roman"/>
                <w:kern w:val="0"/>
                <w:sz w:val="22"/>
              </w:rPr>
              <w:t>5</w:t>
            </w:r>
            <w:r>
              <w:rPr>
                <w:rFonts w:hint="eastAsia" w:ascii="宋体" w:hAnsi="宋体" w:eastAsia="宋体" w:cs="Times New Roman"/>
                <w:kern w:val="0"/>
                <w:sz w:val="22"/>
              </w:rPr>
              <w:t>套，浙江正泰；</w:t>
            </w:r>
            <w:r>
              <w:rPr>
                <w:rFonts w:hint="eastAsia" w:ascii="宋体" w:hAnsi="宋体" w:eastAsia="宋体" w:cs="Times New Roman"/>
                <w:kern w:val="0"/>
                <w:sz w:val="22"/>
              </w:rPr>
              <w:br w:type="textWrapping"/>
            </w:r>
            <w:r>
              <w:rPr>
                <w:rFonts w:ascii="Times New Roman" w:hAnsi="Times New Roman" w:eastAsia="宋体" w:cs="Times New Roman"/>
                <w:kern w:val="0"/>
                <w:sz w:val="22"/>
              </w:rPr>
              <w:t>5.</w:t>
            </w:r>
            <w:r>
              <w:rPr>
                <w:rFonts w:hint="eastAsia" w:ascii="宋体" w:hAnsi="宋体" w:eastAsia="宋体" w:cs="Times New Roman"/>
                <w:kern w:val="0"/>
                <w:sz w:val="22"/>
              </w:rPr>
              <w:t>铜排、端子、导线、二次元件；</w:t>
            </w:r>
            <w:r>
              <w:rPr>
                <w:rFonts w:hint="eastAsia" w:ascii="宋体" w:hAnsi="宋体" w:eastAsia="宋体" w:cs="Times New Roman"/>
                <w:kern w:val="0"/>
                <w:sz w:val="22"/>
              </w:rPr>
              <w:br w:type="textWrapping"/>
            </w:r>
            <w:r>
              <w:rPr>
                <w:rFonts w:ascii="Times New Roman" w:hAnsi="Times New Roman" w:eastAsia="宋体" w:cs="Times New Roman"/>
                <w:kern w:val="0"/>
                <w:sz w:val="22"/>
              </w:rPr>
              <w:t>6.</w:t>
            </w:r>
            <w:r>
              <w:rPr>
                <w:rFonts w:hint="eastAsia" w:ascii="宋体" w:hAnsi="宋体" w:eastAsia="宋体" w:cs="Times New Roman"/>
                <w:kern w:val="0"/>
                <w:sz w:val="22"/>
              </w:rPr>
              <w:t>柜体</w:t>
            </w:r>
            <w:r>
              <w:rPr>
                <w:rFonts w:ascii="Times New Roman" w:hAnsi="Times New Roman" w:eastAsia="宋体" w:cs="Times New Roman"/>
                <w:kern w:val="0"/>
                <w:sz w:val="22"/>
              </w:rPr>
              <w:t>1</w:t>
            </w:r>
            <w:r>
              <w:rPr>
                <w:rFonts w:hint="eastAsia" w:ascii="宋体" w:hAnsi="宋体" w:eastAsia="宋体" w:cs="Times New Roman"/>
                <w:kern w:val="0"/>
                <w:sz w:val="22"/>
              </w:rPr>
              <w:t>件，</w:t>
            </w:r>
            <w:r>
              <w:rPr>
                <w:rFonts w:ascii="Times New Roman" w:hAnsi="Times New Roman" w:eastAsia="宋体" w:cs="Times New Roman"/>
                <w:kern w:val="0"/>
                <w:sz w:val="22"/>
              </w:rPr>
              <w:t>800*1000*2200</w:t>
            </w:r>
            <w:r>
              <w:rPr>
                <w:rFonts w:hint="eastAsia" w:ascii="宋体" w:hAnsi="宋体" w:eastAsia="宋体" w:cs="Times New Roman"/>
                <w:kern w:val="0"/>
                <w:sz w:val="22"/>
              </w:rPr>
              <w:t>。柜体可利旧。</w:t>
            </w:r>
            <w:r>
              <w:rPr>
                <w:rFonts w:hint="eastAsia" w:ascii="宋体" w:hAnsi="宋体" w:eastAsia="宋体" w:cs="Times New Roman"/>
                <w:kern w:val="0"/>
                <w:sz w:val="22"/>
              </w:rPr>
              <w:br w:type="textWrapping"/>
            </w:r>
            <w:r>
              <w:rPr>
                <w:rFonts w:ascii="Times New Roman" w:hAnsi="Times New Roman" w:eastAsia="宋体" w:cs="Times New Roman"/>
                <w:kern w:val="0"/>
                <w:sz w:val="22"/>
              </w:rPr>
              <w:t>7.</w:t>
            </w:r>
            <w:r>
              <w:rPr>
                <w:rFonts w:hint="eastAsia" w:ascii="宋体" w:hAnsi="宋体" w:eastAsia="宋体" w:cs="Times New Roman"/>
                <w:kern w:val="0"/>
                <w:sz w:val="22"/>
              </w:rPr>
              <w:t>远传台架端串联控制</w:t>
            </w:r>
            <w:r>
              <w:rPr>
                <w:rFonts w:ascii="Times New Roman" w:hAnsi="Times New Roman" w:eastAsia="宋体" w:cs="Times New Roman"/>
                <w:kern w:val="0"/>
                <w:sz w:val="22"/>
              </w:rPr>
              <w:t>1</w:t>
            </w:r>
            <w:r>
              <w:rPr>
                <w:rFonts w:hint="eastAsia" w:ascii="宋体" w:hAnsi="宋体" w:eastAsia="宋体" w:cs="Times New Roman"/>
                <w:kern w:val="0"/>
                <w:sz w:val="22"/>
              </w:rPr>
              <w:t>项。</w:t>
            </w:r>
          </w:p>
        </w:tc>
        <w:tc>
          <w:tcPr>
            <w:tcW w:w="670" w:type="dxa"/>
            <w:tcBorders>
              <w:top w:val="nil"/>
              <w:left w:val="nil"/>
              <w:bottom w:val="single" w:color="auto" w:sz="4" w:space="0"/>
              <w:right w:val="single" w:color="auto" w:sz="4" w:space="0"/>
            </w:tcBorders>
            <w:shd w:val="clear" w:color="auto" w:fill="auto"/>
            <w:vAlign w:val="center"/>
          </w:tcPr>
          <w:p w14:paraId="12AC3F90">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7E8F285C">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62D21C3C">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6C73E13C">
        <w:tblPrEx>
          <w:tblCellMar>
            <w:top w:w="0" w:type="dxa"/>
            <w:left w:w="108" w:type="dxa"/>
            <w:bottom w:w="0" w:type="dxa"/>
            <w:right w:w="108" w:type="dxa"/>
          </w:tblCellMar>
        </w:tblPrEx>
        <w:trPr>
          <w:trHeight w:val="81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268B9B02">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8</w:t>
            </w:r>
            <w:r>
              <w:rPr>
                <w:rFonts w:ascii="宋体" w:hAnsi="宋体" w:eastAsia="宋体" w:cs="宋体"/>
                <w:color w:val="000000"/>
                <w:kern w:val="0"/>
                <w:sz w:val="22"/>
              </w:rPr>
              <w:t>7</w:t>
            </w:r>
          </w:p>
        </w:tc>
        <w:tc>
          <w:tcPr>
            <w:tcW w:w="2010" w:type="dxa"/>
            <w:tcBorders>
              <w:top w:val="nil"/>
              <w:left w:val="nil"/>
              <w:bottom w:val="single" w:color="auto" w:sz="4" w:space="0"/>
              <w:right w:val="single" w:color="auto" w:sz="4" w:space="0"/>
            </w:tcBorders>
            <w:shd w:val="clear" w:color="auto" w:fill="auto"/>
            <w:vAlign w:val="center"/>
          </w:tcPr>
          <w:p w14:paraId="303F23A1">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动力电缆及桥架</w:t>
            </w:r>
          </w:p>
        </w:tc>
        <w:tc>
          <w:tcPr>
            <w:tcW w:w="4660" w:type="dxa"/>
            <w:tcBorders>
              <w:top w:val="nil"/>
              <w:left w:val="nil"/>
              <w:bottom w:val="single" w:color="auto" w:sz="4" w:space="0"/>
              <w:right w:val="single" w:color="auto" w:sz="4" w:space="0"/>
            </w:tcBorders>
            <w:shd w:val="clear" w:color="auto" w:fill="auto"/>
            <w:vAlign w:val="center"/>
          </w:tcPr>
          <w:p w14:paraId="13DEA208">
            <w:pPr>
              <w:widowControl/>
              <w:suppressAutoHyphens w:val="0"/>
              <w:overflowPunct/>
              <w:rPr>
                <w:rFonts w:ascii="宋体" w:hAnsi="宋体" w:eastAsia="宋体" w:cs="宋体"/>
                <w:kern w:val="0"/>
                <w:sz w:val="22"/>
              </w:rPr>
            </w:pPr>
            <w:r>
              <w:rPr>
                <w:rFonts w:hint="eastAsia" w:ascii="宋体" w:hAnsi="宋体" w:eastAsia="宋体" w:cs="宋体"/>
                <w:kern w:val="0"/>
                <w:sz w:val="22"/>
              </w:rPr>
              <w:t>YJV 3*120+</w:t>
            </w:r>
            <w:r>
              <w:rPr>
                <w:rFonts w:ascii="宋体" w:hAnsi="宋体" w:eastAsia="宋体" w:cs="宋体"/>
                <w:kern w:val="0"/>
                <w:sz w:val="22"/>
              </w:rPr>
              <w:t>1</w:t>
            </w:r>
            <w:r>
              <w:rPr>
                <w:rFonts w:hint="eastAsia" w:ascii="宋体" w:hAnsi="宋体" w:eastAsia="宋体" w:cs="宋体"/>
                <w:kern w:val="0"/>
                <w:sz w:val="22"/>
              </w:rPr>
              <w:t>*70每相，从机加一区1号配电平台和2号配电平台分别接至每个台架对应的设备间</w:t>
            </w:r>
          </w:p>
        </w:tc>
        <w:tc>
          <w:tcPr>
            <w:tcW w:w="670" w:type="dxa"/>
            <w:tcBorders>
              <w:top w:val="nil"/>
              <w:left w:val="nil"/>
              <w:bottom w:val="single" w:color="auto" w:sz="4" w:space="0"/>
              <w:right w:val="single" w:color="auto" w:sz="4" w:space="0"/>
            </w:tcBorders>
            <w:shd w:val="clear" w:color="auto" w:fill="auto"/>
            <w:vAlign w:val="center"/>
          </w:tcPr>
          <w:p w14:paraId="7DF1EC2E">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0F1798ED">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2</w:t>
            </w:r>
          </w:p>
        </w:tc>
        <w:tc>
          <w:tcPr>
            <w:tcW w:w="700" w:type="dxa"/>
            <w:tcBorders>
              <w:top w:val="nil"/>
              <w:left w:val="nil"/>
              <w:bottom w:val="single" w:color="auto" w:sz="4" w:space="0"/>
              <w:right w:val="single" w:color="auto" w:sz="4" w:space="0"/>
            </w:tcBorders>
            <w:shd w:val="clear" w:color="auto" w:fill="auto"/>
            <w:noWrap/>
            <w:vAlign w:val="center"/>
          </w:tcPr>
          <w:p w14:paraId="10E33710">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1A9C3973">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34FAC7E3">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8</w:t>
            </w:r>
            <w:r>
              <w:rPr>
                <w:rFonts w:ascii="宋体" w:hAnsi="宋体" w:eastAsia="宋体" w:cs="宋体"/>
                <w:color w:val="000000"/>
                <w:kern w:val="0"/>
                <w:sz w:val="22"/>
              </w:rPr>
              <w:t>8</w:t>
            </w:r>
          </w:p>
        </w:tc>
        <w:tc>
          <w:tcPr>
            <w:tcW w:w="2010" w:type="dxa"/>
            <w:tcBorders>
              <w:top w:val="nil"/>
              <w:left w:val="nil"/>
              <w:bottom w:val="single" w:color="auto" w:sz="4" w:space="0"/>
              <w:right w:val="single" w:color="auto" w:sz="4" w:space="0"/>
            </w:tcBorders>
            <w:shd w:val="clear" w:color="auto" w:fill="auto"/>
            <w:vAlign w:val="center"/>
          </w:tcPr>
          <w:p w14:paraId="56B2404C">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用电监控装置</w:t>
            </w:r>
          </w:p>
        </w:tc>
        <w:tc>
          <w:tcPr>
            <w:tcW w:w="4660" w:type="dxa"/>
            <w:tcBorders>
              <w:top w:val="nil"/>
              <w:left w:val="nil"/>
              <w:bottom w:val="single" w:color="auto" w:sz="4" w:space="0"/>
              <w:right w:val="single" w:color="auto" w:sz="4" w:space="0"/>
            </w:tcBorders>
            <w:shd w:val="clear" w:color="auto" w:fill="auto"/>
            <w:vAlign w:val="center"/>
          </w:tcPr>
          <w:p w14:paraId="4C5AF948">
            <w:pPr>
              <w:widowControl/>
              <w:suppressAutoHyphens w:val="0"/>
              <w:overflowPunct/>
              <w:rPr>
                <w:rFonts w:ascii="宋体" w:hAnsi="宋体" w:eastAsia="宋体" w:cs="宋体"/>
                <w:kern w:val="0"/>
                <w:sz w:val="22"/>
              </w:rPr>
            </w:pPr>
            <w:r>
              <w:rPr>
                <w:rFonts w:hint="eastAsia" w:ascii="宋体" w:hAnsi="宋体" w:eastAsia="宋体" w:cs="宋体"/>
                <w:kern w:val="0"/>
                <w:sz w:val="22"/>
              </w:rPr>
              <w:t>招标方用于监控厂内电网现场用电情况及预警</w:t>
            </w:r>
          </w:p>
        </w:tc>
        <w:tc>
          <w:tcPr>
            <w:tcW w:w="670" w:type="dxa"/>
            <w:tcBorders>
              <w:top w:val="nil"/>
              <w:left w:val="nil"/>
              <w:bottom w:val="single" w:color="auto" w:sz="4" w:space="0"/>
              <w:right w:val="single" w:color="auto" w:sz="4" w:space="0"/>
            </w:tcBorders>
            <w:shd w:val="clear" w:color="auto" w:fill="auto"/>
            <w:vAlign w:val="center"/>
          </w:tcPr>
          <w:p w14:paraId="6BAF58B1">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套</w:t>
            </w:r>
          </w:p>
        </w:tc>
        <w:tc>
          <w:tcPr>
            <w:tcW w:w="580" w:type="dxa"/>
            <w:tcBorders>
              <w:top w:val="nil"/>
              <w:left w:val="nil"/>
              <w:bottom w:val="single" w:color="auto" w:sz="4" w:space="0"/>
              <w:right w:val="single" w:color="auto" w:sz="4" w:space="0"/>
            </w:tcBorders>
            <w:shd w:val="clear" w:color="auto" w:fill="auto"/>
            <w:vAlign w:val="center"/>
          </w:tcPr>
          <w:p w14:paraId="422DE601">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4364F2B4">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32673A14">
        <w:tblPrEx>
          <w:tblCellMar>
            <w:top w:w="0" w:type="dxa"/>
            <w:left w:w="108" w:type="dxa"/>
            <w:bottom w:w="0" w:type="dxa"/>
            <w:right w:w="108" w:type="dxa"/>
          </w:tblCellMar>
        </w:tblPrEx>
        <w:trPr>
          <w:trHeight w:val="3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59142B2E">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8</w:t>
            </w:r>
            <w:r>
              <w:rPr>
                <w:rFonts w:ascii="宋体" w:hAnsi="宋体" w:eastAsia="宋体" w:cs="宋体"/>
                <w:color w:val="000000"/>
                <w:kern w:val="0"/>
                <w:sz w:val="22"/>
              </w:rPr>
              <w:t>9</w:t>
            </w:r>
          </w:p>
        </w:tc>
        <w:tc>
          <w:tcPr>
            <w:tcW w:w="2010" w:type="dxa"/>
            <w:tcBorders>
              <w:top w:val="nil"/>
              <w:left w:val="nil"/>
              <w:bottom w:val="single" w:color="auto" w:sz="4" w:space="0"/>
              <w:right w:val="single" w:color="auto" w:sz="4" w:space="0"/>
            </w:tcBorders>
            <w:shd w:val="clear" w:color="auto" w:fill="auto"/>
            <w:vAlign w:val="center"/>
          </w:tcPr>
          <w:p w14:paraId="6CE3F8C7">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现场安装</w:t>
            </w:r>
          </w:p>
        </w:tc>
        <w:tc>
          <w:tcPr>
            <w:tcW w:w="4660" w:type="dxa"/>
            <w:tcBorders>
              <w:top w:val="nil"/>
              <w:left w:val="nil"/>
              <w:bottom w:val="single" w:color="auto" w:sz="4" w:space="0"/>
              <w:right w:val="single" w:color="auto" w:sz="4" w:space="0"/>
            </w:tcBorders>
            <w:shd w:val="clear" w:color="auto" w:fill="auto"/>
            <w:vAlign w:val="center"/>
          </w:tcPr>
          <w:p w14:paraId="47691782">
            <w:pPr>
              <w:widowControl/>
              <w:suppressAutoHyphens w:val="0"/>
              <w:overflowPunct/>
              <w:rPr>
                <w:rFonts w:ascii="Times New Roman" w:hAnsi="Times New Roman" w:eastAsia="宋体" w:cs="Times New Roman"/>
                <w:kern w:val="0"/>
                <w:sz w:val="22"/>
              </w:rPr>
            </w:pPr>
            <w:r>
              <w:rPr>
                <w:rFonts w:hint="eastAsia" w:ascii="宋体" w:hAnsi="宋体" w:eastAsia="宋体" w:cs="Times New Roman"/>
                <w:kern w:val="0"/>
                <w:sz w:val="22"/>
              </w:rPr>
              <w:t>含桥架及固定钢支架</w:t>
            </w:r>
          </w:p>
        </w:tc>
        <w:tc>
          <w:tcPr>
            <w:tcW w:w="670" w:type="dxa"/>
            <w:tcBorders>
              <w:top w:val="nil"/>
              <w:left w:val="nil"/>
              <w:bottom w:val="single" w:color="auto" w:sz="4" w:space="0"/>
              <w:right w:val="single" w:color="auto" w:sz="4" w:space="0"/>
            </w:tcBorders>
            <w:shd w:val="clear" w:color="auto" w:fill="auto"/>
            <w:vAlign w:val="center"/>
          </w:tcPr>
          <w:p w14:paraId="35F9D8FB">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项</w:t>
            </w:r>
          </w:p>
        </w:tc>
        <w:tc>
          <w:tcPr>
            <w:tcW w:w="580" w:type="dxa"/>
            <w:tcBorders>
              <w:top w:val="nil"/>
              <w:left w:val="nil"/>
              <w:bottom w:val="single" w:color="auto" w:sz="4" w:space="0"/>
              <w:right w:val="single" w:color="auto" w:sz="4" w:space="0"/>
            </w:tcBorders>
            <w:shd w:val="clear" w:color="auto" w:fill="auto"/>
            <w:vAlign w:val="center"/>
          </w:tcPr>
          <w:p w14:paraId="2C1C6D71">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6B995431">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50313D64">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7C01A0F0">
            <w:pPr>
              <w:widowControl/>
              <w:suppressAutoHyphens w:val="0"/>
              <w:overflowPunct/>
              <w:jc w:val="center"/>
              <w:rPr>
                <w:rFonts w:ascii="宋体" w:hAnsi="宋体" w:eastAsia="宋体" w:cs="宋体"/>
                <w:color w:val="000000"/>
                <w:kern w:val="0"/>
                <w:sz w:val="22"/>
              </w:rPr>
            </w:pPr>
            <w:r>
              <w:rPr>
                <w:rFonts w:ascii="宋体" w:hAnsi="宋体" w:eastAsia="宋体" w:cs="宋体"/>
                <w:color w:val="000000"/>
                <w:kern w:val="0"/>
                <w:sz w:val="22"/>
              </w:rPr>
              <w:t>90</w:t>
            </w:r>
          </w:p>
        </w:tc>
        <w:tc>
          <w:tcPr>
            <w:tcW w:w="2010" w:type="dxa"/>
            <w:tcBorders>
              <w:top w:val="nil"/>
              <w:left w:val="nil"/>
              <w:bottom w:val="single" w:color="auto" w:sz="4" w:space="0"/>
              <w:right w:val="single" w:color="auto" w:sz="4" w:space="0"/>
            </w:tcBorders>
            <w:shd w:val="clear" w:color="auto" w:fill="auto"/>
            <w:vAlign w:val="center"/>
          </w:tcPr>
          <w:p w14:paraId="56506944">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辅助用品</w:t>
            </w:r>
          </w:p>
        </w:tc>
        <w:tc>
          <w:tcPr>
            <w:tcW w:w="4660" w:type="dxa"/>
            <w:tcBorders>
              <w:top w:val="nil"/>
              <w:left w:val="nil"/>
              <w:bottom w:val="single" w:color="auto" w:sz="4" w:space="0"/>
              <w:right w:val="single" w:color="auto" w:sz="4" w:space="0"/>
            </w:tcBorders>
            <w:shd w:val="clear" w:color="auto" w:fill="auto"/>
            <w:vAlign w:val="center"/>
          </w:tcPr>
          <w:p w14:paraId="6A2A7D2B">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1.世达工具车（95123）一台；</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2.世达维修工具套装 150 件套（09510）一套</w:t>
            </w:r>
          </w:p>
        </w:tc>
        <w:tc>
          <w:tcPr>
            <w:tcW w:w="670" w:type="dxa"/>
            <w:tcBorders>
              <w:top w:val="nil"/>
              <w:left w:val="nil"/>
              <w:bottom w:val="single" w:color="auto" w:sz="4" w:space="0"/>
              <w:right w:val="single" w:color="auto" w:sz="4" w:space="0"/>
            </w:tcBorders>
            <w:shd w:val="clear" w:color="auto" w:fill="auto"/>
            <w:noWrap/>
            <w:vAlign w:val="center"/>
          </w:tcPr>
          <w:p w14:paraId="5D7ABC97">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580" w:type="dxa"/>
            <w:tcBorders>
              <w:top w:val="nil"/>
              <w:left w:val="nil"/>
              <w:bottom w:val="single" w:color="auto" w:sz="4" w:space="0"/>
              <w:right w:val="single" w:color="auto" w:sz="4" w:space="0"/>
            </w:tcBorders>
            <w:shd w:val="clear" w:color="auto" w:fill="auto"/>
            <w:noWrap/>
            <w:vAlign w:val="center"/>
          </w:tcPr>
          <w:p w14:paraId="07F3C15A">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700" w:type="dxa"/>
            <w:tcBorders>
              <w:top w:val="nil"/>
              <w:left w:val="nil"/>
              <w:bottom w:val="single" w:color="auto" w:sz="4" w:space="0"/>
              <w:right w:val="single" w:color="auto" w:sz="4" w:space="0"/>
            </w:tcBorders>
            <w:shd w:val="clear" w:color="auto" w:fill="auto"/>
            <w:noWrap/>
            <w:vAlign w:val="center"/>
          </w:tcPr>
          <w:p w14:paraId="6736C9AE">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7C37F88B">
        <w:tblPrEx>
          <w:tblCellMar>
            <w:top w:w="0" w:type="dxa"/>
            <w:left w:w="108" w:type="dxa"/>
            <w:bottom w:w="0" w:type="dxa"/>
            <w:right w:w="108" w:type="dxa"/>
          </w:tblCellMar>
        </w:tblPrEx>
        <w:trPr>
          <w:trHeight w:val="3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3FD217EE">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r>
              <w:rPr>
                <w:rFonts w:ascii="宋体" w:hAnsi="宋体" w:eastAsia="宋体" w:cs="宋体"/>
                <w:color w:val="000000"/>
                <w:kern w:val="0"/>
                <w:sz w:val="22"/>
              </w:rPr>
              <w:t>1</w:t>
            </w:r>
          </w:p>
        </w:tc>
        <w:tc>
          <w:tcPr>
            <w:tcW w:w="2010" w:type="dxa"/>
            <w:tcBorders>
              <w:top w:val="nil"/>
              <w:left w:val="nil"/>
              <w:bottom w:val="single" w:color="auto" w:sz="4" w:space="0"/>
              <w:right w:val="single" w:color="auto" w:sz="4" w:space="0"/>
            </w:tcBorders>
            <w:shd w:val="clear" w:color="auto" w:fill="auto"/>
            <w:vAlign w:val="center"/>
          </w:tcPr>
          <w:p w14:paraId="04991DB9">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台架一层设施拆除</w:t>
            </w:r>
          </w:p>
        </w:tc>
        <w:tc>
          <w:tcPr>
            <w:tcW w:w="4660" w:type="dxa"/>
            <w:tcBorders>
              <w:top w:val="nil"/>
              <w:left w:val="nil"/>
              <w:bottom w:val="single" w:color="auto" w:sz="4" w:space="0"/>
              <w:right w:val="single" w:color="auto" w:sz="4" w:space="0"/>
            </w:tcBorders>
            <w:shd w:val="clear" w:color="auto" w:fill="auto"/>
            <w:vAlign w:val="center"/>
          </w:tcPr>
          <w:p w14:paraId="26E0989A">
            <w:pPr>
              <w:widowControl/>
              <w:suppressAutoHyphens w:val="0"/>
              <w:overflowPunct/>
              <w:rPr>
                <w:rFonts w:ascii="Times New Roman" w:hAnsi="Times New Roman" w:eastAsia="宋体" w:cs="Times New Roman"/>
                <w:kern w:val="0"/>
                <w:sz w:val="22"/>
              </w:rPr>
            </w:pPr>
            <w:r>
              <w:rPr>
                <w:rFonts w:ascii="Times New Roman" w:hAnsi="Times New Roman" w:eastAsia="宋体" w:cs="Times New Roman"/>
                <w:kern w:val="0"/>
                <w:sz w:val="22"/>
              </w:rPr>
              <w:t>9</w:t>
            </w:r>
            <w:r>
              <w:rPr>
                <w:rFonts w:hint="eastAsia" w:ascii="宋体" w:hAnsi="宋体" w:eastAsia="宋体" w:cs="Times New Roman"/>
                <w:kern w:val="0"/>
                <w:sz w:val="22"/>
              </w:rPr>
              <w:t>个台架间</w:t>
            </w:r>
            <w:r>
              <w:rPr>
                <w:rFonts w:ascii="Times New Roman" w:hAnsi="Times New Roman" w:eastAsia="宋体" w:cs="Times New Roman"/>
                <w:kern w:val="0"/>
                <w:sz w:val="22"/>
              </w:rPr>
              <w:t>+5</w:t>
            </w:r>
            <w:r>
              <w:rPr>
                <w:rFonts w:hint="eastAsia" w:ascii="宋体" w:hAnsi="宋体" w:eastAsia="宋体" w:cs="Times New Roman"/>
                <w:kern w:val="0"/>
                <w:sz w:val="22"/>
              </w:rPr>
              <w:t>个设备间</w:t>
            </w:r>
          </w:p>
        </w:tc>
        <w:tc>
          <w:tcPr>
            <w:tcW w:w="670" w:type="dxa"/>
            <w:tcBorders>
              <w:top w:val="nil"/>
              <w:left w:val="nil"/>
              <w:bottom w:val="single" w:color="auto" w:sz="4" w:space="0"/>
              <w:right w:val="single" w:color="auto" w:sz="4" w:space="0"/>
            </w:tcBorders>
            <w:shd w:val="clear" w:color="auto" w:fill="auto"/>
            <w:vAlign w:val="center"/>
          </w:tcPr>
          <w:p w14:paraId="683AABED">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项</w:t>
            </w:r>
          </w:p>
        </w:tc>
        <w:tc>
          <w:tcPr>
            <w:tcW w:w="580" w:type="dxa"/>
            <w:tcBorders>
              <w:top w:val="nil"/>
              <w:left w:val="nil"/>
              <w:bottom w:val="single" w:color="auto" w:sz="4" w:space="0"/>
              <w:right w:val="single" w:color="auto" w:sz="4" w:space="0"/>
            </w:tcBorders>
            <w:shd w:val="clear" w:color="auto" w:fill="auto"/>
            <w:vAlign w:val="center"/>
          </w:tcPr>
          <w:p w14:paraId="01E96ECC">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06E59805">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3C6FB9D9">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7CD73E0C">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r>
              <w:rPr>
                <w:rFonts w:ascii="宋体" w:hAnsi="宋体" w:eastAsia="宋体" w:cs="宋体"/>
                <w:color w:val="000000"/>
                <w:kern w:val="0"/>
                <w:sz w:val="22"/>
              </w:rPr>
              <w:t>2</w:t>
            </w:r>
          </w:p>
        </w:tc>
        <w:tc>
          <w:tcPr>
            <w:tcW w:w="2010" w:type="dxa"/>
            <w:tcBorders>
              <w:top w:val="nil"/>
              <w:left w:val="nil"/>
              <w:bottom w:val="single" w:color="auto" w:sz="4" w:space="0"/>
              <w:right w:val="single" w:color="auto" w:sz="4" w:space="0"/>
            </w:tcBorders>
            <w:shd w:val="clear" w:color="auto" w:fill="auto"/>
            <w:vAlign w:val="center"/>
          </w:tcPr>
          <w:p w14:paraId="457C395B">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控制室设施拆除</w:t>
            </w:r>
          </w:p>
        </w:tc>
        <w:tc>
          <w:tcPr>
            <w:tcW w:w="4660" w:type="dxa"/>
            <w:tcBorders>
              <w:top w:val="nil"/>
              <w:left w:val="nil"/>
              <w:bottom w:val="single" w:color="auto" w:sz="4" w:space="0"/>
              <w:right w:val="single" w:color="auto" w:sz="4" w:space="0"/>
            </w:tcBorders>
            <w:shd w:val="clear" w:color="auto" w:fill="auto"/>
            <w:vAlign w:val="center"/>
          </w:tcPr>
          <w:p w14:paraId="48FB6800">
            <w:pPr>
              <w:widowControl/>
              <w:suppressAutoHyphens w:val="0"/>
              <w:overflowPunct/>
              <w:rPr>
                <w:rFonts w:ascii="宋体" w:hAnsi="宋体" w:eastAsia="宋体" w:cs="宋体"/>
                <w:kern w:val="0"/>
                <w:sz w:val="22"/>
              </w:rPr>
            </w:pPr>
            <w:r>
              <w:rPr>
                <w:rFonts w:hint="eastAsia" w:ascii="宋体" w:hAnsi="宋体" w:eastAsia="宋体" w:cs="宋体"/>
                <w:kern w:val="0"/>
                <w:sz w:val="22"/>
              </w:rPr>
              <w:t>除利旧外全部拆除（台架间、设备间对应的控制室）</w:t>
            </w:r>
          </w:p>
        </w:tc>
        <w:tc>
          <w:tcPr>
            <w:tcW w:w="670" w:type="dxa"/>
            <w:tcBorders>
              <w:top w:val="nil"/>
              <w:left w:val="nil"/>
              <w:bottom w:val="single" w:color="auto" w:sz="4" w:space="0"/>
              <w:right w:val="single" w:color="auto" w:sz="4" w:space="0"/>
            </w:tcBorders>
            <w:shd w:val="clear" w:color="auto" w:fill="auto"/>
            <w:vAlign w:val="center"/>
          </w:tcPr>
          <w:p w14:paraId="521EA130">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项</w:t>
            </w:r>
          </w:p>
        </w:tc>
        <w:tc>
          <w:tcPr>
            <w:tcW w:w="580" w:type="dxa"/>
            <w:tcBorders>
              <w:top w:val="nil"/>
              <w:left w:val="nil"/>
              <w:bottom w:val="single" w:color="auto" w:sz="4" w:space="0"/>
              <w:right w:val="single" w:color="auto" w:sz="4" w:space="0"/>
            </w:tcBorders>
            <w:shd w:val="clear" w:color="auto" w:fill="auto"/>
            <w:vAlign w:val="center"/>
          </w:tcPr>
          <w:p w14:paraId="201CBF31">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5C78B7D0">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71D9F0C1">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15CD3C70">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r>
              <w:rPr>
                <w:rFonts w:ascii="宋体" w:hAnsi="宋体" w:eastAsia="宋体" w:cs="宋体"/>
                <w:color w:val="000000"/>
                <w:kern w:val="0"/>
                <w:sz w:val="22"/>
              </w:rPr>
              <w:t>3</w:t>
            </w:r>
          </w:p>
        </w:tc>
        <w:tc>
          <w:tcPr>
            <w:tcW w:w="2010" w:type="dxa"/>
            <w:tcBorders>
              <w:top w:val="nil"/>
              <w:left w:val="nil"/>
              <w:bottom w:val="single" w:color="auto" w:sz="4" w:space="0"/>
              <w:right w:val="single" w:color="auto" w:sz="4" w:space="0"/>
            </w:tcBorders>
            <w:shd w:val="clear" w:color="auto" w:fill="auto"/>
            <w:vAlign w:val="center"/>
          </w:tcPr>
          <w:p w14:paraId="12DD1382">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台架二层平台设施拆除</w:t>
            </w:r>
          </w:p>
        </w:tc>
        <w:tc>
          <w:tcPr>
            <w:tcW w:w="4660" w:type="dxa"/>
            <w:tcBorders>
              <w:top w:val="nil"/>
              <w:left w:val="nil"/>
              <w:bottom w:val="single" w:color="auto" w:sz="4" w:space="0"/>
              <w:right w:val="single" w:color="auto" w:sz="4" w:space="0"/>
            </w:tcBorders>
            <w:shd w:val="clear" w:color="auto" w:fill="auto"/>
            <w:vAlign w:val="center"/>
          </w:tcPr>
          <w:p w14:paraId="36BFC156">
            <w:pPr>
              <w:widowControl/>
              <w:suppressAutoHyphens w:val="0"/>
              <w:overflowPunct/>
              <w:rPr>
                <w:rFonts w:ascii="宋体" w:hAnsi="宋体" w:eastAsia="宋体" w:cs="宋体"/>
                <w:kern w:val="0"/>
                <w:sz w:val="22"/>
              </w:rPr>
            </w:pPr>
            <w:r>
              <w:rPr>
                <w:rFonts w:hint="eastAsia" w:ascii="宋体" w:hAnsi="宋体" w:eastAsia="宋体" w:cs="宋体"/>
                <w:kern w:val="0"/>
                <w:sz w:val="22"/>
              </w:rPr>
              <w:t>除利旧外全部拆除（台架间、设备间对应的二层平台）</w:t>
            </w:r>
          </w:p>
        </w:tc>
        <w:tc>
          <w:tcPr>
            <w:tcW w:w="670" w:type="dxa"/>
            <w:tcBorders>
              <w:top w:val="nil"/>
              <w:left w:val="nil"/>
              <w:bottom w:val="single" w:color="auto" w:sz="4" w:space="0"/>
              <w:right w:val="single" w:color="auto" w:sz="4" w:space="0"/>
            </w:tcBorders>
            <w:shd w:val="clear" w:color="auto" w:fill="auto"/>
            <w:vAlign w:val="center"/>
          </w:tcPr>
          <w:p w14:paraId="6DEE28D9">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项</w:t>
            </w:r>
          </w:p>
        </w:tc>
        <w:tc>
          <w:tcPr>
            <w:tcW w:w="580" w:type="dxa"/>
            <w:tcBorders>
              <w:top w:val="nil"/>
              <w:left w:val="nil"/>
              <w:bottom w:val="single" w:color="auto" w:sz="4" w:space="0"/>
              <w:right w:val="single" w:color="auto" w:sz="4" w:space="0"/>
            </w:tcBorders>
            <w:shd w:val="clear" w:color="auto" w:fill="auto"/>
            <w:vAlign w:val="center"/>
          </w:tcPr>
          <w:p w14:paraId="4C7E09B1">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1E7726B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7D09278B">
        <w:tblPrEx>
          <w:tblCellMar>
            <w:top w:w="0" w:type="dxa"/>
            <w:left w:w="108" w:type="dxa"/>
            <w:bottom w:w="0" w:type="dxa"/>
            <w:right w:w="108" w:type="dxa"/>
          </w:tblCellMar>
        </w:tblPrEx>
        <w:trPr>
          <w:trHeight w:val="3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5B2C77E5">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r>
              <w:rPr>
                <w:rFonts w:ascii="宋体" w:hAnsi="宋体" w:eastAsia="宋体" w:cs="宋体"/>
                <w:color w:val="000000"/>
                <w:kern w:val="0"/>
                <w:sz w:val="22"/>
              </w:rPr>
              <w:t>4</w:t>
            </w:r>
          </w:p>
        </w:tc>
        <w:tc>
          <w:tcPr>
            <w:tcW w:w="2010" w:type="dxa"/>
            <w:tcBorders>
              <w:top w:val="nil"/>
              <w:left w:val="nil"/>
              <w:bottom w:val="single" w:color="auto" w:sz="4" w:space="0"/>
              <w:right w:val="single" w:color="auto" w:sz="4" w:space="0"/>
            </w:tcBorders>
            <w:shd w:val="clear" w:color="auto" w:fill="auto"/>
            <w:vAlign w:val="center"/>
          </w:tcPr>
          <w:p w14:paraId="342134FC">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运输保险</w:t>
            </w:r>
          </w:p>
        </w:tc>
        <w:tc>
          <w:tcPr>
            <w:tcW w:w="4660" w:type="dxa"/>
            <w:tcBorders>
              <w:top w:val="nil"/>
              <w:left w:val="nil"/>
              <w:bottom w:val="single" w:color="auto" w:sz="4" w:space="0"/>
              <w:right w:val="single" w:color="auto" w:sz="4" w:space="0"/>
            </w:tcBorders>
            <w:shd w:val="clear" w:color="auto" w:fill="auto"/>
            <w:vAlign w:val="center"/>
          </w:tcPr>
          <w:p w14:paraId="10C55CB6">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c>
          <w:tcPr>
            <w:tcW w:w="670" w:type="dxa"/>
            <w:tcBorders>
              <w:top w:val="nil"/>
              <w:left w:val="nil"/>
              <w:bottom w:val="single" w:color="auto" w:sz="4" w:space="0"/>
              <w:right w:val="single" w:color="auto" w:sz="4" w:space="0"/>
            </w:tcBorders>
            <w:shd w:val="clear" w:color="auto" w:fill="auto"/>
            <w:vAlign w:val="center"/>
          </w:tcPr>
          <w:p w14:paraId="3AC74EFD">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项</w:t>
            </w:r>
          </w:p>
        </w:tc>
        <w:tc>
          <w:tcPr>
            <w:tcW w:w="580" w:type="dxa"/>
            <w:tcBorders>
              <w:top w:val="nil"/>
              <w:left w:val="nil"/>
              <w:bottom w:val="single" w:color="auto" w:sz="4" w:space="0"/>
              <w:right w:val="single" w:color="auto" w:sz="4" w:space="0"/>
            </w:tcBorders>
            <w:shd w:val="clear" w:color="auto" w:fill="auto"/>
            <w:vAlign w:val="center"/>
          </w:tcPr>
          <w:p w14:paraId="751015C4">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7CC0BFBA">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1DDA8E04">
        <w:tblPrEx>
          <w:tblCellMar>
            <w:top w:w="0" w:type="dxa"/>
            <w:left w:w="108" w:type="dxa"/>
            <w:bottom w:w="0" w:type="dxa"/>
            <w:right w:w="108" w:type="dxa"/>
          </w:tblCellMar>
        </w:tblPrEx>
        <w:trPr>
          <w:trHeight w:val="3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75FE3C25">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r>
              <w:rPr>
                <w:rFonts w:ascii="宋体" w:hAnsi="宋体" w:eastAsia="宋体" w:cs="宋体"/>
                <w:color w:val="000000"/>
                <w:kern w:val="0"/>
                <w:sz w:val="22"/>
              </w:rPr>
              <w:t>5</w:t>
            </w:r>
          </w:p>
        </w:tc>
        <w:tc>
          <w:tcPr>
            <w:tcW w:w="2010" w:type="dxa"/>
            <w:tcBorders>
              <w:top w:val="nil"/>
              <w:left w:val="nil"/>
              <w:bottom w:val="single" w:color="auto" w:sz="4" w:space="0"/>
              <w:right w:val="single" w:color="auto" w:sz="4" w:space="0"/>
            </w:tcBorders>
            <w:shd w:val="clear" w:color="auto" w:fill="auto"/>
            <w:vAlign w:val="center"/>
          </w:tcPr>
          <w:p w14:paraId="45D94D4D">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安装调试</w:t>
            </w:r>
          </w:p>
        </w:tc>
        <w:tc>
          <w:tcPr>
            <w:tcW w:w="4660" w:type="dxa"/>
            <w:tcBorders>
              <w:top w:val="nil"/>
              <w:left w:val="nil"/>
              <w:bottom w:val="single" w:color="auto" w:sz="4" w:space="0"/>
              <w:right w:val="single" w:color="auto" w:sz="4" w:space="0"/>
            </w:tcBorders>
            <w:shd w:val="clear" w:color="auto" w:fill="auto"/>
            <w:vAlign w:val="center"/>
          </w:tcPr>
          <w:p w14:paraId="7318B6F8">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c>
          <w:tcPr>
            <w:tcW w:w="670" w:type="dxa"/>
            <w:tcBorders>
              <w:top w:val="nil"/>
              <w:left w:val="nil"/>
              <w:bottom w:val="single" w:color="auto" w:sz="4" w:space="0"/>
              <w:right w:val="single" w:color="auto" w:sz="4" w:space="0"/>
            </w:tcBorders>
            <w:shd w:val="clear" w:color="auto" w:fill="auto"/>
            <w:vAlign w:val="center"/>
          </w:tcPr>
          <w:p w14:paraId="4E8381E3">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项</w:t>
            </w:r>
          </w:p>
        </w:tc>
        <w:tc>
          <w:tcPr>
            <w:tcW w:w="580" w:type="dxa"/>
            <w:tcBorders>
              <w:top w:val="nil"/>
              <w:left w:val="nil"/>
              <w:bottom w:val="single" w:color="auto" w:sz="4" w:space="0"/>
              <w:right w:val="single" w:color="auto" w:sz="4" w:space="0"/>
            </w:tcBorders>
            <w:shd w:val="clear" w:color="auto" w:fill="auto"/>
            <w:vAlign w:val="center"/>
          </w:tcPr>
          <w:p w14:paraId="1F84730B">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5A74340F">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492806DF">
        <w:tblPrEx>
          <w:tblCellMar>
            <w:top w:w="0" w:type="dxa"/>
            <w:left w:w="108" w:type="dxa"/>
            <w:bottom w:w="0" w:type="dxa"/>
            <w:right w:w="108" w:type="dxa"/>
          </w:tblCellMar>
        </w:tblPrEx>
        <w:trPr>
          <w:trHeight w:val="54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0A706451">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r>
              <w:rPr>
                <w:rFonts w:ascii="宋体" w:hAnsi="宋体" w:eastAsia="宋体" w:cs="宋体"/>
                <w:color w:val="000000"/>
                <w:kern w:val="0"/>
                <w:sz w:val="22"/>
              </w:rPr>
              <w:t>6</w:t>
            </w:r>
          </w:p>
        </w:tc>
        <w:tc>
          <w:tcPr>
            <w:tcW w:w="2010" w:type="dxa"/>
            <w:tcBorders>
              <w:top w:val="nil"/>
              <w:left w:val="nil"/>
              <w:bottom w:val="single" w:color="auto" w:sz="4" w:space="0"/>
              <w:right w:val="single" w:color="auto" w:sz="4" w:space="0"/>
            </w:tcBorders>
            <w:shd w:val="clear" w:color="auto" w:fill="auto"/>
            <w:vAlign w:val="center"/>
          </w:tcPr>
          <w:p w14:paraId="4FC9E664">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技术服务、培训、资料</w:t>
            </w:r>
          </w:p>
        </w:tc>
        <w:tc>
          <w:tcPr>
            <w:tcW w:w="4660" w:type="dxa"/>
            <w:tcBorders>
              <w:top w:val="nil"/>
              <w:left w:val="nil"/>
              <w:bottom w:val="single" w:color="auto" w:sz="4" w:space="0"/>
              <w:right w:val="single" w:color="auto" w:sz="4" w:space="0"/>
            </w:tcBorders>
            <w:shd w:val="clear" w:color="auto" w:fill="auto"/>
            <w:vAlign w:val="center"/>
          </w:tcPr>
          <w:p w14:paraId="280698B0">
            <w:pPr>
              <w:widowControl/>
              <w:suppressAutoHyphens w:val="0"/>
              <w:overflowPunct/>
              <w:rPr>
                <w:rFonts w:ascii="宋体" w:hAnsi="宋体" w:eastAsia="宋体" w:cs="宋体"/>
                <w:kern w:val="0"/>
                <w:sz w:val="22"/>
              </w:rPr>
            </w:pPr>
            <w:r>
              <w:rPr>
                <w:rFonts w:hint="eastAsia" w:ascii="宋体" w:hAnsi="宋体" w:eastAsia="宋体" w:cs="宋体"/>
                <w:kern w:val="0"/>
                <w:sz w:val="22"/>
              </w:rPr>
              <w:t>第三方检测费，陪产服务，培训</w:t>
            </w:r>
          </w:p>
        </w:tc>
        <w:tc>
          <w:tcPr>
            <w:tcW w:w="670" w:type="dxa"/>
            <w:tcBorders>
              <w:top w:val="nil"/>
              <w:left w:val="nil"/>
              <w:bottom w:val="single" w:color="auto" w:sz="4" w:space="0"/>
              <w:right w:val="single" w:color="auto" w:sz="4" w:space="0"/>
            </w:tcBorders>
            <w:shd w:val="clear" w:color="auto" w:fill="auto"/>
            <w:vAlign w:val="center"/>
          </w:tcPr>
          <w:p w14:paraId="0898353B">
            <w:pPr>
              <w:widowControl/>
              <w:suppressAutoHyphens w:val="0"/>
              <w:overflowPunct/>
              <w:jc w:val="center"/>
              <w:rPr>
                <w:rFonts w:ascii="Times New Roman" w:hAnsi="Times New Roman" w:eastAsia="宋体" w:cs="Times New Roman"/>
                <w:kern w:val="0"/>
                <w:sz w:val="22"/>
              </w:rPr>
            </w:pPr>
            <w:r>
              <w:rPr>
                <w:rFonts w:hint="eastAsia" w:ascii="宋体" w:hAnsi="宋体" w:eastAsia="宋体" w:cs="Times New Roman"/>
                <w:kern w:val="0"/>
                <w:sz w:val="22"/>
              </w:rPr>
              <w:t>项</w:t>
            </w:r>
          </w:p>
        </w:tc>
        <w:tc>
          <w:tcPr>
            <w:tcW w:w="580" w:type="dxa"/>
            <w:tcBorders>
              <w:top w:val="nil"/>
              <w:left w:val="nil"/>
              <w:bottom w:val="single" w:color="auto" w:sz="4" w:space="0"/>
              <w:right w:val="single" w:color="auto" w:sz="4" w:space="0"/>
            </w:tcBorders>
            <w:shd w:val="clear" w:color="auto" w:fill="auto"/>
            <w:vAlign w:val="center"/>
          </w:tcPr>
          <w:p w14:paraId="61A75C4E">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3F8F0774">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r w14:paraId="61D03016">
        <w:tblPrEx>
          <w:tblCellMar>
            <w:top w:w="0" w:type="dxa"/>
            <w:left w:w="108" w:type="dxa"/>
            <w:bottom w:w="0" w:type="dxa"/>
            <w:right w:w="108" w:type="dxa"/>
          </w:tblCellMar>
        </w:tblPrEx>
        <w:trPr>
          <w:trHeight w:val="300" w:hRule="atLeast"/>
        </w:trPr>
        <w:tc>
          <w:tcPr>
            <w:tcW w:w="640" w:type="dxa"/>
            <w:tcBorders>
              <w:top w:val="nil"/>
              <w:left w:val="single" w:color="auto" w:sz="4" w:space="0"/>
              <w:bottom w:val="single" w:color="auto" w:sz="4" w:space="0"/>
              <w:right w:val="single" w:color="auto" w:sz="4" w:space="0"/>
            </w:tcBorders>
            <w:shd w:val="clear" w:color="auto" w:fill="auto"/>
            <w:noWrap/>
            <w:vAlign w:val="center"/>
          </w:tcPr>
          <w:p w14:paraId="644A963C">
            <w:pPr>
              <w:widowControl/>
              <w:suppressAutoHyphens w:val="0"/>
              <w:overflowPunct/>
              <w:jc w:val="center"/>
              <w:rPr>
                <w:rFonts w:ascii="宋体" w:hAnsi="宋体" w:eastAsia="宋体" w:cs="宋体"/>
                <w:color w:val="000000"/>
                <w:kern w:val="0"/>
                <w:sz w:val="22"/>
              </w:rPr>
            </w:pPr>
            <w:r>
              <w:rPr>
                <w:rFonts w:hint="eastAsia" w:ascii="宋体" w:hAnsi="宋体" w:eastAsia="宋体" w:cs="宋体"/>
                <w:color w:val="000000"/>
                <w:kern w:val="0"/>
                <w:sz w:val="22"/>
              </w:rPr>
              <w:t>9</w:t>
            </w:r>
            <w:r>
              <w:rPr>
                <w:rFonts w:ascii="宋体" w:hAnsi="宋体" w:eastAsia="宋体" w:cs="宋体"/>
                <w:color w:val="000000"/>
                <w:kern w:val="0"/>
                <w:sz w:val="22"/>
              </w:rPr>
              <w:t>7</w:t>
            </w:r>
          </w:p>
        </w:tc>
        <w:tc>
          <w:tcPr>
            <w:tcW w:w="2010" w:type="dxa"/>
            <w:tcBorders>
              <w:top w:val="nil"/>
              <w:left w:val="nil"/>
              <w:bottom w:val="single" w:color="auto" w:sz="4" w:space="0"/>
              <w:right w:val="single" w:color="auto" w:sz="4" w:space="0"/>
            </w:tcBorders>
            <w:shd w:val="clear" w:color="auto" w:fill="auto"/>
            <w:vAlign w:val="center"/>
          </w:tcPr>
          <w:p w14:paraId="0CC245C7">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备品备件及易损件</w:t>
            </w:r>
          </w:p>
        </w:tc>
        <w:tc>
          <w:tcPr>
            <w:tcW w:w="4660" w:type="dxa"/>
            <w:tcBorders>
              <w:top w:val="nil"/>
              <w:left w:val="nil"/>
              <w:bottom w:val="single" w:color="auto" w:sz="4" w:space="0"/>
              <w:right w:val="single" w:color="auto" w:sz="4" w:space="0"/>
            </w:tcBorders>
            <w:shd w:val="clear" w:color="auto" w:fill="auto"/>
            <w:vAlign w:val="center"/>
          </w:tcPr>
          <w:p w14:paraId="217F642B">
            <w:pPr>
              <w:widowControl/>
              <w:suppressAutoHyphens w:val="0"/>
              <w:overflowPunct/>
              <w:rPr>
                <w:rFonts w:ascii="宋体" w:hAnsi="宋体" w:eastAsia="宋体" w:cs="宋体"/>
                <w:kern w:val="0"/>
                <w:sz w:val="22"/>
              </w:rPr>
            </w:pPr>
          </w:p>
        </w:tc>
        <w:tc>
          <w:tcPr>
            <w:tcW w:w="670" w:type="dxa"/>
            <w:tcBorders>
              <w:top w:val="nil"/>
              <w:left w:val="nil"/>
              <w:bottom w:val="single" w:color="auto" w:sz="4" w:space="0"/>
              <w:right w:val="single" w:color="auto" w:sz="4" w:space="0"/>
            </w:tcBorders>
            <w:shd w:val="clear" w:color="auto" w:fill="auto"/>
            <w:vAlign w:val="center"/>
          </w:tcPr>
          <w:p w14:paraId="0035EC51">
            <w:pPr>
              <w:widowControl/>
              <w:suppressAutoHyphens w:val="0"/>
              <w:overflowPunct/>
              <w:jc w:val="center"/>
              <w:rPr>
                <w:rFonts w:ascii="宋体" w:hAnsi="宋体" w:eastAsia="宋体" w:cs="宋体"/>
                <w:kern w:val="0"/>
                <w:sz w:val="22"/>
              </w:rPr>
            </w:pPr>
            <w:r>
              <w:rPr>
                <w:rFonts w:hint="eastAsia" w:ascii="宋体" w:hAnsi="宋体" w:eastAsia="宋体" w:cs="宋体"/>
                <w:kern w:val="0"/>
                <w:sz w:val="22"/>
              </w:rPr>
              <w:t>项</w:t>
            </w:r>
          </w:p>
        </w:tc>
        <w:tc>
          <w:tcPr>
            <w:tcW w:w="580" w:type="dxa"/>
            <w:tcBorders>
              <w:top w:val="nil"/>
              <w:left w:val="nil"/>
              <w:bottom w:val="single" w:color="auto" w:sz="4" w:space="0"/>
              <w:right w:val="single" w:color="auto" w:sz="4" w:space="0"/>
            </w:tcBorders>
            <w:shd w:val="clear" w:color="auto" w:fill="auto"/>
            <w:vAlign w:val="center"/>
          </w:tcPr>
          <w:p w14:paraId="0FFDAA33">
            <w:pPr>
              <w:widowControl/>
              <w:suppressAutoHyphens w:val="0"/>
              <w:overflowPunct/>
              <w:jc w:val="center"/>
              <w:rPr>
                <w:rFonts w:ascii="Times New Roman" w:hAnsi="Times New Roman" w:eastAsia="宋体" w:cs="Times New Roman"/>
                <w:kern w:val="0"/>
                <w:sz w:val="22"/>
              </w:rPr>
            </w:pPr>
            <w:r>
              <w:rPr>
                <w:rFonts w:ascii="Times New Roman" w:hAnsi="Times New Roman" w:eastAsia="宋体" w:cs="Times New Roman"/>
                <w:kern w:val="0"/>
                <w:sz w:val="22"/>
              </w:rPr>
              <w:t>1</w:t>
            </w:r>
          </w:p>
        </w:tc>
        <w:tc>
          <w:tcPr>
            <w:tcW w:w="700" w:type="dxa"/>
            <w:tcBorders>
              <w:top w:val="nil"/>
              <w:left w:val="nil"/>
              <w:bottom w:val="single" w:color="auto" w:sz="4" w:space="0"/>
              <w:right w:val="single" w:color="auto" w:sz="4" w:space="0"/>
            </w:tcBorders>
            <w:shd w:val="clear" w:color="auto" w:fill="auto"/>
            <w:noWrap/>
            <w:vAlign w:val="center"/>
          </w:tcPr>
          <w:p w14:paraId="1AC81E7C">
            <w:pPr>
              <w:widowControl/>
              <w:suppressAutoHyphens w:val="0"/>
              <w:overflowPunct/>
              <w:rPr>
                <w:rFonts w:ascii="宋体" w:hAnsi="宋体" w:eastAsia="宋体" w:cs="宋体"/>
                <w:color w:val="000000"/>
                <w:kern w:val="0"/>
                <w:sz w:val="22"/>
              </w:rPr>
            </w:pPr>
            <w:r>
              <w:rPr>
                <w:rFonts w:hint="eastAsia" w:ascii="宋体" w:hAnsi="宋体" w:eastAsia="宋体" w:cs="宋体"/>
                <w:color w:val="000000"/>
                <w:kern w:val="0"/>
                <w:sz w:val="22"/>
              </w:rPr>
              <w:t>　</w:t>
            </w:r>
          </w:p>
        </w:tc>
      </w:tr>
    </w:tbl>
    <w:p w14:paraId="514BAE23">
      <w:pPr>
        <w:rPr>
          <w:sz w:val="24"/>
          <w:szCs w:val="24"/>
        </w:rPr>
      </w:pPr>
    </w:p>
    <w:p w14:paraId="130C8465">
      <w:pPr>
        <w:rPr>
          <w:b/>
          <w:sz w:val="24"/>
          <w:szCs w:val="24"/>
        </w:rPr>
      </w:pPr>
      <w:r>
        <w:rPr>
          <w:rFonts w:hint="eastAsia"/>
          <w:b/>
          <w:sz w:val="24"/>
          <w:szCs w:val="24"/>
        </w:rPr>
        <w:t>二、一般界定</w:t>
      </w:r>
    </w:p>
    <w:p w14:paraId="505DD57B">
      <w:pPr>
        <w:rPr>
          <w:sz w:val="24"/>
          <w:szCs w:val="24"/>
        </w:rPr>
      </w:pPr>
      <w:r>
        <w:rPr>
          <w:rFonts w:hint="eastAsia"/>
          <w:sz w:val="24"/>
          <w:szCs w:val="24"/>
        </w:rPr>
        <w:t>1、供货范围包括本技术标书“采购货物概况” 所列及所要求的货物。</w:t>
      </w:r>
    </w:p>
    <w:p w14:paraId="7254DC12">
      <w:pPr>
        <w:rPr>
          <w:sz w:val="24"/>
          <w:szCs w:val="24"/>
        </w:rPr>
      </w:pPr>
      <w:r>
        <w:rPr>
          <w:rFonts w:hint="eastAsia"/>
          <w:sz w:val="24"/>
          <w:szCs w:val="24"/>
        </w:rPr>
        <w:t>2、供货范围包括为保证货物（或生产线）正常安装、调试和验收完成及以前所必需的整套配件、附件及材料、油料、控制软件及程序或指令等。</w:t>
      </w:r>
    </w:p>
    <w:p w14:paraId="67335F87">
      <w:pPr>
        <w:rPr>
          <w:sz w:val="24"/>
          <w:szCs w:val="24"/>
        </w:rPr>
      </w:pPr>
      <w:r>
        <w:rPr>
          <w:rFonts w:hint="eastAsia"/>
          <w:sz w:val="24"/>
          <w:szCs w:val="24"/>
        </w:rPr>
        <w:t>如果终验收完成后，投标方有需要收回的配件、附件、材料、油料等，应当在投标档的技术偏离条款中，予以详细说明；否则视同包括在供货范围之内。</w:t>
      </w:r>
    </w:p>
    <w:p w14:paraId="572302CC">
      <w:pPr>
        <w:rPr>
          <w:sz w:val="24"/>
          <w:szCs w:val="24"/>
        </w:rPr>
      </w:pPr>
      <w:r>
        <w:rPr>
          <w:rFonts w:hint="eastAsia"/>
          <w:sz w:val="24"/>
          <w:szCs w:val="24"/>
        </w:rPr>
        <w:t>3、供货范围包括货物（或生产线）维护维修所必需的专用工具。</w:t>
      </w:r>
    </w:p>
    <w:p w14:paraId="76FEB04A">
      <w:pPr>
        <w:rPr>
          <w:sz w:val="24"/>
          <w:szCs w:val="24"/>
        </w:rPr>
      </w:pPr>
      <w:r>
        <w:rPr>
          <w:rFonts w:hint="eastAsia"/>
          <w:sz w:val="24"/>
          <w:szCs w:val="24"/>
        </w:rPr>
        <w:t>4、供货范围包括货物（或生产线）为达到产品标准以及环保、消防和劳动安全卫生等国家法律、法规和标准、规范要求而配备但标书未明确提出的除尘系统、通风系统、近距离照明系统以及劳动安全防护设施（不包括人体防护用品）等使用现场配套的设备、材料等。</w:t>
      </w:r>
    </w:p>
    <w:p w14:paraId="14E11334">
      <w:pPr>
        <w:rPr>
          <w:sz w:val="24"/>
          <w:szCs w:val="24"/>
        </w:rPr>
      </w:pPr>
      <w:r>
        <w:rPr>
          <w:rFonts w:hint="eastAsia"/>
          <w:sz w:val="24"/>
          <w:szCs w:val="24"/>
        </w:rPr>
        <w:t>如投标方难以提供或无优势提供以及属于选用配置的，则应当在投标档的技术偏离条款中，予以详细说明并注明投标报价未包含该部分的货值。</w:t>
      </w:r>
    </w:p>
    <w:p w14:paraId="59EC9AB2">
      <w:pPr>
        <w:rPr>
          <w:sz w:val="24"/>
          <w:szCs w:val="24"/>
        </w:rPr>
      </w:pPr>
      <w:r>
        <w:rPr>
          <w:rFonts w:hint="eastAsia"/>
          <w:sz w:val="24"/>
          <w:szCs w:val="24"/>
        </w:rPr>
        <w:t>5、供货范围包括为保证货物（或生产线）自身正常运行所必需的、满足使用地点环境条件的通风、冷却、降温等必需设施。</w:t>
      </w:r>
    </w:p>
    <w:p w14:paraId="5DEC01F2">
      <w:pPr>
        <w:rPr>
          <w:sz w:val="24"/>
          <w:szCs w:val="24"/>
        </w:rPr>
      </w:pPr>
      <w:r>
        <w:rPr>
          <w:rFonts w:hint="eastAsia"/>
          <w:sz w:val="24"/>
          <w:szCs w:val="24"/>
        </w:rPr>
        <w:t>6、以“交钥匙”方式采购的货物，在满足技术标书本节上述要求之外，供货范围还包括如下界定（货物）：</w:t>
      </w:r>
    </w:p>
    <w:p w14:paraId="47ABBF8F">
      <w:pPr>
        <w:rPr>
          <w:sz w:val="24"/>
          <w:szCs w:val="24"/>
        </w:rPr>
      </w:pPr>
      <w:r>
        <w:rPr>
          <w:rFonts w:hint="eastAsia"/>
          <w:sz w:val="24"/>
          <w:szCs w:val="24"/>
        </w:rPr>
        <w:t>① 招标方只提供货物（或生产线）所需的厂房以及砼基础（基础不含预埋螺栓、螺母及垫片）；只提供符合本技术标书中“采购货物概况”和“使用环境”章节所列明质量的电力、自来水、压缩空气、蒸汽、天然气（或煤气）管线至系统界面，如：系统电力界面的接线端，水、气、汽等外围管线端联接法兰外端面。投标方负责货物拆箱、货物到厂房的吊装、就位；</w:t>
      </w:r>
    </w:p>
    <w:p w14:paraId="5203804F">
      <w:pPr>
        <w:rPr>
          <w:sz w:val="24"/>
          <w:szCs w:val="24"/>
        </w:rPr>
      </w:pPr>
      <w:r>
        <w:rPr>
          <w:rFonts w:hint="eastAsia"/>
          <w:sz w:val="24"/>
          <w:szCs w:val="24"/>
        </w:rPr>
        <w:t>② 供货范围包括货物（或生产线）正常运行所必需的全套连线设备、材料等。如货物端联接法兰外端面之内的、电气系统界面压线板（插座等）之内的设备、材料、联接螺栓、垫片等。</w:t>
      </w:r>
    </w:p>
    <w:p w14:paraId="26B30CF7">
      <w:pPr>
        <w:rPr>
          <w:sz w:val="24"/>
          <w:szCs w:val="24"/>
        </w:rPr>
      </w:pPr>
      <w:r>
        <w:rPr>
          <w:rFonts w:hint="eastAsia"/>
          <w:sz w:val="24"/>
          <w:szCs w:val="24"/>
        </w:rPr>
        <w:t>③ 供货范围包括货物（或生产线）正常运行、使用所需要的过桥、护栏、防护网、盖板等辅助设施。</w:t>
      </w:r>
    </w:p>
    <w:p w14:paraId="07795811">
      <w:pPr>
        <w:rPr>
          <w:rFonts w:ascii="Times New Roman" w:hAnsi="Times New Roman" w:cs="Times New Roman"/>
          <w:color w:val="000000"/>
          <w:sz w:val="24"/>
          <w:szCs w:val="24"/>
        </w:rPr>
      </w:pPr>
      <w:r>
        <w:rPr>
          <w:rFonts w:hint="eastAsia"/>
          <w:sz w:val="24"/>
          <w:szCs w:val="24"/>
        </w:rPr>
        <w:t>④ 供货范围包括招标档中无明确具体要求而投标方认为具备的其他货物。但是，在投标档报价明细中，该部分货物单独报价（该报价含运杂费及税费等其他费用，而且不再作为其他报价涉及的其他费用的计算基数）</w:t>
      </w:r>
      <w:r>
        <w:rPr>
          <w:rFonts w:hint="eastAsia" w:ascii="Times New Roman" w:hAnsi="Times New Roman" w:cs="Times New Roman"/>
          <w:color w:val="000000"/>
          <w:sz w:val="24"/>
          <w:szCs w:val="24"/>
        </w:rPr>
        <w:t>。</w:t>
      </w:r>
    </w:p>
    <w:p w14:paraId="471DCC6C">
      <w:pPr>
        <w:rPr>
          <w:rFonts w:ascii="Times New Roman" w:hAnsi="Times New Roman" w:cs="Times New Roman"/>
          <w:color w:val="000000"/>
          <w:sz w:val="24"/>
          <w:szCs w:val="24"/>
        </w:rPr>
      </w:pPr>
    </w:p>
    <w:p w14:paraId="5240F1B9">
      <w:pPr>
        <w:rPr>
          <w:b/>
          <w:sz w:val="24"/>
          <w:szCs w:val="24"/>
        </w:rPr>
      </w:pPr>
      <w:r>
        <w:rPr>
          <w:rFonts w:hint="eastAsia"/>
          <w:b/>
          <w:sz w:val="24"/>
          <w:szCs w:val="24"/>
        </w:rPr>
        <w:t>三、备品备件、易损件和专用耗材供货范围</w:t>
      </w:r>
    </w:p>
    <w:p w14:paraId="3CA36AE5">
      <w:pPr>
        <w:rPr>
          <w:sz w:val="24"/>
          <w:szCs w:val="24"/>
        </w:rPr>
      </w:pPr>
      <w:r>
        <w:rPr>
          <w:rFonts w:hint="eastAsia"/>
          <w:sz w:val="24"/>
          <w:szCs w:val="24"/>
        </w:rPr>
        <w:t>1、招标方招标档所指备品备件、易损件和专用耗材，是招标方为保证设备质保期之后正常运行一年所自备自用的备品备件、易损件和专用耗材；</w:t>
      </w:r>
    </w:p>
    <w:p w14:paraId="09CC5C92">
      <w:pPr>
        <w:rPr>
          <w:sz w:val="24"/>
          <w:szCs w:val="24"/>
        </w:rPr>
      </w:pPr>
      <w:r>
        <w:rPr>
          <w:rFonts w:hint="eastAsia"/>
          <w:sz w:val="24"/>
          <w:szCs w:val="24"/>
        </w:rPr>
        <w:t>2、投标方应提供设备维修所必需的专用工具，并附详细清单（包括名称、型号、规格、单位、数量、生产厂家、单价、总价等条目）；</w:t>
      </w:r>
    </w:p>
    <w:p w14:paraId="75409820">
      <w:pPr>
        <w:rPr>
          <w:sz w:val="24"/>
          <w:szCs w:val="24"/>
        </w:rPr>
      </w:pPr>
      <w:r>
        <w:rPr>
          <w:rFonts w:hint="eastAsia"/>
          <w:sz w:val="24"/>
          <w:szCs w:val="24"/>
        </w:rPr>
        <w:t>3、投标方应提供易损件和专用耗材的制造图纸及其技术要求等资料；</w:t>
      </w:r>
    </w:p>
    <w:p w14:paraId="50A3D6FB">
      <w:pPr>
        <w:rPr>
          <w:sz w:val="24"/>
          <w:szCs w:val="24"/>
        </w:rPr>
      </w:pPr>
      <w:r>
        <w:rPr>
          <w:rFonts w:hint="eastAsia"/>
          <w:sz w:val="24"/>
          <w:szCs w:val="24"/>
        </w:rPr>
        <w:t>4、为了保证设备质保期满后，还能得到优惠的备件供应，投标方须提供每个部件的零件图，还需提供一份常用的零部件及外购件（含易损件、易耗品等）价格表及供货周期，以后每年以此次报价为基准，允许根据市场情况进行一次调整。标准设备和非标设备的工装备件清单、投标方、联系方式、价格，在合同签订之后六个月内提交给招标方。</w:t>
      </w:r>
    </w:p>
    <w:p w14:paraId="5E79909D">
      <w:pPr>
        <w:rPr>
          <w:sz w:val="24"/>
          <w:szCs w:val="24"/>
        </w:rPr>
      </w:pPr>
      <w:r>
        <w:rPr>
          <w:rFonts w:hint="eastAsia"/>
          <w:sz w:val="24"/>
          <w:szCs w:val="24"/>
        </w:rPr>
        <w:t>5.备品备件、易损件和专用耗材，其费用应分类单列，并计入投标总报价之内。</w:t>
      </w:r>
    </w:p>
    <w:p w14:paraId="18374F69">
      <w:pPr>
        <w:rPr>
          <w:b/>
          <w:sz w:val="24"/>
          <w:szCs w:val="24"/>
        </w:rPr>
      </w:pPr>
      <w:r>
        <w:rPr>
          <w:rFonts w:hint="eastAsia"/>
          <w:b/>
          <w:sz w:val="24"/>
          <w:szCs w:val="24"/>
        </w:rPr>
        <w:t>四、技术资料供货范围</w:t>
      </w:r>
    </w:p>
    <w:p w14:paraId="13296C22">
      <w:pPr>
        <w:rPr>
          <w:sz w:val="24"/>
          <w:szCs w:val="24"/>
        </w:rPr>
      </w:pPr>
      <w:r>
        <w:rPr>
          <w:rFonts w:hint="eastAsia"/>
          <w:sz w:val="24"/>
          <w:szCs w:val="24"/>
        </w:rPr>
        <w:t>1、在终验收前，提供确定的维修所需要且招标方可以自行采购的外购件、外协件、电气元件及主要原材料的供货厂家明细表。</w:t>
      </w:r>
    </w:p>
    <w:p w14:paraId="4A3FECD0">
      <w:pPr>
        <w:rPr>
          <w:sz w:val="24"/>
          <w:szCs w:val="24"/>
        </w:rPr>
      </w:pPr>
      <w:r>
        <w:rPr>
          <w:rFonts w:hint="eastAsia"/>
          <w:sz w:val="24"/>
          <w:szCs w:val="24"/>
        </w:rPr>
        <w:t>2、在终验收后、终验收后的第一笔货款支付日之前，提供包括货物的备品备件、易损件和专用耗材的图纸及技术参数、技术要求等资料。</w:t>
      </w:r>
    </w:p>
    <w:p w14:paraId="5EDFBB09">
      <w:pPr>
        <w:rPr>
          <w:sz w:val="24"/>
          <w:szCs w:val="24"/>
        </w:rPr>
      </w:pPr>
      <w:r>
        <w:rPr>
          <w:rFonts w:hint="eastAsia"/>
          <w:sz w:val="24"/>
          <w:szCs w:val="24"/>
        </w:rPr>
        <w:t>3、在终验收后、终验收后的第一笔货款支付日之前，提供关于采购货物的使用说明书、合格证等技术资料。</w:t>
      </w:r>
    </w:p>
    <w:p w14:paraId="49AADBD9">
      <w:pPr>
        <w:rPr>
          <w:sz w:val="24"/>
          <w:szCs w:val="24"/>
        </w:rPr>
      </w:pPr>
      <w:r>
        <w:rPr>
          <w:rFonts w:hint="eastAsia"/>
          <w:sz w:val="24"/>
          <w:szCs w:val="24"/>
        </w:rPr>
        <w:t>4、在终验收后、终验收后的第一笔货款支付日之前，提供关于采购货物（或生产线）的电气资料（包括接线图、原理图、布线图、梯形图等）。</w:t>
      </w:r>
    </w:p>
    <w:p w14:paraId="7EA2C622">
      <w:pPr>
        <w:rPr>
          <w:sz w:val="24"/>
          <w:szCs w:val="24"/>
        </w:rPr>
      </w:pPr>
      <w:r>
        <w:rPr>
          <w:rFonts w:hint="eastAsia"/>
          <w:sz w:val="24"/>
          <w:szCs w:val="24"/>
        </w:rPr>
        <w:t>5、本条款所列的技术资料、图片等，投标方应各</w:t>
      </w:r>
      <w:r>
        <w:rPr>
          <w:rFonts w:hint="eastAsia"/>
          <w:color w:val="000000"/>
          <w:sz w:val="24"/>
          <w:szCs w:val="24"/>
        </w:rPr>
        <w:t>提供2套，其中1套</w:t>
      </w:r>
      <w:r>
        <w:rPr>
          <w:rFonts w:hint="eastAsia"/>
          <w:sz w:val="24"/>
          <w:szCs w:val="24"/>
        </w:rPr>
        <w:t>为电子版光盘；每份技术档应装有目录清单，电子版及纸板内容编排一致，方便查阅。</w:t>
      </w:r>
    </w:p>
    <w:p w14:paraId="260F5FFA">
      <w:pPr>
        <w:rPr>
          <w:rFonts w:ascii="Times New Roman" w:hAnsi="Times New Roman" w:cs="Times New Roman"/>
          <w:color w:val="000000"/>
          <w:sz w:val="24"/>
          <w:szCs w:val="24"/>
        </w:rPr>
      </w:pPr>
      <w:r>
        <w:rPr>
          <w:rFonts w:hint="eastAsia"/>
          <w:sz w:val="24"/>
          <w:szCs w:val="24"/>
        </w:rPr>
        <w:t>6、本条款所列要求，如招标方认为投标方提供的资料不能满足要求时，有权要求投标方免费补充或增加。</w:t>
      </w:r>
    </w:p>
    <w:p w14:paraId="41FD27B8">
      <w:pPr>
        <w:rPr>
          <w:b/>
          <w:sz w:val="24"/>
          <w:szCs w:val="24"/>
        </w:rPr>
      </w:pPr>
      <w:r>
        <w:rPr>
          <w:rFonts w:hint="eastAsia"/>
          <w:b/>
          <w:sz w:val="24"/>
          <w:szCs w:val="24"/>
        </w:rPr>
        <w:t>五、供货范围特别提示</w:t>
      </w:r>
    </w:p>
    <w:p w14:paraId="536B8239">
      <w:pPr>
        <w:rPr>
          <w:sz w:val="24"/>
          <w:szCs w:val="24"/>
        </w:rPr>
      </w:pPr>
      <w:r>
        <w:rPr>
          <w:sz w:val="24"/>
          <w:szCs w:val="24"/>
        </w:rPr>
        <w:t>如果投标方认为本节所列的供货范围难以满足，则仍需要按照本要求提供，但该部分货物应当在投标报价中单独列明货物名称及质量、货值。</w:t>
      </w:r>
    </w:p>
    <w:p w14:paraId="18E77939">
      <w:pPr>
        <w:rPr>
          <w:sz w:val="24"/>
          <w:szCs w:val="24"/>
        </w:rPr>
      </w:pPr>
    </w:p>
    <w:p w14:paraId="57083C64">
      <w:pPr>
        <w:jc w:val="center"/>
        <w:rPr>
          <w:b/>
          <w:sz w:val="24"/>
          <w:szCs w:val="24"/>
        </w:rPr>
      </w:pPr>
      <w:r>
        <w:rPr>
          <w:rFonts w:hint="eastAsia"/>
          <w:b/>
          <w:sz w:val="24"/>
          <w:szCs w:val="24"/>
        </w:rPr>
        <w:t>第二节  供货方式</w:t>
      </w:r>
    </w:p>
    <w:p w14:paraId="53AF9224">
      <w:pPr>
        <w:rPr>
          <w:b/>
          <w:sz w:val="24"/>
          <w:szCs w:val="24"/>
        </w:rPr>
      </w:pPr>
      <w:r>
        <w:rPr>
          <w:rFonts w:hint="eastAsia"/>
          <w:b/>
          <w:sz w:val="24"/>
          <w:szCs w:val="24"/>
        </w:rPr>
        <w:t>一、供货方式</w:t>
      </w:r>
    </w:p>
    <w:p w14:paraId="0DC6A73A">
      <w:pPr>
        <w:rPr>
          <w:sz w:val="24"/>
          <w:szCs w:val="24"/>
        </w:rPr>
      </w:pPr>
      <w:r>
        <w:rPr>
          <w:sz w:val="24"/>
          <w:szCs w:val="24"/>
        </w:rPr>
        <w:t>完全交钥匙方式，即本次招标货物至少包括以下货物及服务：非标或特需设计，制造，必要的卖方现场预验收，至交货地点的运输（含定点装卸），安装，调试，买方安装地竣工验收服务，货物移交，约定培训等全流程范围。</w:t>
      </w:r>
    </w:p>
    <w:p w14:paraId="1AFA3609">
      <w:pPr>
        <w:rPr>
          <w:b/>
          <w:sz w:val="24"/>
          <w:szCs w:val="24"/>
        </w:rPr>
      </w:pPr>
      <w:r>
        <w:rPr>
          <w:rFonts w:hint="eastAsia"/>
          <w:b/>
          <w:sz w:val="24"/>
          <w:szCs w:val="24"/>
        </w:rPr>
        <w:t>二、供货地点</w:t>
      </w:r>
    </w:p>
    <w:p w14:paraId="5BE6F893">
      <w:pPr>
        <w:rPr>
          <w:sz w:val="24"/>
          <w:szCs w:val="24"/>
        </w:rPr>
      </w:pPr>
      <w:r>
        <w:rPr>
          <w:rFonts w:hint="eastAsia"/>
          <w:sz w:val="24"/>
          <w:szCs w:val="24"/>
        </w:rPr>
        <w:t>中国重汽集团杭州发动机有限公司（浙江省杭州市萧山经济技术开发区红泰六路6</w:t>
      </w:r>
      <w:r>
        <w:rPr>
          <w:sz w:val="24"/>
          <w:szCs w:val="24"/>
        </w:rPr>
        <w:t>99号）。</w:t>
      </w:r>
    </w:p>
    <w:p w14:paraId="1A359593">
      <w:pPr>
        <w:rPr>
          <w:b/>
          <w:sz w:val="24"/>
          <w:szCs w:val="24"/>
        </w:rPr>
      </w:pPr>
      <w:r>
        <w:rPr>
          <w:rFonts w:hint="eastAsia"/>
          <w:b/>
          <w:sz w:val="24"/>
          <w:szCs w:val="24"/>
        </w:rPr>
        <w:t>三、供货时间：</w:t>
      </w:r>
    </w:p>
    <w:p w14:paraId="34AE9780">
      <w:pPr>
        <w:rPr>
          <w:sz w:val="24"/>
          <w:szCs w:val="24"/>
        </w:rPr>
      </w:pPr>
      <w:r>
        <w:rPr>
          <w:rFonts w:hint="eastAsia"/>
          <w:sz w:val="24"/>
          <w:szCs w:val="24"/>
        </w:rPr>
        <w:t>自合同签定生效之日起，</w:t>
      </w:r>
      <w:r>
        <w:rPr>
          <w:rFonts w:hint="eastAsia"/>
          <w:sz w:val="24"/>
          <w:szCs w:val="24"/>
          <w:u w:val="single"/>
        </w:rPr>
        <w:t xml:space="preserve"> </w:t>
      </w:r>
      <w:r>
        <w:rPr>
          <w:color w:val="FF0000"/>
          <w:sz w:val="24"/>
          <w:szCs w:val="24"/>
          <w:u w:val="single"/>
        </w:rPr>
        <w:t>180</w:t>
      </w:r>
      <w:r>
        <w:rPr>
          <w:rFonts w:hint="eastAsia"/>
          <w:sz w:val="24"/>
          <w:szCs w:val="24"/>
        </w:rPr>
        <w:t>个日历日之内交货至供货地点。</w:t>
      </w:r>
    </w:p>
    <w:p w14:paraId="5628459E">
      <w:pPr>
        <w:rPr>
          <w:sz w:val="24"/>
          <w:szCs w:val="24"/>
        </w:rPr>
      </w:pPr>
      <w:r>
        <w:rPr>
          <w:rFonts w:hint="eastAsia"/>
          <w:sz w:val="24"/>
          <w:szCs w:val="24"/>
        </w:rPr>
        <w:t>接续</w:t>
      </w:r>
      <w:r>
        <w:rPr>
          <w:rFonts w:hint="eastAsia"/>
          <w:color w:val="FF0000"/>
          <w:sz w:val="24"/>
          <w:szCs w:val="24"/>
          <w:u w:val="single"/>
        </w:rPr>
        <w:t>30</w:t>
      </w:r>
      <w:r>
        <w:rPr>
          <w:rFonts w:hint="eastAsia"/>
          <w:sz w:val="24"/>
          <w:szCs w:val="24"/>
          <w:u w:val="single"/>
        </w:rPr>
        <w:t xml:space="preserve"> </w:t>
      </w:r>
      <w:r>
        <w:rPr>
          <w:rFonts w:hint="eastAsia"/>
          <w:sz w:val="24"/>
          <w:szCs w:val="24"/>
        </w:rPr>
        <w:t>个日历日之内一期四个台架和两个设备间安装调试完毕，投入使用。</w:t>
      </w:r>
    </w:p>
    <w:p w14:paraId="47039B6E">
      <w:pPr>
        <w:rPr>
          <w:sz w:val="24"/>
          <w:szCs w:val="24"/>
        </w:rPr>
      </w:pPr>
      <w:r>
        <w:rPr>
          <w:rFonts w:hint="eastAsia"/>
          <w:sz w:val="24"/>
          <w:szCs w:val="24"/>
        </w:rPr>
        <w:t>接续</w:t>
      </w:r>
      <w:r>
        <w:rPr>
          <w:color w:val="FF0000"/>
          <w:sz w:val="24"/>
          <w:szCs w:val="24"/>
          <w:u w:val="single"/>
        </w:rPr>
        <w:t>6</w:t>
      </w:r>
      <w:r>
        <w:rPr>
          <w:rFonts w:hint="eastAsia"/>
          <w:color w:val="FF0000"/>
          <w:sz w:val="24"/>
          <w:szCs w:val="24"/>
          <w:u w:val="single"/>
        </w:rPr>
        <w:t>0</w:t>
      </w:r>
      <w:r>
        <w:rPr>
          <w:rFonts w:hint="eastAsia"/>
          <w:sz w:val="24"/>
          <w:szCs w:val="24"/>
          <w:u w:val="single"/>
        </w:rPr>
        <w:t xml:space="preserve"> </w:t>
      </w:r>
      <w:r>
        <w:rPr>
          <w:rFonts w:hint="eastAsia"/>
          <w:sz w:val="24"/>
          <w:szCs w:val="24"/>
        </w:rPr>
        <w:t>个日历日之内二期五个台架和三个设备间安装调试完毕，投入使用。</w:t>
      </w:r>
    </w:p>
    <w:p w14:paraId="423B08A2">
      <w:pPr>
        <w:rPr>
          <w:sz w:val="24"/>
          <w:szCs w:val="24"/>
        </w:rPr>
      </w:pPr>
      <w:r>
        <w:rPr>
          <w:rFonts w:hint="eastAsia"/>
          <w:sz w:val="24"/>
          <w:szCs w:val="24"/>
        </w:rPr>
        <w:t>接续</w:t>
      </w:r>
      <w:r>
        <w:rPr>
          <w:rFonts w:hint="eastAsia"/>
          <w:color w:val="FF0000"/>
          <w:sz w:val="24"/>
          <w:szCs w:val="24"/>
          <w:u w:val="single"/>
        </w:rPr>
        <w:t xml:space="preserve"> </w:t>
      </w:r>
      <w:r>
        <w:rPr>
          <w:color w:val="FF0000"/>
          <w:sz w:val="24"/>
          <w:szCs w:val="24"/>
          <w:u w:val="single"/>
        </w:rPr>
        <w:t>3</w:t>
      </w:r>
      <w:r>
        <w:rPr>
          <w:rFonts w:hint="eastAsia"/>
          <w:color w:val="FF0000"/>
          <w:sz w:val="24"/>
          <w:szCs w:val="24"/>
          <w:u w:val="single"/>
        </w:rPr>
        <w:t>0</w:t>
      </w:r>
      <w:r>
        <w:rPr>
          <w:rFonts w:hint="eastAsia"/>
          <w:sz w:val="24"/>
          <w:szCs w:val="24"/>
        </w:rPr>
        <w:t>个日历日之内完成终验收。</w:t>
      </w:r>
    </w:p>
    <w:p w14:paraId="4CC59B7A">
      <w:pPr>
        <w:rPr>
          <w:sz w:val="24"/>
          <w:szCs w:val="24"/>
        </w:rPr>
      </w:pPr>
      <w:r>
        <w:rPr>
          <w:rFonts w:hint="eastAsia"/>
          <w:sz w:val="24"/>
          <w:szCs w:val="24"/>
        </w:rPr>
        <w:t>安装调试工期超过规定时间的，投标人应当随标书提供详细的工期计划。</w:t>
      </w:r>
    </w:p>
    <w:p w14:paraId="1565A3ED">
      <w:pPr>
        <w:rPr>
          <w:b/>
          <w:sz w:val="24"/>
          <w:szCs w:val="24"/>
        </w:rPr>
      </w:pPr>
      <w:r>
        <w:rPr>
          <w:rFonts w:hint="eastAsia"/>
          <w:b/>
          <w:sz w:val="24"/>
          <w:szCs w:val="24"/>
        </w:rPr>
        <w:t>四、包装</w:t>
      </w:r>
    </w:p>
    <w:p w14:paraId="72340718">
      <w:pPr>
        <w:rPr>
          <w:sz w:val="24"/>
          <w:szCs w:val="24"/>
        </w:rPr>
      </w:pPr>
      <w:r>
        <w:rPr>
          <w:sz w:val="24"/>
          <w:szCs w:val="24"/>
        </w:rPr>
        <w:t>1、所提供货物（或设备）的包装，应遵照国家标准和有关包装、包皮的技术条件，或按照最好的商业惯例进行包装。</w:t>
      </w:r>
    </w:p>
    <w:p w14:paraId="1B7D7011">
      <w:pPr>
        <w:rPr>
          <w:sz w:val="24"/>
          <w:szCs w:val="24"/>
        </w:rPr>
      </w:pPr>
      <w:r>
        <w:rPr>
          <w:sz w:val="24"/>
          <w:szCs w:val="24"/>
        </w:rPr>
        <w:t>2、包装应能满足所需要采取的运输方式（船运、汽运或铁路运输）、多次吊装卸装、卸货以及长期露天堆放要求，应能防止雨淋、受潮、生锈、腐蚀、受振、受磁以及机械和化学因素等引起的损坏。</w:t>
      </w:r>
    </w:p>
    <w:p w14:paraId="449DDB7B">
      <w:pPr>
        <w:rPr>
          <w:sz w:val="24"/>
          <w:szCs w:val="24"/>
        </w:rPr>
      </w:pPr>
      <w:r>
        <w:rPr>
          <w:sz w:val="24"/>
          <w:szCs w:val="24"/>
        </w:rPr>
        <w:t>3、所提供货物（或设备）的包装，应能防止其一般性被窃或受外力破坏；一般不得采用有大缝隙的板条包装。</w:t>
      </w:r>
    </w:p>
    <w:p w14:paraId="033870AE">
      <w:pPr>
        <w:rPr>
          <w:sz w:val="24"/>
          <w:szCs w:val="24"/>
        </w:rPr>
      </w:pPr>
      <w:r>
        <w:rPr>
          <w:sz w:val="24"/>
          <w:szCs w:val="24"/>
        </w:rPr>
        <w:t>4、应对包装件做必要的加固和固定，以防止运输可能造成的损坏。</w:t>
      </w:r>
    </w:p>
    <w:p w14:paraId="6228B061">
      <w:pPr>
        <w:rPr>
          <w:sz w:val="24"/>
          <w:szCs w:val="24"/>
        </w:rPr>
      </w:pPr>
      <w:r>
        <w:rPr>
          <w:sz w:val="24"/>
          <w:szCs w:val="24"/>
        </w:rPr>
        <w:t>5、每个包装件应有装箱单，并至少标明名称、型号规格、数量、净重和毛重、投标方（或供货商）名称和制造日期等相关内容。</w:t>
      </w:r>
    </w:p>
    <w:p w14:paraId="24BD089F">
      <w:pPr>
        <w:rPr>
          <w:sz w:val="24"/>
          <w:szCs w:val="24"/>
        </w:rPr>
      </w:pPr>
      <w:r>
        <w:rPr>
          <w:sz w:val="24"/>
          <w:szCs w:val="24"/>
        </w:rPr>
        <w:t>6、每个包装箱应有明显标志，并具有中文书写的合同号、装运标志、发货和到货地点名称、发货人和收货人名称、货物名称和项目号、箱号和外型尺寸等内容。</w:t>
      </w:r>
    </w:p>
    <w:p w14:paraId="278DE6BF">
      <w:pPr>
        <w:rPr>
          <w:sz w:val="24"/>
          <w:szCs w:val="24"/>
        </w:rPr>
      </w:pPr>
      <w:r>
        <w:rPr>
          <w:sz w:val="24"/>
          <w:szCs w:val="24"/>
        </w:rPr>
        <w:t>7、应按照不同的装运要求在包装箱上标明“小心轻放”、“箭头向上”、“防潮”、“防磁”、“不准平放”等标志，以及其他适用的国标通用标志。</w:t>
      </w:r>
    </w:p>
    <w:p w14:paraId="1B81609A">
      <w:pPr>
        <w:rPr>
          <w:sz w:val="24"/>
          <w:szCs w:val="24"/>
        </w:rPr>
      </w:pPr>
      <w:r>
        <w:rPr>
          <w:sz w:val="24"/>
          <w:szCs w:val="24"/>
        </w:rPr>
        <w:t>8、包装箱应连续编号，不应出现重复编号。</w:t>
      </w:r>
    </w:p>
    <w:p w14:paraId="77858C2B">
      <w:pPr>
        <w:rPr>
          <w:sz w:val="24"/>
          <w:szCs w:val="24"/>
        </w:rPr>
      </w:pPr>
      <w:r>
        <w:rPr>
          <w:sz w:val="24"/>
          <w:szCs w:val="24"/>
        </w:rPr>
        <w:t>9、在不受到外界破坏情况下，包装应保证自交货日起一年内货物（或设备）完好无损。</w:t>
      </w:r>
    </w:p>
    <w:p w14:paraId="2D94A849">
      <w:pPr>
        <w:rPr>
          <w:b/>
          <w:sz w:val="24"/>
          <w:szCs w:val="24"/>
        </w:rPr>
      </w:pPr>
      <w:r>
        <w:rPr>
          <w:rFonts w:hint="eastAsia"/>
          <w:b/>
          <w:sz w:val="24"/>
          <w:szCs w:val="24"/>
        </w:rPr>
        <w:t>五、运输</w:t>
      </w:r>
    </w:p>
    <w:p w14:paraId="45101AAB">
      <w:pPr>
        <w:rPr>
          <w:sz w:val="24"/>
          <w:szCs w:val="24"/>
        </w:rPr>
      </w:pPr>
      <w:r>
        <w:rPr>
          <w:sz w:val="24"/>
          <w:szCs w:val="24"/>
        </w:rPr>
        <w:t>1、应负责将货物（或设备）运到目的地，并必须做到货物（或设备）在任何运输过程中不受损坏和遗失。</w:t>
      </w:r>
    </w:p>
    <w:p w14:paraId="5130BF80">
      <w:pPr>
        <w:rPr>
          <w:sz w:val="24"/>
          <w:szCs w:val="24"/>
        </w:rPr>
      </w:pPr>
      <w:r>
        <w:rPr>
          <w:sz w:val="24"/>
          <w:szCs w:val="24"/>
        </w:rPr>
        <w:t>2、一般情况下，经由铁路、公路运输的包装件尺寸和重量不应超过国家所规定的尺寸限制。特殊情况应予以说明。</w:t>
      </w:r>
    </w:p>
    <w:p w14:paraId="0E9698CF">
      <w:pPr>
        <w:rPr>
          <w:sz w:val="24"/>
          <w:szCs w:val="24"/>
        </w:rPr>
      </w:pPr>
      <w:r>
        <w:rPr>
          <w:sz w:val="24"/>
          <w:szCs w:val="24"/>
        </w:rPr>
        <w:t>3、在每批货物（或设备）发出后，应立即通知买方；通知中应指明：合同号、货运单号、件数、重量和货物（或设备）发出日期等相关内容。</w:t>
      </w:r>
    </w:p>
    <w:p w14:paraId="104A9699">
      <w:pPr>
        <w:rPr>
          <w:sz w:val="24"/>
          <w:szCs w:val="24"/>
        </w:rPr>
      </w:pPr>
      <w:r>
        <w:rPr>
          <w:sz w:val="24"/>
          <w:szCs w:val="24"/>
        </w:rPr>
        <w:t>4、货物（或设备）运抵交货地点后，应负责货物（或设备）的卸货、搬运、保管等事宜；或按照合同约定。</w:t>
      </w:r>
    </w:p>
    <w:p w14:paraId="6057D6A4">
      <w:pPr>
        <w:rPr>
          <w:sz w:val="24"/>
          <w:szCs w:val="24"/>
        </w:rPr>
      </w:pPr>
    </w:p>
    <w:p w14:paraId="3263423A">
      <w:pPr>
        <w:jc w:val="center"/>
        <w:rPr>
          <w:b/>
          <w:sz w:val="24"/>
          <w:szCs w:val="24"/>
        </w:rPr>
      </w:pPr>
      <w:r>
        <w:rPr>
          <w:b/>
          <w:sz w:val="24"/>
          <w:szCs w:val="24"/>
        </w:rPr>
        <w:t>第</w:t>
      </w:r>
      <w:r>
        <w:rPr>
          <w:rFonts w:hint="eastAsia"/>
          <w:b/>
          <w:sz w:val="24"/>
          <w:szCs w:val="24"/>
        </w:rPr>
        <w:t>四</w:t>
      </w:r>
      <w:r>
        <w:rPr>
          <w:b/>
          <w:sz w:val="24"/>
          <w:szCs w:val="24"/>
        </w:rPr>
        <w:t>章  质保期及售后服务</w:t>
      </w:r>
    </w:p>
    <w:p w14:paraId="1311F281">
      <w:pPr>
        <w:rPr>
          <w:b/>
          <w:sz w:val="24"/>
          <w:szCs w:val="24"/>
        </w:rPr>
      </w:pPr>
      <w:r>
        <w:rPr>
          <w:rFonts w:hint="eastAsia"/>
          <w:b/>
          <w:sz w:val="24"/>
          <w:szCs w:val="24"/>
        </w:rPr>
        <w:t>一、质保期及质保要求</w:t>
      </w:r>
    </w:p>
    <w:p w14:paraId="705765A8">
      <w:pPr>
        <w:rPr>
          <w:sz w:val="24"/>
          <w:szCs w:val="24"/>
        </w:rPr>
      </w:pPr>
      <w:r>
        <w:rPr>
          <w:sz w:val="24"/>
          <w:szCs w:val="24"/>
        </w:rPr>
        <w:t>1、全部供货范围内的设备、材料、零配件和工器具等，除合同特别约定外，其质保期均自终验收签字生效之日起</w:t>
      </w:r>
      <w:r>
        <w:rPr>
          <w:rFonts w:hint="eastAsia"/>
          <w:sz w:val="24"/>
          <w:szCs w:val="24"/>
          <w:u w:val="single"/>
        </w:rPr>
        <w:t xml:space="preserve"> </w:t>
      </w:r>
      <w:r>
        <w:rPr>
          <w:sz w:val="24"/>
          <w:szCs w:val="24"/>
          <w:u w:val="single"/>
        </w:rPr>
        <w:t>12</w:t>
      </w:r>
      <w:r>
        <w:rPr>
          <w:rFonts w:hint="eastAsia"/>
          <w:sz w:val="24"/>
          <w:szCs w:val="24"/>
          <w:u w:val="single"/>
        </w:rPr>
        <w:t xml:space="preserve"> </w:t>
      </w:r>
      <w:r>
        <w:rPr>
          <w:sz w:val="24"/>
          <w:szCs w:val="24"/>
        </w:rPr>
        <w:t>个月。</w:t>
      </w:r>
    </w:p>
    <w:p w14:paraId="760D8799">
      <w:pPr>
        <w:rPr>
          <w:sz w:val="24"/>
          <w:szCs w:val="24"/>
        </w:rPr>
      </w:pPr>
      <w:r>
        <w:rPr>
          <w:sz w:val="24"/>
          <w:szCs w:val="24"/>
        </w:rPr>
        <w:t>投标货物或涉及的关键总成和零件，如果有更长时间质保期，允许更改并说明，此将有利于投标方。设计使用寿命短于质保期的易损件除外，但属于易损件的，应当有明确说明。</w:t>
      </w:r>
    </w:p>
    <w:p w14:paraId="14C3B969">
      <w:pPr>
        <w:rPr>
          <w:sz w:val="24"/>
          <w:szCs w:val="24"/>
        </w:rPr>
      </w:pPr>
      <w:r>
        <w:rPr>
          <w:sz w:val="24"/>
          <w:szCs w:val="24"/>
        </w:rPr>
        <w:t>2、质保期之内，如果货物出现设备、总成、关键零部件或者多处一般零部件的二次以上的更换或维修行为，则质保期自更换或维修行为结束、货物重新正常运行使用之日起重新计算。</w:t>
      </w:r>
    </w:p>
    <w:p w14:paraId="0DFFAD9F">
      <w:pPr>
        <w:rPr>
          <w:sz w:val="24"/>
          <w:szCs w:val="24"/>
        </w:rPr>
      </w:pPr>
      <w:r>
        <w:rPr>
          <w:sz w:val="24"/>
          <w:szCs w:val="24"/>
        </w:rPr>
        <w:t>3、质保期内免费提供零部件和及时有效的服务。质保期内因货物本身缺陷造成的各种故障，卖方应负责免费维修和服务。</w:t>
      </w:r>
    </w:p>
    <w:p w14:paraId="23C6593A">
      <w:pPr>
        <w:rPr>
          <w:sz w:val="24"/>
          <w:szCs w:val="24"/>
        </w:rPr>
      </w:pPr>
      <w:r>
        <w:rPr>
          <w:sz w:val="24"/>
          <w:szCs w:val="24"/>
        </w:rPr>
        <w:t>4、质保期终止之日起一年内重复出现的质保期之内出现的故障，仍属质保范围而且应当免费。</w:t>
      </w:r>
    </w:p>
    <w:p w14:paraId="23422BAA">
      <w:pPr>
        <w:rPr>
          <w:b/>
          <w:sz w:val="24"/>
          <w:szCs w:val="24"/>
        </w:rPr>
      </w:pPr>
      <w:r>
        <w:rPr>
          <w:rFonts w:hint="eastAsia"/>
          <w:b/>
          <w:sz w:val="24"/>
          <w:szCs w:val="24"/>
        </w:rPr>
        <w:t>二、技术及培训服务</w:t>
      </w:r>
    </w:p>
    <w:p w14:paraId="0A81B4D0">
      <w:pPr>
        <w:rPr>
          <w:sz w:val="24"/>
          <w:szCs w:val="24"/>
        </w:rPr>
      </w:pPr>
      <w:r>
        <w:rPr>
          <w:sz w:val="24"/>
          <w:szCs w:val="24"/>
        </w:rPr>
        <w:t>1</w:t>
      </w:r>
      <w:r>
        <w:rPr>
          <w:rFonts w:hint="eastAsia"/>
          <w:sz w:val="24"/>
          <w:szCs w:val="24"/>
        </w:rPr>
        <w:t>、应负责在买方货物使用现场，对技术、维修和操作人员提供免费的理论、技术和操作、维修等方面的技术指导和培训，并接受买方有关人员的技术咨询。培训工作日不少于</w:t>
      </w:r>
      <w:r>
        <w:rPr>
          <w:sz w:val="24"/>
          <w:szCs w:val="24"/>
          <w:u w:val="single"/>
        </w:rPr>
        <w:t>6</w:t>
      </w:r>
      <w:r>
        <w:rPr>
          <w:rFonts w:hint="eastAsia"/>
          <w:sz w:val="24"/>
          <w:szCs w:val="24"/>
        </w:rPr>
        <w:t>个工作日。</w:t>
      </w:r>
    </w:p>
    <w:p w14:paraId="3078D6BF">
      <w:pPr>
        <w:rPr>
          <w:sz w:val="24"/>
          <w:szCs w:val="24"/>
        </w:rPr>
      </w:pPr>
      <w:r>
        <w:rPr>
          <w:sz w:val="24"/>
          <w:szCs w:val="24"/>
        </w:rPr>
        <w:t>2、应免费提供一定数量的培训资料。</w:t>
      </w:r>
    </w:p>
    <w:p w14:paraId="6307B10A">
      <w:pPr>
        <w:rPr>
          <w:sz w:val="24"/>
          <w:szCs w:val="24"/>
        </w:rPr>
      </w:pPr>
      <w:r>
        <w:rPr>
          <w:sz w:val="24"/>
          <w:szCs w:val="24"/>
        </w:rPr>
        <w:t>3、应按要求免费积极协助和提供买方以及买方所委托的工程设计单位有关人员所需要的、与货物有关的工程设计资料、技术咨询等。</w:t>
      </w:r>
    </w:p>
    <w:p w14:paraId="7B99AE6E">
      <w:pPr>
        <w:rPr>
          <w:sz w:val="24"/>
          <w:szCs w:val="24"/>
        </w:rPr>
      </w:pPr>
      <w:r>
        <w:rPr>
          <w:sz w:val="24"/>
          <w:szCs w:val="24"/>
        </w:rPr>
        <w:t>4、若卖方提供货物涉及到外购外协货物、而且该货物的技术质量等较为关键时，卖方应能保证得到配套厂家的技术支持，并免费为买方提供技术服务。</w:t>
      </w:r>
    </w:p>
    <w:p w14:paraId="5CD88F17">
      <w:pPr>
        <w:rPr>
          <w:sz w:val="24"/>
          <w:szCs w:val="24"/>
        </w:rPr>
      </w:pPr>
      <w:r>
        <w:rPr>
          <w:sz w:val="24"/>
          <w:szCs w:val="24"/>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189F7C73">
      <w:pPr>
        <w:rPr>
          <w:b/>
          <w:sz w:val="24"/>
          <w:szCs w:val="24"/>
        </w:rPr>
      </w:pPr>
      <w:r>
        <w:rPr>
          <w:rFonts w:hint="eastAsia"/>
          <w:b/>
          <w:sz w:val="24"/>
          <w:szCs w:val="24"/>
        </w:rPr>
        <w:t>三、安装调试及验收服务</w:t>
      </w:r>
    </w:p>
    <w:p w14:paraId="1AFCC426">
      <w:pPr>
        <w:rPr>
          <w:sz w:val="24"/>
          <w:szCs w:val="24"/>
        </w:rPr>
      </w:pPr>
      <w:r>
        <w:rPr>
          <w:sz w:val="24"/>
          <w:szCs w:val="24"/>
        </w:rPr>
        <w:t>1、指导安装调试或负责安装调试以及协助验收，投标方均应在投标档中明确其收费额或免费约定，否则视同免费；安装调试及验收服务均应按照合同约定或协议、通知及时组织并完成。因卖方原因造成的延期，所发生的费用全部由卖方承担。</w:t>
      </w:r>
    </w:p>
    <w:p w14:paraId="63D03BC4">
      <w:pPr>
        <w:rPr>
          <w:sz w:val="24"/>
          <w:szCs w:val="24"/>
        </w:rPr>
      </w:pPr>
      <w:r>
        <w:rPr>
          <w:sz w:val="24"/>
          <w:szCs w:val="24"/>
        </w:rPr>
        <w:t>2、若卖方提供的货物涉及到外购外协货物、而且该货物的技术质量等较为关键时，应保证能得到供应商的技术支持，并免费为买方提供安装使用现场的指导与培训。</w:t>
      </w:r>
    </w:p>
    <w:p w14:paraId="3F2983B0">
      <w:pPr>
        <w:rPr>
          <w:sz w:val="24"/>
          <w:szCs w:val="24"/>
        </w:rPr>
      </w:pPr>
      <w:r>
        <w:rPr>
          <w:sz w:val="24"/>
          <w:szCs w:val="24"/>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14:paraId="3F0AF6F3">
      <w:pPr>
        <w:rPr>
          <w:sz w:val="24"/>
          <w:szCs w:val="24"/>
        </w:rPr>
      </w:pPr>
      <w:r>
        <w:rPr>
          <w:sz w:val="24"/>
          <w:szCs w:val="24"/>
        </w:rPr>
        <w:t>4、在卖方所提供货物需要得到买方建设项目所在地政府或行业主管部门的查验、试验、验收时，卖方应当免费完成或协助招标方完成所需要的工作、材料和服务等。协助完成的，应当在投标档报价内容中予以说明，否则视同免费。</w:t>
      </w:r>
    </w:p>
    <w:p w14:paraId="493C2B9F">
      <w:pPr>
        <w:rPr>
          <w:sz w:val="24"/>
          <w:szCs w:val="24"/>
        </w:rPr>
      </w:pPr>
      <w:r>
        <w:rPr>
          <w:sz w:val="24"/>
          <w:szCs w:val="24"/>
        </w:rPr>
        <w:t>5、卖方应当向买方提供货物试验、验收的有关标准、规范和方法，同时提供货物涉及并使用的软件合法性证明。</w:t>
      </w:r>
    </w:p>
    <w:p w14:paraId="0E3A3F99">
      <w:pPr>
        <w:rPr>
          <w:sz w:val="24"/>
          <w:szCs w:val="24"/>
        </w:rPr>
      </w:pPr>
      <w:r>
        <w:rPr>
          <w:sz w:val="24"/>
          <w:szCs w:val="24"/>
        </w:rPr>
        <w:t>6、服务缺陷视同货物缺陷和履约延期。</w:t>
      </w:r>
    </w:p>
    <w:p w14:paraId="6D81F582">
      <w:pPr>
        <w:rPr>
          <w:b/>
          <w:sz w:val="24"/>
          <w:szCs w:val="24"/>
        </w:rPr>
      </w:pPr>
      <w:r>
        <w:rPr>
          <w:rFonts w:hint="eastAsia"/>
          <w:b/>
          <w:sz w:val="24"/>
          <w:szCs w:val="24"/>
        </w:rPr>
        <w:t>四、售后服务</w:t>
      </w:r>
    </w:p>
    <w:p w14:paraId="428B7390">
      <w:pPr>
        <w:rPr>
          <w:sz w:val="24"/>
          <w:szCs w:val="24"/>
        </w:rPr>
      </w:pPr>
      <w:r>
        <w:rPr>
          <w:sz w:val="24"/>
          <w:szCs w:val="24"/>
        </w:rPr>
        <w:t>1、卖方提供的货物涉及的所有售后服务均由卖方负责。如果发生问题并且收到通知，卖方应当在2小时内予以答复。</w:t>
      </w:r>
    </w:p>
    <w:p w14:paraId="2F57E332">
      <w:pPr>
        <w:rPr>
          <w:sz w:val="24"/>
          <w:szCs w:val="24"/>
        </w:rPr>
      </w:pPr>
      <w:r>
        <w:rPr>
          <w:sz w:val="24"/>
          <w:szCs w:val="24"/>
        </w:rPr>
        <w:t>2、</w:t>
      </w:r>
      <w:r>
        <w:rPr>
          <w:rFonts w:hint="eastAsia"/>
          <w:sz w:val="24"/>
          <w:szCs w:val="24"/>
        </w:rPr>
        <w:t>终验收合格后，质保期一年。终验收后卖方应安排一名精通机械、电气的维修人员进行为期</w:t>
      </w:r>
      <w:r>
        <w:rPr>
          <w:sz w:val="24"/>
          <w:szCs w:val="24"/>
        </w:rPr>
        <w:t>30个</w:t>
      </w:r>
      <w:r>
        <w:rPr>
          <w:rFonts w:hint="eastAsia"/>
          <w:sz w:val="24"/>
          <w:szCs w:val="24"/>
        </w:rPr>
        <w:t>日</w:t>
      </w:r>
      <w:r>
        <w:rPr>
          <w:sz w:val="24"/>
          <w:szCs w:val="24"/>
        </w:rPr>
        <w:t>历</w:t>
      </w:r>
      <w:r>
        <w:rPr>
          <w:rFonts w:hint="eastAsia"/>
          <w:sz w:val="24"/>
          <w:szCs w:val="24"/>
        </w:rPr>
        <w:t>日</w:t>
      </w:r>
      <w:r>
        <w:rPr>
          <w:sz w:val="24"/>
          <w:szCs w:val="24"/>
        </w:rPr>
        <w:t>的</w:t>
      </w:r>
      <w:r>
        <w:rPr>
          <w:rFonts w:hint="eastAsia"/>
          <w:b/>
          <w:sz w:val="24"/>
          <w:szCs w:val="24"/>
        </w:rPr>
        <w:t>陪产服务</w:t>
      </w:r>
      <w:r>
        <w:rPr>
          <w:rFonts w:hint="eastAsia"/>
          <w:sz w:val="24"/>
          <w:szCs w:val="24"/>
        </w:rPr>
        <w:t>，在工作日8：3</w:t>
      </w:r>
      <w:r>
        <w:rPr>
          <w:sz w:val="24"/>
          <w:szCs w:val="24"/>
        </w:rPr>
        <w:t>0~17：00期间驻线配合；</w:t>
      </w:r>
      <w:r>
        <w:rPr>
          <w:rFonts w:hint="eastAsia"/>
          <w:sz w:val="24"/>
          <w:szCs w:val="24"/>
        </w:rPr>
        <w:t>1</w:t>
      </w:r>
      <w:r>
        <w:rPr>
          <w:sz w:val="24"/>
          <w:szCs w:val="24"/>
        </w:rPr>
        <w:t>7：</w:t>
      </w:r>
      <w:r>
        <w:rPr>
          <w:rFonts w:hint="eastAsia"/>
          <w:sz w:val="24"/>
          <w:szCs w:val="24"/>
        </w:rPr>
        <w:t>0</w:t>
      </w:r>
      <w:r>
        <w:rPr>
          <w:sz w:val="24"/>
          <w:szCs w:val="24"/>
        </w:rPr>
        <w:t>0后至</w:t>
      </w:r>
      <w:r>
        <w:rPr>
          <w:rFonts w:hint="eastAsia"/>
          <w:sz w:val="24"/>
          <w:szCs w:val="24"/>
        </w:rPr>
        <w:t>当天生产结束</w:t>
      </w:r>
      <w:r>
        <w:rPr>
          <w:sz w:val="24"/>
          <w:szCs w:val="24"/>
        </w:rPr>
        <w:t>期间</w:t>
      </w:r>
      <w:r>
        <w:rPr>
          <w:rFonts w:hint="eastAsia"/>
          <w:sz w:val="24"/>
          <w:szCs w:val="24"/>
        </w:rPr>
        <w:t>接到通知后1小时内到场开展服务。陪产服务结束后，在正常运行的情况下，系统出现故障，卖方在接到通知后2小时以内卖方予以答复，并在24小时以内派出服务人员，无偿维修；在质保期满后，卖方在接到通知后2小时以内予以答复，并在24小时以内派出服务人员，开展维修</w:t>
      </w:r>
      <w:r>
        <w:rPr>
          <w:sz w:val="24"/>
          <w:szCs w:val="24"/>
        </w:rPr>
        <w:t>。</w:t>
      </w:r>
    </w:p>
    <w:p w14:paraId="5376AD82">
      <w:pPr>
        <w:rPr>
          <w:sz w:val="24"/>
          <w:szCs w:val="24"/>
        </w:rPr>
      </w:pPr>
      <w:r>
        <w:rPr>
          <w:sz w:val="24"/>
          <w:szCs w:val="24"/>
        </w:rPr>
        <w:t>3、卖方派往买方使用现场的人员，应具有较高的业务素质；现场解决问题时，不得无故拖延或推迟，应为买方提供最佳的服务。</w:t>
      </w:r>
    </w:p>
    <w:p w14:paraId="571B679F">
      <w:pPr>
        <w:rPr>
          <w:b/>
          <w:sz w:val="24"/>
          <w:szCs w:val="24"/>
        </w:rPr>
      </w:pPr>
      <w:r>
        <w:rPr>
          <w:rFonts w:hint="eastAsia"/>
          <w:b/>
          <w:sz w:val="24"/>
          <w:szCs w:val="24"/>
        </w:rPr>
        <w:t>五、其他服务</w:t>
      </w:r>
    </w:p>
    <w:p w14:paraId="444E4FA1">
      <w:pPr>
        <w:rPr>
          <w:sz w:val="24"/>
          <w:szCs w:val="24"/>
        </w:rPr>
      </w:pPr>
      <w:r>
        <w:rPr>
          <w:sz w:val="24"/>
          <w:szCs w:val="24"/>
        </w:rPr>
        <w:t>1、若卖方所提供货物有需要进口的，卖方一般应自行、自费办理；必要时，买卖双方共同办理。</w:t>
      </w:r>
    </w:p>
    <w:p w14:paraId="76ED9BBD">
      <w:pPr>
        <w:rPr>
          <w:sz w:val="24"/>
          <w:szCs w:val="24"/>
        </w:rPr>
      </w:pPr>
      <w:r>
        <w:rPr>
          <w:sz w:val="24"/>
          <w:szCs w:val="24"/>
        </w:rPr>
        <w:t>2、除招标档、投标档、答疑档、技术协议、合同等约定之外，卖方应免费负责必要的或强制性的货物的检验、试验、化验等直接费用。</w:t>
      </w:r>
    </w:p>
    <w:p w14:paraId="38CAB882">
      <w:pPr>
        <w:rPr>
          <w:sz w:val="24"/>
          <w:szCs w:val="24"/>
        </w:rPr>
      </w:pPr>
      <w:r>
        <w:rPr>
          <w:sz w:val="24"/>
          <w:szCs w:val="24"/>
        </w:rPr>
        <w:t>3、本章节条款所列“免费”，并非指定不可收费，而是指招标档、投标档、答疑档、技术交流档、技术协议书和合同等范围之外，投标方不可另行收取的费用。</w:t>
      </w:r>
    </w:p>
    <w:p w14:paraId="23DBAA4A">
      <w:pPr>
        <w:jc w:val="center"/>
        <w:rPr>
          <w:b/>
          <w:sz w:val="28"/>
          <w:szCs w:val="24"/>
        </w:rPr>
      </w:pPr>
      <w:r>
        <w:rPr>
          <w:rFonts w:eastAsia="黑体"/>
          <w:bCs/>
          <w:sz w:val="24"/>
          <w:szCs w:val="24"/>
        </w:rPr>
        <w:br w:type="page"/>
      </w:r>
      <w:r>
        <w:rPr>
          <w:b/>
          <w:sz w:val="28"/>
          <w:szCs w:val="24"/>
        </w:rPr>
        <w:t>第</w:t>
      </w:r>
      <w:r>
        <w:rPr>
          <w:rFonts w:hint="eastAsia"/>
          <w:b/>
          <w:sz w:val="28"/>
          <w:szCs w:val="24"/>
        </w:rPr>
        <w:t>五</w:t>
      </w:r>
      <w:r>
        <w:rPr>
          <w:b/>
          <w:sz w:val="28"/>
          <w:szCs w:val="24"/>
        </w:rPr>
        <w:t>章  预验收和终验收</w:t>
      </w:r>
    </w:p>
    <w:p w14:paraId="746B3958">
      <w:pPr>
        <w:rPr>
          <w:b/>
          <w:sz w:val="24"/>
          <w:szCs w:val="24"/>
        </w:rPr>
      </w:pPr>
      <w:r>
        <w:rPr>
          <w:rFonts w:hint="eastAsia"/>
          <w:b/>
          <w:sz w:val="24"/>
          <w:szCs w:val="24"/>
        </w:rPr>
        <w:t>一、验收依据和验收标准</w:t>
      </w:r>
    </w:p>
    <w:p w14:paraId="430D79C8">
      <w:pPr>
        <w:rPr>
          <w:sz w:val="24"/>
          <w:szCs w:val="24"/>
        </w:rPr>
      </w:pPr>
      <w:r>
        <w:rPr>
          <w:sz w:val="24"/>
          <w:szCs w:val="24"/>
        </w:rPr>
        <w:t>1、验收标准一般以技术协议书和合同规定验收。无论技术协议书和合同，是否全部并准确列明验收所涉及的相关标准，均作为验收标准之一。</w:t>
      </w:r>
    </w:p>
    <w:p w14:paraId="5AB3AB42">
      <w:pPr>
        <w:rPr>
          <w:sz w:val="24"/>
          <w:szCs w:val="24"/>
        </w:rPr>
      </w:pPr>
      <w:r>
        <w:rPr>
          <w:sz w:val="24"/>
          <w:szCs w:val="24"/>
        </w:rPr>
        <w:t>2、如果验收过程中，发现招标档、投标档、答疑档、技术交流档等与技术协议书、合同存在差异，原则上以涉及条款中对买方最有利条款为验收依据。</w:t>
      </w:r>
    </w:p>
    <w:p w14:paraId="7D9BB3C2">
      <w:pPr>
        <w:rPr>
          <w:b/>
          <w:sz w:val="24"/>
          <w:szCs w:val="24"/>
        </w:rPr>
      </w:pPr>
      <w:r>
        <w:rPr>
          <w:rFonts w:hint="eastAsia"/>
          <w:b/>
          <w:sz w:val="24"/>
          <w:szCs w:val="24"/>
        </w:rPr>
        <w:t>二、检验</w:t>
      </w:r>
    </w:p>
    <w:p w14:paraId="08D94E51">
      <w:pPr>
        <w:rPr>
          <w:sz w:val="24"/>
          <w:szCs w:val="24"/>
        </w:rPr>
      </w:pPr>
      <w:r>
        <w:rPr>
          <w:sz w:val="24"/>
          <w:szCs w:val="24"/>
        </w:rPr>
        <w:t>如果采购货物涉及必要的或必需的检验，投标方应当在投标档中明确可能涉及的检验费用，并将该费用包含在投标总报价之内；不作针对性澄清或说明的，视同包含在投标总价之内。基本约定如下：</w:t>
      </w:r>
    </w:p>
    <w:p w14:paraId="19567B39">
      <w:pPr>
        <w:rPr>
          <w:sz w:val="24"/>
          <w:szCs w:val="24"/>
        </w:rPr>
      </w:pPr>
      <w:r>
        <w:rPr>
          <w:sz w:val="24"/>
          <w:szCs w:val="24"/>
        </w:rPr>
        <w:t>1、国产货物的检验一般由买卖双方共同进行或按照合同要求进行。</w:t>
      </w:r>
    </w:p>
    <w:p w14:paraId="73563D1A">
      <w:pPr>
        <w:rPr>
          <w:sz w:val="24"/>
          <w:szCs w:val="24"/>
        </w:rPr>
      </w:pPr>
      <w:r>
        <w:rPr>
          <w:sz w:val="24"/>
          <w:szCs w:val="24"/>
        </w:rPr>
        <w:t>2、进口货物的检验，卖方需要按照下述要求进行：</w:t>
      </w:r>
    </w:p>
    <w:p w14:paraId="72F76E52">
      <w:pPr>
        <w:rPr>
          <w:sz w:val="24"/>
          <w:szCs w:val="24"/>
        </w:rPr>
      </w:pPr>
      <w:r>
        <w:rPr>
          <w:sz w:val="24"/>
          <w:szCs w:val="24"/>
        </w:rPr>
        <w:t>2.1  进口货物发货前，应对货物的质量、型号、规格、性能和数量/重量作精密、全面的检验，并出具证明书，证明所供货物符合合同规定。</w:t>
      </w:r>
    </w:p>
    <w:p w14:paraId="3C211CE9">
      <w:pPr>
        <w:rPr>
          <w:sz w:val="24"/>
          <w:szCs w:val="24"/>
        </w:rPr>
      </w:pPr>
      <w:r>
        <w:rPr>
          <w:sz w:val="24"/>
          <w:szCs w:val="24"/>
        </w:rPr>
        <w:t>2.2  应依据合同规定的要求，提供买卖双方达成一致的货物的验收标准和装箱单，作为买方检验的依据。</w:t>
      </w:r>
    </w:p>
    <w:p w14:paraId="10F32333">
      <w:pPr>
        <w:rPr>
          <w:sz w:val="24"/>
          <w:szCs w:val="24"/>
        </w:rPr>
      </w:pPr>
      <w:r>
        <w:rPr>
          <w:sz w:val="24"/>
          <w:szCs w:val="24"/>
        </w:rPr>
        <w:t>2.3  进口货物到达目的地后，买方有权申请中国商品检验检疫局进行检验，如发现货物的质量及规格与合同或发票不符，除买方的责任外，买方有权在货物到达卸货目的地后180个日历日内，根据中国商品检验检疫局出具的证明书向卖方提出索赔，因索赔所发生的一切费用(包括检验检疫费等)均由卖方承担。</w:t>
      </w:r>
    </w:p>
    <w:p w14:paraId="6D235A03">
      <w:pPr>
        <w:rPr>
          <w:b/>
          <w:sz w:val="24"/>
          <w:szCs w:val="24"/>
        </w:rPr>
      </w:pPr>
      <w:r>
        <w:rPr>
          <w:rFonts w:hint="eastAsia"/>
          <w:b/>
          <w:sz w:val="24"/>
          <w:szCs w:val="24"/>
        </w:rPr>
        <w:t>三、验收基本条件</w:t>
      </w:r>
    </w:p>
    <w:p w14:paraId="189262FD">
      <w:pPr>
        <w:rPr>
          <w:sz w:val="24"/>
          <w:szCs w:val="24"/>
        </w:rPr>
      </w:pPr>
      <w:r>
        <w:rPr>
          <w:rFonts w:hint="eastAsia"/>
          <w:sz w:val="24"/>
          <w:szCs w:val="24"/>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14:paraId="34BA76C4">
      <w:pPr>
        <w:rPr>
          <w:sz w:val="24"/>
          <w:szCs w:val="24"/>
        </w:rPr>
      </w:pPr>
      <w:r>
        <w:rPr>
          <w:rFonts w:hint="eastAsia"/>
          <w:sz w:val="24"/>
          <w:szCs w:val="24"/>
        </w:rPr>
        <w:t>买卖双方按照合同约定执行了合同，同时货物完成了试运行并经检验合格，则具备验收条件。</w:t>
      </w:r>
    </w:p>
    <w:p w14:paraId="1CB99A46">
      <w:pPr>
        <w:rPr>
          <w:sz w:val="24"/>
          <w:szCs w:val="24"/>
        </w:rPr>
      </w:pPr>
      <w:r>
        <w:rPr>
          <w:rFonts w:hint="eastAsia"/>
          <w:sz w:val="24"/>
          <w:szCs w:val="24"/>
        </w:rPr>
        <w:t>1、预验收一般条件</w:t>
      </w:r>
    </w:p>
    <w:p w14:paraId="7D8B1DA4">
      <w:pPr>
        <w:rPr>
          <w:sz w:val="24"/>
          <w:szCs w:val="24"/>
        </w:rPr>
      </w:pPr>
      <w:r>
        <w:rPr>
          <w:rFonts w:hint="eastAsia"/>
          <w:sz w:val="24"/>
          <w:szCs w:val="24"/>
        </w:rPr>
        <w:t>1.1  卖方已经按照“供货范围”要求提供了预验收资料，并且资料齐全、完整和有效。</w:t>
      </w:r>
    </w:p>
    <w:p w14:paraId="7FF40875">
      <w:pPr>
        <w:rPr>
          <w:sz w:val="24"/>
          <w:szCs w:val="24"/>
        </w:rPr>
      </w:pPr>
      <w:r>
        <w:rPr>
          <w:rFonts w:hint="eastAsia"/>
          <w:sz w:val="24"/>
          <w:szCs w:val="24"/>
        </w:rPr>
        <w:t>1.</w:t>
      </w:r>
      <w:r>
        <w:rPr>
          <w:sz w:val="24"/>
          <w:szCs w:val="24"/>
        </w:rPr>
        <w:t>2</w:t>
      </w:r>
      <w:r>
        <w:rPr>
          <w:rFonts w:hint="eastAsia"/>
          <w:sz w:val="24"/>
          <w:szCs w:val="24"/>
        </w:rPr>
        <w:t xml:space="preserve">  货物应完整且所有的零部件应该安装牢固，外观无损伤，所有的焊缝饱满、无残渣等缺陷。</w:t>
      </w:r>
    </w:p>
    <w:p w14:paraId="42B82A0E">
      <w:pPr>
        <w:rPr>
          <w:sz w:val="24"/>
          <w:szCs w:val="24"/>
        </w:rPr>
      </w:pPr>
      <w:r>
        <w:rPr>
          <w:rFonts w:hint="eastAsia"/>
          <w:sz w:val="24"/>
          <w:szCs w:val="24"/>
        </w:rPr>
        <w:t>1.</w:t>
      </w:r>
      <w:r>
        <w:rPr>
          <w:sz w:val="24"/>
          <w:szCs w:val="24"/>
        </w:rPr>
        <w:t>3</w:t>
      </w:r>
      <w:r>
        <w:rPr>
          <w:rFonts w:hint="eastAsia"/>
          <w:sz w:val="24"/>
          <w:szCs w:val="24"/>
        </w:rPr>
        <w:t xml:space="preserve">  一般情况下，所有的管路和线缆等，接头应完全正确、可靠地联接；应排列有序（正确、牢固、整齐），有必要的防护，无皱褶、收缩和裂缝等不良现象。</w:t>
      </w:r>
    </w:p>
    <w:p w14:paraId="3AC4E2CD">
      <w:pPr>
        <w:rPr>
          <w:sz w:val="24"/>
          <w:szCs w:val="24"/>
        </w:rPr>
      </w:pPr>
      <w:r>
        <w:rPr>
          <w:sz w:val="24"/>
          <w:szCs w:val="24"/>
        </w:rPr>
        <w:t>1.4  设备的润滑系统工作正常、可靠，润滑点易于到达。</w:t>
      </w:r>
    </w:p>
    <w:p w14:paraId="1D3D0611">
      <w:pPr>
        <w:rPr>
          <w:sz w:val="24"/>
          <w:szCs w:val="24"/>
        </w:rPr>
      </w:pPr>
      <w:r>
        <w:rPr>
          <w:rFonts w:hint="eastAsia"/>
          <w:sz w:val="24"/>
          <w:szCs w:val="24"/>
        </w:rPr>
        <w:t>1.</w:t>
      </w:r>
      <w:r>
        <w:rPr>
          <w:sz w:val="24"/>
          <w:szCs w:val="24"/>
        </w:rPr>
        <w:t>5</w:t>
      </w:r>
      <w:r>
        <w:rPr>
          <w:rFonts w:hint="eastAsia"/>
          <w:sz w:val="24"/>
          <w:szCs w:val="24"/>
        </w:rPr>
        <w:t xml:space="preserve">  使用的压力容器、电气等应具备合格证（如果有压力容器）。</w:t>
      </w:r>
    </w:p>
    <w:p w14:paraId="024FE095">
      <w:pPr>
        <w:rPr>
          <w:sz w:val="24"/>
          <w:szCs w:val="24"/>
        </w:rPr>
      </w:pPr>
      <w:r>
        <w:rPr>
          <w:rFonts w:hint="eastAsia"/>
          <w:sz w:val="24"/>
          <w:szCs w:val="24"/>
        </w:rPr>
        <w:t>1.</w:t>
      </w:r>
      <w:r>
        <w:rPr>
          <w:sz w:val="24"/>
          <w:szCs w:val="24"/>
        </w:rPr>
        <w:t>6</w:t>
      </w:r>
      <w:r>
        <w:rPr>
          <w:rFonts w:hint="eastAsia"/>
          <w:sz w:val="24"/>
          <w:szCs w:val="24"/>
        </w:rPr>
        <w:t xml:space="preserve">  货物的油漆质量应饱满、有光泽，无掉漆、无色差、无“桔皮”等不良现象（特殊标志除外）。</w:t>
      </w:r>
    </w:p>
    <w:p w14:paraId="32B78E23">
      <w:pPr>
        <w:rPr>
          <w:sz w:val="24"/>
          <w:szCs w:val="24"/>
        </w:rPr>
      </w:pPr>
      <w:r>
        <w:rPr>
          <w:rFonts w:hint="eastAsia"/>
          <w:sz w:val="24"/>
          <w:szCs w:val="24"/>
        </w:rPr>
        <w:t>1.</w:t>
      </w:r>
      <w:r>
        <w:rPr>
          <w:sz w:val="24"/>
          <w:szCs w:val="24"/>
        </w:rPr>
        <w:t>7</w:t>
      </w:r>
      <w:r>
        <w:rPr>
          <w:rFonts w:hint="eastAsia"/>
          <w:sz w:val="24"/>
          <w:szCs w:val="24"/>
        </w:rPr>
        <w:t xml:space="preserve">  货物标牌完整、清晰、明确。</w:t>
      </w:r>
    </w:p>
    <w:p w14:paraId="4E94AAC8">
      <w:pPr>
        <w:rPr>
          <w:sz w:val="24"/>
          <w:szCs w:val="24"/>
        </w:rPr>
      </w:pPr>
      <w:r>
        <w:rPr>
          <w:rFonts w:hint="eastAsia"/>
          <w:sz w:val="24"/>
          <w:szCs w:val="24"/>
        </w:rPr>
        <w:t>1.</w:t>
      </w:r>
      <w:r>
        <w:rPr>
          <w:sz w:val="24"/>
          <w:szCs w:val="24"/>
        </w:rPr>
        <w:t>8</w:t>
      </w:r>
      <w:r>
        <w:rPr>
          <w:rFonts w:hint="eastAsia"/>
          <w:sz w:val="24"/>
          <w:szCs w:val="24"/>
        </w:rPr>
        <w:t xml:space="preserve">  货物的安全要求符合中国最新的相关法律、法规、标准和规范以及合同要求。</w:t>
      </w:r>
    </w:p>
    <w:p w14:paraId="1B086CB2">
      <w:pPr>
        <w:rPr>
          <w:sz w:val="24"/>
          <w:szCs w:val="24"/>
        </w:rPr>
      </w:pPr>
      <w:r>
        <w:rPr>
          <w:rFonts w:hint="eastAsia"/>
          <w:sz w:val="24"/>
          <w:szCs w:val="24"/>
        </w:rPr>
        <w:t>1.</w:t>
      </w:r>
      <w:r>
        <w:rPr>
          <w:sz w:val="24"/>
          <w:szCs w:val="24"/>
        </w:rPr>
        <w:t>9</w:t>
      </w:r>
      <w:r>
        <w:rPr>
          <w:rFonts w:hint="eastAsia"/>
          <w:sz w:val="24"/>
          <w:szCs w:val="24"/>
        </w:rPr>
        <w:t xml:space="preserve">  设备（或材料）应运行灵活、稳定、可靠、安全，无异常声音和非正常振动，设备不允许出现漏水、漏液、漏气（汽）、漏电。</w:t>
      </w:r>
    </w:p>
    <w:p w14:paraId="3B371C9E">
      <w:pPr>
        <w:rPr>
          <w:sz w:val="24"/>
          <w:szCs w:val="24"/>
        </w:rPr>
      </w:pPr>
      <w:r>
        <w:rPr>
          <w:rFonts w:hint="eastAsia"/>
          <w:sz w:val="24"/>
          <w:szCs w:val="24"/>
        </w:rPr>
        <w:t>2、预验收基本要求</w:t>
      </w:r>
    </w:p>
    <w:p w14:paraId="5AC6B2A2">
      <w:pPr>
        <w:rPr>
          <w:sz w:val="24"/>
          <w:szCs w:val="24"/>
        </w:rPr>
      </w:pPr>
      <w:r>
        <w:rPr>
          <w:rFonts w:hint="eastAsia"/>
          <w:sz w:val="24"/>
          <w:szCs w:val="24"/>
        </w:rPr>
        <w:t>2.1  设备构成、备件齐全。</w:t>
      </w:r>
    </w:p>
    <w:p w14:paraId="755305D4">
      <w:pPr>
        <w:rPr>
          <w:sz w:val="24"/>
          <w:szCs w:val="24"/>
        </w:rPr>
      </w:pPr>
      <w:r>
        <w:rPr>
          <w:rFonts w:hint="eastAsia"/>
          <w:sz w:val="24"/>
          <w:szCs w:val="24"/>
        </w:rPr>
        <w:t>2.2  设备技术原理符合标书要求。</w:t>
      </w:r>
    </w:p>
    <w:p w14:paraId="62DB60C2">
      <w:pPr>
        <w:rPr>
          <w:sz w:val="24"/>
          <w:szCs w:val="24"/>
        </w:rPr>
      </w:pPr>
      <w:r>
        <w:rPr>
          <w:rFonts w:hint="eastAsia"/>
          <w:sz w:val="24"/>
          <w:szCs w:val="24"/>
        </w:rPr>
        <w:t>2.3  预验收原则上要求一次完成。若一次验收不成功，最多允许两次；如果出现第三次验收失败，重新作价或退货。</w:t>
      </w:r>
    </w:p>
    <w:p w14:paraId="7FA37CF0">
      <w:pPr>
        <w:rPr>
          <w:sz w:val="24"/>
          <w:szCs w:val="24"/>
        </w:rPr>
      </w:pPr>
      <w:r>
        <w:rPr>
          <w:sz w:val="24"/>
          <w:szCs w:val="24"/>
        </w:rPr>
        <w:t>3、终验收一般条件</w:t>
      </w:r>
    </w:p>
    <w:p w14:paraId="1A3A8E41">
      <w:pPr>
        <w:rPr>
          <w:sz w:val="24"/>
          <w:szCs w:val="24"/>
        </w:rPr>
      </w:pPr>
      <w:r>
        <w:rPr>
          <w:sz w:val="24"/>
          <w:szCs w:val="24"/>
        </w:rPr>
        <w:t>3.1  经过预验收而且没有出现新的质量问题，或者满足预验收条款。</w:t>
      </w:r>
    </w:p>
    <w:p w14:paraId="2B59D7AA">
      <w:pPr>
        <w:rPr>
          <w:sz w:val="24"/>
          <w:szCs w:val="24"/>
        </w:rPr>
      </w:pPr>
      <w:r>
        <w:rPr>
          <w:sz w:val="24"/>
          <w:szCs w:val="24"/>
        </w:rPr>
        <w:t>3.2  设备安装调试完毕，并至少经过了验收要求的负荷试运行。</w:t>
      </w:r>
    </w:p>
    <w:p w14:paraId="18B662E8">
      <w:pPr>
        <w:rPr>
          <w:sz w:val="24"/>
          <w:szCs w:val="24"/>
        </w:rPr>
      </w:pPr>
      <w:r>
        <w:rPr>
          <w:sz w:val="24"/>
          <w:szCs w:val="24"/>
        </w:rPr>
        <w:t>3.3  设备正常运行时，噪声等环境影响因素满足国家和当地环保主管部门规定，安全措施落实、有效。</w:t>
      </w:r>
    </w:p>
    <w:p w14:paraId="17420F35">
      <w:pPr>
        <w:rPr>
          <w:sz w:val="24"/>
          <w:szCs w:val="24"/>
        </w:rPr>
      </w:pPr>
      <w:r>
        <w:rPr>
          <w:sz w:val="24"/>
          <w:szCs w:val="24"/>
        </w:rPr>
        <w:t>3.4  计量仪器、仪表配套合理，采用中国的法定计量单位，计量准确、灵敏可靠。保证设计指标和仪器说明书的参数的实现。</w:t>
      </w:r>
    </w:p>
    <w:p w14:paraId="385FBD6A">
      <w:pPr>
        <w:rPr>
          <w:sz w:val="24"/>
          <w:szCs w:val="24"/>
        </w:rPr>
      </w:pPr>
      <w:r>
        <w:rPr>
          <w:sz w:val="24"/>
          <w:szCs w:val="24"/>
        </w:rPr>
        <w:t>3.5  试运行期间或之后无维修、调整等行为（特殊情况除外）。</w:t>
      </w:r>
    </w:p>
    <w:p w14:paraId="2C3FA1F9">
      <w:pPr>
        <w:rPr>
          <w:sz w:val="24"/>
          <w:szCs w:val="24"/>
        </w:rPr>
      </w:pPr>
      <w:r>
        <w:rPr>
          <w:sz w:val="24"/>
          <w:szCs w:val="24"/>
        </w:rPr>
        <w:t>3.6 设备质量、技术性能等，达到签定的技术协议书和合同规定的终验收标准。</w:t>
      </w:r>
    </w:p>
    <w:p w14:paraId="0B5A236B">
      <w:pPr>
        <w:rPr>
          <w:sz w:val="24"/>
          <w:szCs w:val="24"/>
        </w:rPr>
      </w:pPr>
    </w:p>
    <w:p w14:paraId="28F90A2A">
      <w:pPr>
        <w:rPr>
          <w:sz w:val="24"/>
          <w:szCs w:val="24"/>
        </w:rPr>
      </w:pPr>
      <w:r>
        <w:rPr>
          <w:sz w:val="24"/>
          <w:szCs w:val="24"/>
        </w:rPr>
        <w:t>4</w:t>
      </w:r>
      <w:r>
        <w:rPr>
          <w:rFonts w:hint="eastAsia"/>
          <w:sz w:val="24"/>
          <w:szCs w:val="24"/>
        </w:rPr>
        <w:t>、终验收一般条件</w:t>
      </w:r>
    </w:p>
    <w:p w14:paraId="676C6E8B">
      <w:pPr>
        <w:rPr>
          <w:sz w:val="24"/>
          <w:szCs w:val="24"/>
        </w:rPr>
      </w:pPr>
      <w:r>
        <w:rPr>
          <w:sz w:val="24"/>
          <w:szCs w:val="24"/>
        </w:rPr>
        <w:t>4.1  允许情况下，一般先连续空运转</w:t>
      </w:r>
      <w:r>
        <w:rPr>
          <w:sz w:val="24"/>
          <w:szCs w:val="24"/>
          <w:u w:val="single"/>
        </w:rPr>
        <w:t xml:space="preserve">  12    </w:t>
      </w:r>
      <w:r>
        <w:rPr>
          <w:sz w:val="24"/>
          <w:szCs w:val="24"/>
        </w:rPr>
        <w:t>小时，然后再进行负荷运行（无需进行空载运行的除外）。</w:t>
      </w:r>
    </w:p>
    <w:p w14:paraId="29157646">
      <w:pPr>
        <w:rPr>
          <w:sz w:val="24"/>
          <w:szCs w:val="24"/>
        </w:rPr>
      </w:pPr>
      <w:r>
        <w:rPr>
          <w:sz w:val="24"/>
          <w:szCs w:val="24"/>
        </w:rPr>
        <w:t>4.2  负荷运行时，应连续运行</w:t>
      </w:r>
      <w:r>
        <w:rPr>
          <w:sz w:val="24"/>
          <w:szCs w:val="24"/>
          <w:u w:val="single"/>
        </w:rPr>
        <w:t xml:space="preserve">   15   </w:t>
      </w:r>
      <w:r>
        <w:rPr>
          <w:sz w:val="24"/>
          <w:szCs w:val="24"/>
        </w:rPr>
        <w:t>天，每天连续运行不</w:t>
      </w:r>
      <w:r>
        <w:rPr>
          <w:rFonts w:hint="eastAsia"/>
          <w:sz w:val="24"/>
          <w:szCs w:val="24"/>
        </w:rPr>
        <w:t>少于</w:t>
      </w:r>
      <w:r>
        <w:rPr>
          <w:sz w:val="24"/>
          <w:szCs w:val="24"/>
          <w:u w:val="single"/>
        </w:rPr>
        <w:t xml:space="preserve">   10  </w:t>
      </w:r>
      <w:r>
        <w:rPr>
          <w:sz w:val="24"/>
          <w:szCs w:val="24"/>
        </w:rPr>
        <w:t>小时。</w:t>
      </w:r>
    </w:p>
    <w:p w14:paraId="0E2A97DB">
      <w:pPr>
        <w:rPr>
          <w:sz w:val="24"/>
          <w:szCs w:val="24"/>
        </w:rPr>
      </w:pPr>
      <w:r>
        <w:rPr>
          <w:sz w:val="24"/>
          <w:szCs w:val="24"/>
        </w:rPr>
        <w:t>4.3  出现下列问题之一，视作验收失败：</w:t>
      </w:r>
    </w:p>
    <w:p w14:paraId="3AEC85E7">
      <w:pPr>
        <w:rPr>
          <w:sz w:val="24"/>
          <w:szCs w:val="24"/>
        </w:rPr>
      </w:pPr>
      <w:r>
        <w:rPr>
          <w:sz w:val="24"/>
          <w:szCs w:val="24"/>
        </w:rPr>
        <w:t>4.3.1  在整个验收过程中发生关键零部件损坏或重大故障；</w:t>
      </w:r>
    </w:p>
    <w:p w14:paraId="5D4015A8">
      <w:pPr>
        <w:rPr>
          <w:sz w:val="24"/>
          <w:szCs w:val="24"/>
        </w:rPr>
      </w:pPr>
      <w:r>
        <w:rPr>
          <w:sz w:val="24"/>
          <w:szCs w:val="24"/>
        </w:rPr>
        <w:t>4.3.2  一般性故障超过</w:t>
      </w:r>
      <w:r>
        <w:rPr>
          <w:sz w:val="24"/>
          <w:szCs w:val="24"/>
          <w:u w:val="single"/>
        </w:rPr>
        <w:t xml:space="preserve">   5   </w:t>
      </w:r>
      <w:r>
        <w:rPr>
          <w:sz w:val="24"/>
          <w:szCs w:val="24"/>
        </w:rPr>
        <w:t xml:space="preserve"> 次；</w:t>
      </w:r>
    </w:p>
    <w:p w14:paraId="5CB9CA48">
      <w:pPr>
        <w:rPr>
          <w:sz w:val="24"/>
          <w:szCs w:val="24"/>
        </w:rPr>
      </w:pPr>
      <w:r>
        <w:rPr>
          <w:sz w:val="24"/>
          <w:szCs w:val="24"/>
        </w:rPr>
        <w:t>4.3.3  所有出现的维修调整，每次时间均不超过</w:t>
      </w:r>
      <w:r>
        <w:rPr>
          <w:sz w:val="24"/>
          <w:szCs w:val="24"/>
          <w:u w:val="single"/>
        </w:rPr>
        <w:t xml:space="preserve">   30    </w:t>
      </w:r>
      <w:r>
        <w:rPr>
          <w:sz w:val="24"/>
          <w:szCs w:val="24"/>
        </w:rPr>
        <w:t>分钟；所有维修调整时间的总和不超过总运行时间的</w:t>
      </w:r>
      <w:r>
        <w:rPr>
          <w:sz w:val="24"/>
          <w:szCs w:val="24"/>
          <w:u w:val="single"/>
        </w:rPr>
        <w:t xml:space="preserve">   2    </w:t>
      </w:r>
      <w:r>
        <w:rPr>
          <w:sz w:val="24"/>
          <w:szCs w:val="24"/>
        </w:rPr>
        <w:t>%；</w:t>
      </w:r>
    </w:p>
    <w:p w14:paraId="3B13B02E">
      <w:pPr>
        <w:rPr>
          <w:sz w:val="24"/>
          <w:szCs w:val="24"/>
        </w:rPr>
      </w:pPr>
      <w:r>
        <w:rPr>
          <w:sz w:val="24"/>
          <w:szCs w:val="24"/>
        </w:rPr>
        <w:t>4.3.4  更换的零部件货值不超过总货值的</w:t>
      </w:r>
      <w:r>
        <w:rPr>
          <w:sz w:val="24"/>
          <w:szCs w:val="24"/>
          <w:u w:val="single"/>
        </w:rPr>
        <w:t xml:space="preserve">   1  </w:t>
      </w:r>
      <w:r>
        <w:rPr>
          <w:sz w:val="24"/>
          <w:szCs w:val="24"/>
        </w:rPr>
        <w:t>%；</w:t>
      </w:r>
    </w:p>
    <w:p w14:paraId="13C9C5B1">
      <w:pPr>
        <w:rPr>
          <w:sz w:val="24"/>
          <w:szCs w:val="24"/>
        </w:rPr>
      </w:pPr>
      <w:r>
        <w:rPr>
          <w:sz w:val="24"/>
          <w:szCs w:val="24"/>
        </w:rPr>
        <w:t>4.4  累计负载运行实际性能达到合同规定；</w:t>
      </w:r>
    </w:p>
    <w:p w14:paraId="2A30A3E9">
      <w:pPr>
        <w:rPr>
          <w:sz w:val="24"/>
          <w:szCs w:val="24"/>
        </w:rPr>
      </w:pPr>
      <w:r>
        <w:rPr>
          <w:sz w:val="24"/>
          <w:szCs w:val="24"/>
        </w:rPr>
        <w:t>4.5  终验收内容包括以下内容：</w:t>
      </w:r>
    </w:p>
    <w:p w14:paraId="00447DFA">
      <w:pPr>
        <w:rPr>
          <w:sz w:val="24"/>
          <w:szCs w:val="24"/>
        </w:rPr>
      </w:pPr>
      <w:r>
        <w:rPr>
          <w:sz w:val="24"/>
          <w:szCs w:val="24"/>
        </w:rPr>
        <w:t>4.5.1终验收在招标方车间进行，验收内容包括但不限于设备资料、培训、设备配置、生产节拍、工期、重复定位精度。</w:t>
      </w:r>
    </w:p>
    <w:p w14:paraId="0E298541">
      <w:pPr>
        <w:rPr>
          <w:sz w:val="24"/>
          <w:szCs w:val="24"/>
        </w:rPr>
      </w:pPr>
      <w:r>
        <w:rPr>
          <w:sz w:val="24"/>
          <w:szCs w:val="24"/>
        </w:rPr>
        <w:t>4.5.2 投标方在终验收时需提交一份预验收时发现的缺陷和设备故障确认完成整改的汇总表，列入终验收报告。</w:t>
      </w:r>
    </w:p>
    <w:p w14:paraId="37429478">
      <w:pPr>
        <w:rPr>
          <w:sz w:val="24"/>
          <w:szCs w:val="24"/>
        </w:rPr>
      </w:pPr>
      <w:r>
        <w:rPr>
          <w:sz w:val="24"/>
          <w:szCs w:val="24"/>
        </w:rPr>
        <w:t>4.5.3存在影响节拍、装配质量、安全的缺陷，投标方应及时整改，整改合格后验收和移交。当由于招标方原因影响终验收进度时，则移交日期相应顺延。</w:t>
      </w:r>
    </w:p>
    <w:p w14:paraId="5F84796C">
      <w:pPr>
        <w:rPr>
          <w:sz w:val="24"/>
          <w:szCs w:val="24"/>
        </w:rPr>
      </w:pPr>
      <w:r>
        <w:rPr>
          <w:sz w:val="24"/>
          <w:szCs w:val="24"/>
        </w:rPr>
        <w:t>4.6  终验收原则上要求一次完成。若一次验收不成功，最多允许两次；如果出现第三次验收失败，重新作价或退货；</w:t>
      </w:r>
    </w:p>
    <w:p w14:paraId="258EE2B5">
      <w:pPr>
        <w:rPr>
          <w:sz w:val="24"/>
          <w:szCs w:val="24"/>
        </w:rPr>
      </w:pPr>
      <w:r>
        <w:rPr>
          <w:sz w:val="24"/>
          <w:szCs w:val="24"/>
        </w:rPr>
        <w:t>4.7  终验收通过后买卖双方共同签署终验收报告，并移交、核对全部供货范围内物品。</w:t>
      </w:r>
    </w:p>
    <w:p w14:paraId="6715334D">
      <w:pPr>
        <w:rPr>
          <w:sz w:val="24"/>
          <w:szCs w:val="24"/>
        </w:rPr>
      </w:pPr>
    </w:p>
    <w:p w14:paraId="76D84972">
      <w:pPr>
        <w:rPr>
          <w:sz w:val="24"/>
          <w:szCs w:val="24"/>
        </w:rPr>
      </w:pPr>
    </w:p>
    <w:p w14:paraId="07FFA03E">
      <w:pPr>
        <w:jc w:val="center"/>
        <w:rPr>
          <w:b/>
          <w:sz w:val="28"/>
          <w:szCs w:val="24"/>
        </w:rPr>
      </w:pPr>
      <w:r>
        <w:rPr>
          <w:b/>
          <w:sz w:val="28"/>
          <w:szCs w:val="24"/>
        </w:rPr>
        <w:t>第</w:t>
      </w:r>
      <w:r>
        <w:rPr>
          <w:rFonts w:hint="eastAsia"/>
          <w:b/>
          <w:sz w:val="28"/>
          <w:szCs w:val="24"/>
        </w:rPr>
        <w:t>六</w:t>
      </w:r>
      <w:r>
        <w:rPr>
          <w:b/>
          <w:sz w:val="28"/>
          <w:szCs w:val="24"/>
        </w:rPr>
        <w:t>章  投标技术档一般要求</w:t>
      </w:r>
    </w:p>
    <w:p w14:paraId="3B2E7FA2">
      <w:pPr>
        <w:rPr>
          <w:b/>
          <w:sz w:val="24"/>
          <w:szCs w:val="24"/>
        </w:rPr>
      </w:pPr>
      <w:r>
        <w:rPr>
          <w:rFonts w:hint="eastAsia"/>
          <w:b/>
          <w:sz w:val="24"/>
          <w:szCs w:val="24"/>
        </w:rPr>
        <w:t>一、技术档一般内容要求</w:t>
      </w:r>
    </w:p>
    <w:p w14:paraId="6E74B909">
      <w:pPr>
        <w:rPr>
          <w:sz w:val="24"/>
          <w:szCs w:val="24"/>
        </w:rPr>
      </w:pPr>
      <w:r>
        <w:rPr>
          <w:sz w:val="24"/>
          <w:szCs w:val="24"/>
        </w:rPr>
        <w:t>1、投标方应认真阅读招标档和本技术标书，并按要求编写投标技术档。</w:t>
      </w:r>
    </w:p>
    <w:p w14:paraId="1B75AB98">
      <w:pPr>
        <w:rPr>
          <w:sz w:val="24"/>
          <w:szCs w:val="24"/>
        </w:rPr>
      </w:pPr>
      <w:r>
        <w:rPr>
          <w:sz w:val="24"/>
          <w:szCs w:val="24"/>
        </w:rPr>
        <w:t>2、投标技术档至少应对投标货物的功能用途、技术性能、质量标准、技术参数等作出详细说明。</w:t>
      </w:r>
    </w:p>
    <w:p w14:paraId="675FB624">
      <w:pPr>
        <w:rPr>
          <w:sz w:val="24"/>
          <w:szCs w:val="24"/>
        </w:rPr>
      </w:pPr>
      <w:r>
        <w:rPr>
          <w:sz w:val="24"/>
          <w:szCs w:val="24"/>
        </w:rPr>
        <w:t>3、投标技术档至少应根据投标货物的关键设备、总成、零部件或系统作出满足或优于招标档要求的详细说明。</w:t>
      </w:r>
    </w:p>
    <w:p w14:paraId="333EDE74">
      <w:pPr>
        <w:rPr>
          <w:sz w:val="24"/>
          <w:szCs w:val="24"/>
        </w:rPr>
      </w:pPr>
      <w:r>
        <w:rPr>
          <w:sz w:val="24"/>
          <w:szCs w:val="24"/>
        </w:rPr>
        <w:t>4、投标技术档至少应按照招标档要求（或投标方建议）列明备品备件、易损件和专用耗材明细。</w:t>
      </w:r>
    </w:p>
    <w:p w14:paraId="110E471D">
      <w:pPr>
        <w:rPr>
          <w:sz w:val="24"/>
          <w:szCs w:val="24"/>
        </w:rPr>
      </w:pPr>
      <w:r>
        <w:rPr>
          <w:sz w:val="24"/>
          <w:szCs w:val="24"/>
        </w:rPr>
        <w:t>5、投标方应当而且必须分别说明所列备品备件、易损件和专用耗材的使用寿命（以有效工作小时数说明）。</w:t>
      </w:r>
    </w:p>
    <w:p w14:paraId="1CC62261">
      <w:pPr>
        <w:rPr>
          <w:sz w:val="24"/>
          <w:szCs w:val="24"/>
        </w:rPr>
      </w:pPr>
      <w:r>
        <w:rPr>
          <w:sz w:val="24"/>
          <w:szCs w:val="24"/>
        </w:rPr>
        <w:t>6</w:t>
      </w:r>
      <w:r>
        <w:rPr>
          <w:rFonts w:hint="eastAsia"/>
          <w:sz w:val="24"/>
          <w:szCs w:val="24"/>
        </w:rPr>
        <w:t>、投标的设备，应当根据其配置和备品备件、易损件、专用耗材情况，尽可能详细且分类填入下表：</w:t>
      </w:r>
    </w:p>
    <w:p w14:paraId="1BE1AC3C">
      <w:pPr>
        <w:rPr>
          <w:sz w:val="24"/>
          <w:szCs w:val="24"/>
        </w:rPr>
      </w:pPr>
      <w:r>
        <w:rPr>
          <w:sz w:val="24"/>
          <w:szCs w:val="24"/>
        </w:rPr>
        <w:t>6.1  投标设备配置一览表：</w:t>
      </w:r>
    </w:p>
    <w:p w14:paraId="2DE8D21C">
      <w:pPr>
        <w:adjustRightInd w:val="0"/>
        <w:snapToGrid w:val="0"/>
        <w:spacing w:line="460" w:lineRule="exact"/>
        <w:ind w:firstLine="1890" w:firstLineChars="900"/>
        <w:rPr>
          <w:rFonts w:ascii="宋体" w:hAnsi="宋体"/>
        </w:rPr>
      </w:pPr>
      <w:r>
        <w:rPr>
          <w:rFonts w:hint="eastAsia" w:ascii="宋体" w:hAnsi="宋体"/>
        </w:rPr>
        <w:t>表1</w:t>
      </w:r>
      <w:r>
        <w:rPr>
          <w:rFonts w:ascii="宋体" w:hAnsi="宋体"/>
        </w:rPr>
        <w:t xml:space="preserve">0    </w:t>
      </w:r>
      <w:r>
        <w:rPr>
          <w:rFonts w:hint="eastAsia" w:ascii="宋体" w:hAnsi="宋体"/>
        </w:rPr>
        <w:t>投标货物配置一览表          单位：元</w:t>
      </w:r>
    </w:p>
    <w:tbl>
      <w:tblPr>
        <w:tblStyle w:val="36"/>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0C595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77814BE">
            <w:pPr>
              <w:adjustRightInd w:val="0"/>
              <w:snapToGrid w:val="0"/>
              <w:spacing w:line="360" w:lineRule="exact"/>
              <w:jc w:val="center"/>
              <w:rPr>
                <w:rFonts w:ascii="宋体" w:hAnsi="宋体"/>
              </w:rPr>
            </w:pPr>
            <w:r>
              <w:rPr>
                <w:rFonts w:hint="eastAsia" w:ascii="宋体" w:hAnsi="宋体"/>
              </w:rPr>
              <w:t>序号</w:t>
            </w:r>
          </w:p>
        </w:tc>
        <w:tc>
          <w:tcPr>
            <w:tcW w:w="1924" w:type="dxa"/>
          </w:tcPr>
          <w:p w14:paraId="5F2AC7BF">
            <w:pPr>
              <w:adjustRightInd w:val="0"/>
              <w:snapToGrid w:val="0"/>
              <w:spacing w:line="360" w:lineRule="exact"/>
              <w:jc w:val="center"/>
              <w:rPr>
                <w:rFonts w:ascii="宋体" w:hAnsi="宋体"/>
              </w:rPr>
            </w:pPr>
            <w:r>
              <w:rPr>
                <w:rFonts w:hint="eastAsia" w:ascii="宋体" w:hAnsi="宋体"/>
              </w:rPr>
              <w:t>名称</w:t>
            </w:r>
          </w:p>
        </w:tc>
        <w:tc>
          <w:tcPr>
            <w:tcW w:w="1236" w:type="dxa"/>
          </w:tcPr>
          <w:p w14:paraId="13A96CE1">
            <w:pPr>
              <w:adjustRightInd w:val="0"/>
              <w:snapToGrid w:val="0"/>
              <w:spacing w:line="360" w:lineRule="exact"/>
              <w:jc w:val="center"/>
              <w:rPr>
                <w:rFonts w:ascii="宋体" w:hAnsi="宋体"/>
              </w:rPr>
            </w:pPr>
            <w:r>
              <w:rPr>
                <w:rFonts w:hint="eastAsia" w:ascii="宋体" w:hAnsi="宋体"/>
              </w:rPr>
              <w:t>型号规格</w:t>
            </w:r>
          </w:p>
        </w:tc>
        <w:tc>
          <w:tcPr>
            <w:tcW w:w="720" w:type="dxa"/>
          </w:tcPr>
          <w:p w14:paraId="39614DD3">
            <w:pPr>
              <w:adjustRightInd w:val="0"/>
              <w:snapToGrid w:val="0"/>
              <w:spacing w:line="360" w:lineRule="exact"/>
              <w:jc w:val="center"/>
              <w:rPr>
                <w:rFonts w:ascii="宋体" w:hAnsi="宋体"/>
              </w:rPr>
            </w:pPr>
            <w:r>
              <w:rPr>
                <w:rFonts w:hint="eastAsia" w:ascii="宋体" w:hAnsi="宋体"/>
              </w:rPr>
              <w:t>单位</w:t>
            </w:r>
          </w:p>
        </w:tc>
        <w:tc>
          <w:tcPr>
            <w:tcW w:w="720" w:type="dxa"/>
          </w:tcPr>
          <w:p w14:paraId="3F8B97B5">
            <w:pPr>
              <w:adjustRightInd w:val="0"/>
              <w:snapToGrid w:val="0"/>
              <w:spacing w:line="360" w:lineRule="exact"/>
              <w:jc w:val="center"/>
              <w:rPr>
                <w:rFonts w:ascii="宋体" w:hAnsi="宋体"/>
              </w:rPr>
            </w:pPr>
            <w:r>
              <w:rPr>
                <w:rFonts w:hint="eastAsia" w:ascii="宋体" w:hAnsi="宋体"/>
              </w:rPr>
              <w:t>数量</w:t>
            </w:r>
          </w:p>
        </w:tc>
        <w:tc>
          <w:tcPr>
            <w:tcW w:w="720" w:type="dxa"/>
          </w:tcPr>
          <w:p w14:paraId="06A532AF">
            <w:pPr>
              <w:adjustRightInd w:val="0"/>
              <w:snapToGrid w:val="0"/>
              <w:spacing w:line="360" w:lineRule="exact"/>
              <w:jc w:val="center"/>
              <w:rPr>
                <w:rFonts w:ascii="宋体" w:hAnsi="宋体"/>
              </w:rPr>
            </w:pPr>
            <w:r>
              <w:rPr>
                <w:rFonts w:hint="eastAsia" w:ascii="宋体" w:hAnsi="宋体"/>
              </w:rPr>
              <w:t>单价</w:t>
            </w:r>
          </w:p>
        </w:tc>
        <w:tc>
          <w:tcPr>
            <w:tcW w:w="720" w:type="dxa"/>
          </w:tcPr>
          <w:p w14:paraId="12568BEF">
            <w:pPr>
              <w:adjustRightInd w:val="0"/>
              <w:snapToGrid w:val="0"/>
              <w:spacing w:line="360" w:lineRule="exact"/>
              <w:jc w:val="center"/>
              <w:rPr>
                <w:rFonts w:ascii="宋体" w:hAnsi="宋体"/>
              </w:rPr>
            </w:pPr>
            <w:r>
              <w:rPr>
                <w:rFonts w:hint="eastAsia" w:ascii="宋体" w:hAnsi="宋体"/>
              </w:rPr>
              <w:t>总价</w:t>
            </w:r>
          </w:p>
        </w:tc>
        <w:tc>
          <w:tcPr>
            <w:tcW w:w="2235" w:type="dxa"/>
          </w:tcPr>
          <w:p w14:paraId="1B07C5EA">
            <w:pPr>
              <w:adjustRightInd w:val="0"/>
              <w:snapToGrid w:val="0"/>
              <w:spacing w:line="360" w:lineRule="exact"/>
              <w:jc w:val="center"/>
              <w:rPr>
                <w:rFonts w:ascii="宋体" w:hAnsi="宋体"/>
              </w:rPr>
            </w:pPr>
            <w:r>
              <w:rPr>
                <w:rFonts w:hint="eastAsia" w:ascii="宋体" w:hAnsi="宋体"/>
              </w:rPr>
              <w:t>制造商</w:t>
            </w:r>
          </w:p>
        </w:tc>
      </w:tr>
      <w:tr w14:paraId="39182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5DD67E2">
            <w:pPr>
              <w:adjustRightInd w:val="0"/>
              <w:snapToGrid w:val="0"/>
              <w:spacing w:line="360" w:lineRule="exact"/>
              <w:jc w:val="center"/>
              <w:rPr>
                <w:rFonts w:ascii="宋体" w:hAnsi="宋体"/>
              </w:rPr>
            </w:pPr>
          </w:p>
        </w:tc>
        <w:tc>
          <w:tcPr>
            <w:tcW w:w="1924" w:type="dxa"/>
          </w:tcPr>
          <w:p w14:paraId="39616309">
            <w:pPr>
              <w:adjustRightInd w:val="0"/>
              <w:snapToGrid w:val="0"/>
              <w:spacing w:line="360" w:lineRule="exact"/>
              <w:rPr>
                <w:rFonts w:ascii="宋体" w:hAnsi="宋体"/>
              </w:rPr>
            </w:pPr>
          </w:p>
        </w:tc>
        <w:tc>
          <w:tcPr>
            <w:tcW w:w="1236" w:type="dxa"/>
          </w:tcPr>
          <w:p w14:paraId="1E5BC067">
            <w:pPr>
              <w:adjustRightInd w:val="0"/>
              <w:snapToGrid w:val="0"/>
              <w:spacing w:line="360" w:lineRule="exact"/>
              <w:rPr>
                <w:rFonts w:ascii="宋体" w:hAnsi="宋体"/>
              </w:rPr>
            </w:pPr>
          </w:p>
        </w:tc>
        <w:tc>
          <w:tcPr>
            <w:tcW w:w="720" w:type="dxa"/>
          </w:tcPr>
          <w:p w14:paraId="365F3B7F">
            <w:pPr>
              <w:adjustRightInd w:val="0"/>
              <w:snapToGrid w:val="0"/>
              <w:spacing w:line="360" w:lineRule="exact"/>
              <w:jc w:val="center"/>
              <w:rPr>
                <w:rFonts w:ascii="宋体" w:hAnsi="宋体"/>
              </w:rPr>
            </w:pPr>
          </w:p>
        </w:tc>
        <w:tc>
          <w:tcPr>
            <w:tcW w:w="720" w:type="dxa"/>
          </w:tcPr>
          <w:p w14:paraId="3D0E584B">
            <w:pPr>
              <w:adjustRightInd w:val="0"/>
              <w:snapToGrid w:val="0"/>
              <w:spacing w:line="360" w:lineRule="exact"/>
              <w:jc w:val="center"/>
              <w:rPr>
                <w:rFonts w:ascii="宋体" w:hAnsi="宋体"/>
              </w:rPr>
            </w:pPr>
          </w:p>
        </w:tc>
        <w:tc>
          <w:tcPr>
            <w:tcW w:w="720" w:type="dxa"/>
          </w:tcPr>
          <w:p w14:paraId="1F3A41DC">
            <w:pPr>
              <w:adjustRightInd w:val="0"/>
              <w:snapToGrid w:val="0"/>
              <w:spacing w:line="360" w:lineRule="exact"/>
              <w:jc w:val="center"/>
              <w:rPr>
                <w:rFonts w:ascii="宋体" w:hAnsi="宋体"/>
              </w:rPr>
            </w:pPr>
          </w:p>
        </w:tc>
        <w:tc>
          <w:tcPr>
            <w:tcW w:w="720" w:type="dxa"/>
          </w:tcPr>
          <w:p w14:paraId="51AB365C">
            <w:pPr>
              <w:adjustRightInd w:val="0"/>
              <w:snapToGrid w:val="0"/>
              <w:spacing w:line="360" w:lineRule="exact"/>
              <w:jc w:val="center"/>
              <w:rPr>
                <w:rFonts w:ascii="宋体" w:hAnsi="宋体"/>
              </w:rPr>
            </w:pPr>
          </w:p>
        </w:tc>
        <w:tc>
          <w:tcPr>
            <w:tcW w:w="2235" w:type="dxa"/>
          </w:tcPr>
          <w:p w14:paraId="202E7C69">
            <w:pPr>
              <w:adjustRightInd w:val="0"/>
              <w:snapToGrid w:val="0"/>
              <w:spacing w:line="360" w:lineRule="exact"/>
              <w:rPr>
                <w:rFonts w:ascii="宋体" w:hAnsi="宋体"/>
              </w:rPr>
            </w:pPr>
          </w:p>
        </w:tc>
      </w:tr>
      <w:tr w14:paraId="2C7930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62DACD3">
            <w:pPr>
              <w:adjustRightInd w:val="0"/>
              <w:snapToGrid w:val="0"/>
              <w:spacing w:line="360" w:lineRule="exact"/>
              <w:jc w:val="center"/>
              <w:rPr>
                <w:rFonts w:ascii="宋体" w:hAnsi="宋体"/>
              </w:rPr>
            </w:pPr>
          </w:p>
        </w:tc>
        <w:tc>
          <w:tcPr>
            <w:tcW w:w="1924" w:type="dxa"/>
          </w:tcPr>
          <w:p w14:paraId="14401F80">
            <w:pPr>
              <w:adjustRightInd w:val="0"/>
              <w:snapToGrid w:val="0"/>
              <w:spacing w:line="360" w:lineRule="exact"/>
              <w:rPr>
                <w:rFonts w:ascii="宋体" w:hAnsi="宋体"/>
              </w:rPr>
            </w:pPr>
          </w:p>
        </w:tc>
        <w:tc>
          <w:tcPr>
            <w:tcW w:w="1236" w:type="dxa"/>
          </w:tcPr>
          <w:p w14:paraId="24705636">
            <w:pPr>
              <w:adjustRightInd w:val="0"/>
              <w:snapToGrid w:val="0"/>
              <w:spacing w:line="360" w:lineRule="exact"/>
              <w:rPr>
                <w:rFonts w:ascii="宋体" w:hAnsi="宋体"/>
              </w:rPr>
            </w:pPr>
          </w:p>
        </w:tc>
        <w:tc>
          <w:tcPr>
            <w:tcW w:w="720" w:type="dxa"/>
          </w:tcPr>
          <w:p w14:paraId="3C4E6146">
            <w:pPr>
              <w:adjustRightInd w:val="0"/>
              <w:snapToGrid w:val="0"/>
              <w:spacing w:line="360" w:lineRule="exact"/>
              <w:jc w:val="center"/>
              <w:rPr>
                <w:rFonts w:ascii="宋体" w:hAnsi="宋体"/>
              </w:rPr>
            </w:pPr>
          </w:p>
        </w:tc>
        <w:tc>
          <w:tcPr>
            <w:tcW w:w="720" w:type="dxa"/>
          </w:tcPr>
          <w:p w14:paraId="14994D4C">
            <w:pPr>
              <w:adjustRightInd w:val="0"/>
              <w:snapToGrid w:val="0"/>
              <w:spacing w:line="360" w:lineRule="exact"/>
              <w:jc w:val="center"/>
              <w:rPr>
                <w:rFonts w:ascii="宋体" w:hAnsi="宋体"/>
              </w:rPr>
            </w:pPr>
          </w:p>
        </w:tc>
        <w:tc>
          <w:tcPr>
            <w:tcW w:w="720" w:type="dxa"/>
          </w:tcPr>
          <w:p w14:paraId="0681F0F0">
            <w:pPr>
              <w:adjustRightInd w:val="0"/>
              <w:snapToGrid w:val="0"/>
              <w:spacing w:line="360" w:lineRule="exact"/>
              <w:jc w:val="center"/>
              <w:rPr>
                <w:rFonts w:ascii="宋体" w:hAnsi="宋体"/>
              </w:rPr>
            </w:pPr>
          </w:p>
        </w:tc>
        <w:tc>
          <w:tcPr>
            <w:tcW w:w="720" w:type="dxa"/>
          </w:tcPr>
          <w:p w14:paraId="76352274">
            <w:pPr>
              <w:adjustRightInd w:val="0"/>
              <w:snapToGrid w:val="0"/>
              <w:spacing w:line="360" w:lineRule="exact"/>
              <w:jc w:val="center"/>
              <w:rPr>
                <w:rFonts w:ascii="宋体" w:hAnsi="宋体"/>
              </w:rPr>
            </w:pPr>
          </w:p>
        </w:tc>
        <w:tc>
          <w:tcPr>
            <w:tcW w:w="2235" w:type="dxa"/>
          </w:tcPr>
          <w:p w14:paraId="6983D7F7">
            <w:pPr>
              <w:adjustRightInd w:val="0"/>
              <w:snapToGrid w:val="0"/>
              <w:spacing w:line="360" w:lineRule="exact"/>
              <w:rPr>
                <w:rFonts w:ascii="宋体" w:hAnsi="宋体"/>
              </w:rPr>
            </w:pPr>
          </w:p>
        </w:tc>
      </w:tr>
      <w:tr w14:paraId="2D702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3AEBF689">
            <w:pPr>
              <w:adjustRightInd w:val="0"/>
              <w:snapToGrid w:val="0"/>
              <w:spacing w:line="360" w:lineRule="exact"/>
              <w:jc w:val="center"/>
              <w:rPr>
                <w:rFonts w:ascii="宋体" w:hAnsi="宋体"/>
              </w:rPr>
            </w:pPr>
          </w:p>
        </w:tc>
        <w:tc>
          <w:tcPr>
            <w:tcW w:w="1924" w:type="dxa"/>
          </w:tcPr>
          <w:p w14:paraId="67A771AE">
            <w:pPr>
              <w:adjustRightInd w:val="0"/>
              <w:snapToGrid w:val="0"/>
              <w:spacing w:line="360" w:lineRule="exact"/>
              <w:rPr>
                <w:rFonts w:ascii="宋体" w:hAnsi="宋体"/>
              </w:rPr>
            </w:pPr>
          </w:p>
        </w:tc>
        <w:tc>
          <w:tcPr>
            <w:tcW w:w="1236" w:type="dxa"/>
          </w:tcPr>
          <w:p w14:paraId="476058D2">
            <w:pPr>
              <w:adjustRightInd w:val="0"/>
              <w:snapToGrid w:val="0"/>
              <w:spacing w:line="360" w:lineRule="exact"/>
              <w:rPr>
                <w:rFonts w:ascii="宋体" w:hAnsi="宋体"/>
              </w:rPr>
            </w:pPr>
          </w:p>
        </w:tc>
        <w:tc>
          <w:tcPr>
            <w:tcW w:w="720" w:type="dxa"/>
          </w:tcPr>
          <w:p w14:paraId="4D299C1B">
            <w:pPr>
              <w:adjustRightInd w:val="0"/>
              <w:snapToGrid w:val="0"/>
              <w:spacing w:line="360" w:lineRule="exact"/>
              <w:jc w:val="center"/>
              <w:rPr>
                <w:rFonts w:ascii="宋体" w:hAnsi="宋体"/>
              </w:rPr>
            </w:pPr>
          </w:p>
        </w:tc>
        <w:tc>
          <w:tcPr>
            <w:tcW w:w="720" w:type="dxa"/>
          </w:tcPr>
          <w:p w14:paraId="015CE0E8">
            <w:pPr>
              <w:adjustRightInd w:val="0"/>
              <w:snapToGrid w:val="0"/>
              <w:spacing w:line="360" w:lineRule="exact"/>
              <w:jc w:val="center"/>
              <w:rPr>
                <w:rFonts w:ascii="宋体" w:hAnsi="宋体"/>
              </w:rPr>
            </w:pPr>
          </w:p>
        </w:tc>
        <w:tc>
          <w:tcPr>
            <w:tcW w:w="720" w:type="dxa"/>
          </w:tcPr>
          <w:p w14:paraId="23039DDB">
            <w:pPr>
              <w:adjustRightInd w:val="0"/>
              <w:snapToGrid w:val="0"/>
              <w:spacing w:line="360" w:lineRule="exact"/>
              <w:jc w:val="center"/>
              <w:rPr>
                <w:rFonts w:ascii="宋体" w:hAnsi="宋体"/>
              </w:rPr>
            </w:pPr>
          </w:p>
        </w:tc>
        <w:tc>
          <w:tcPr>
            <w:tcW w:w="720" w:type="dxa"/>
          </w:tcPr>
          <w:p w14:paraId="4B392C7B">
            <w:pPr>
              <w:adjustRightInd w:val="0"/>
              <w:snapToGrid w:val="0"/>
              <w:spacing w:line="360" w:lineRule="exact"/>
              <w:jc w:val="center"/>
              <w:rPr>
                <w:rFonts w:ascii="宋体" w:hAnsi="宋体"/>
              </w:rPr>
            </w:pPr>
          </w:p>
        </w:tc>
        <w:tc>
          <w:tcPr>
            <w:tcW w:w="2235" w:type="dxa"/>
          </w:tcPr>
          <w:p w14:paraId="05E55D1D">
            <w:pPr>
              <w:adjustRightInd w:val="0"/>
              <w:snapToGrid w:val="0"/>
              <w:spacing w:line="360" w:lineRule="exact"/>
              <w:rPr>
                <w:rFonts w:ascii="宋体" w:hAnsi="宋体"/>
              </w:rPr>
            </w:pPr>
          </w:p>
        </w:tc>
      </w:tr>
      <w:tr w14:paraId="2E960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5A9DAB32">
            <w:pPr>
              <w:adjustRightInd w:val="0"/>
              <w:snapToGrid w:val="0"/>
              <w:spacing w:line="360" w:lineRule="exact"/>
              <w:jc w:val="center"/>
              <w:rPr>
                <w:rFonts w:ascii="宋体" w:hAnsi="宋体"/>
              </w:rPr>
            </w:pPr>
          </w:p>
        </w:tc>
        <w:tc>
          <w:tcPr>
            <w:tcW w:w="1924" w:type="dxa"/>
          </w:tcPr>
          <w:p w14:paraId="13DDF57A">
            <w:pPr>
              <w:adjustRightInd w:val="0"/>
              <w:snapToGrid w:val="0"/>
              <w:spacing w:line="360" w:lineRule="exact"/>
              <w:rPr>
                <w:rFonts w:ascii="宋体" w:hAnsi="宋体"/>
              </w:rPr>
            </w:pPr>
          </w:p>
        </w:tc>
        <w:tc>
          <w:tcPr>
            <w:tcW w:w="1236" w:type="dxa"/>
          </w:tcPr>
          <w:p w14:paraId="56044ACD">
            <w:pPr>
              <w:adjustRightInd w:val="0"/>
              <w:snapToGrid w:val="0"/>
              <w:spacing w:line="360" w:lineRule="exact"/>
              <w:rPr>
                <w:rFonts w:ascii="宋体" w:hAnsi="宋体"/>
              </w:rPr>
            </w:pPr>
          </w:p>
        </w:tc>
        <w:tc>
          <w:tcPr>
            <w:tcW w:w="720" w:type="dxa"/>
          </w:tcPr>
          <w:p w14:paraId="6B5E7BE9">
            <w:pPr>
              <w:adjustRightInd w:val="0"/>
              <w:snapToGrid w:val="0"/>
              <w:spacing w:line="360" w:lineRule="exact"/>
              <w:jc w:val="center"/>
              <w:rPr>
                <w:rFonts w:ascii="宋体" w:hAnsi="宋体"/>
              </w:rPr>
            </w:pPr>
          </w:p>
        </w:tc>
        <w:tc>
          <w:tcPr>
            <w:tcW w:w="720" w:type="dxa"/>
          </w:tcPr>
          <w:p w14:paraId="0A8FC862">
            <w:pPr>
              <w:adjustRightInd w:val="0"/>
              <w:snapToGrid w:val="0"/>
              <w:spacing w:line="360" w:lineRule="exact"/>
              <w:jc w:val="center"/>
              <w:rPr>
                <w:rFonts w:ascii="宋体" w:hAnsi="宋体"/>
              </w:rPr>
            </w:pPr>
          </w:p>
        </w:tc>
        <w:tc>
          <w:tcPr>
            <w:tcW w:w="720" w:type="dxa"/>
          </w:tcPr>
          <w:p w14:paraId="5E2F42AC">
            <w:pPr>
              <w:adjustRightInd w:val="0"/>
              <w:snapToGrid w:val="0"/>
              <w:spacing w:line="360" w:lineRule="exact"/>
              <w:jc w:val="center"/>
              <w:rPr>
                <w:rFonts w:ascii="宋体" w:hAnsi="宋体"/>
              </w:rPr>
            </w:pPr>
          </w:p>
        </w:tc>
        <w:tc>
          <w:tcPr>
            <w:tcW w:w="720" w:type="dxa"/>
          </w:tcPr>
          <w:p w14:paraId="10286A9E">
            <w:pPr>
              <w:adjustRightInd w:val="0"/>
              <w:snapToGrid w:val="0"/>
              <w:spacing w:line="360" w:lineRule="exact"/>
              <w:jc w:val="center"/>
              <w:rPr>
                <w:rFonts w:ascii="宋体" w:hAnsi="宋体"/>
              </w:rPr>
            </w:pPr>
          </w:p>
        </w:tc>
        <w:tc>
          <w:tcPr>
            <w:tcW w:w="2235" w:type="dxa"/>
          </w:tcPr>
          <w:p w14:paraId="103B94AB">
            <w:pPr>
              <w:adjustRightInd w:val="0"/>
              <w:snapToGrid w:val="0"/>
              <w:spacing w:line="360" w:lineRule="exact"/>
              <w:rPr>
                <w:rFonts w:ascii="宋体" w:hAnsi="宋体"/>
              </w:rPr>
            </w:pPr>
          </w:p>
        </w:tc>
      </w:tr>
      <w:tr w14:paraId="7342E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84F5958">
            <w:pPr>
              <w:adjustRightInd w:val="0"/>
              <w:snapToGrid w:val="0"/>
              <w:spacing w:line="360" w:lineRule="exact"/>
              <w:jc w:val="center"/>
              <w:rPr>
                <w:rFonts w:ascii="宋体" w:hAnsi="宋体"/>
              </w:rPr>
            </w:pPr>
          </w:p>
        </w:tc>
        <w:tc>
          <w:tcPr>
            <w:tcW w:w="1924" w:type="dxa"/>
          </w:tcPr>
          <w:p w14:paraId="06A81916">
            <w:pPr>
              <w:adjustRightInd w:val="0"/>
              <w:snapToGrid w:val="0"/>
              <w:spacing w:line="360" w:lineRule="exact"/>
              <w:rPr>
                <w:rFonts w:ascii="宋体" w:hAnsi="宋体"/>
              </w:rPr>
            </w:pPr>
          </w:p>
        </w:tc>
        <w:tc>
          <w:tcPr>
            <w:tcW w:w="1236" w:type="dxa"/>
          </w:tcPr>
          <w:p w14:paraId="4308C361">
            <w:pPr>
              <w:adjustRightInd w:val="0"/>
              <w:snapToGrid w:val="0"/>
              <w:spacing w:line="360" w:lineRule="exact"/>
              <w:rPr>
                <w:rFonts w:ascii="宋体" w:hAnsi="宋体"/>
              </w:rPr>
            </w:pPr>
          </w:p>
        </w:tc>
        <w:tc>
          <w:tcPr>
            <w:tcW w:w="720" w:type="dxa"/>
          </w:tcPr>
          <w:p w14:paraId="3B7C24D2">
            <w:pPr>
              <w:adjustRightInd w:val="0"/>
              <w:snapToGrid w:val="0"/>
              <w:spacing w:line="360" w:lineRule="exact"/>
              <w:jc w:val="center"/>
              <w:rPr>
                <w:rFonts w:ascii="宋体" w:hAnsi="宋体"/>
              </w:rPr>
            </w:pPr>
          </w:p>
        </w:tc>
        <w:tc>
          <w:tcPr>
            <w:tcW w:w="720" w:type="dxa"/>
          </w:tcPr>
          <w:p w14:paraId="1D9E5AAF">
            <w:pPr>
              <w:adjustRightInd w:val="0"/>
              <w:snapToGrid w:val="0"/>
              <w:spacing w:line="360" w:lineRule="exact"/>
              <w:jc w:val="center"/>
              <w:rPr>
                <w:rFonts w:ascii="宋体" w:hAnsi="宋体"/>
              </w:rPr>
            </w:pPr>
          </w:p>
        </w:tc>
        <w:tc>
          <w:tcPr>
            <w:tcW w:w="720" w:type="dxa"/>
          </w:tcPr>
          <w:p w14:paraId="26A87DAE">
            <w:pPr>
              <w:adjustRightInd w:val="0"/>
              <w:snapToGrid w:val="0"/>
              <w:spacing w:line="360" w:lineRule="exact"/>
              <w:jc w:val="center"/>
              <w:rPr>
                <w:rFonts w:ascii="宋体" w:hAnsi="宋体"/>
              </w:rPr>
            </w:pPr>
          </w:p>
        </w:tc>
        <w:tc>
          <w:tcPr>
            <w:tcW w:w="720" w:type="dxa"/>
          </w:tcPr>
          <w:p w14:paraId="1B3B44C0">
            <w:pPr>
              <w:adjustRightInd w:val="0"/>
              <w:snapToGrid w:val="0"/>
              <w:spacing w:line="360" w:lineRule="exact"/>
              <w:jc w:val="center"/>
              <w:rPr>
                <w:rFonts w:ascii="宋体" w:hAnsi="宋体"/>
              </w:rPr>
            </w:pPr>
          </w:p>
        </w:tc>
        <w:tc>
          <w:tcPr>
            <w:tcW w:w="2235" w:type="dxa"/>
          </w:tcPr>
          <w:p w14:paraId="632CC2D7">
            <w:pPr>
              <w:adjustRightInd w:val="0"/>
              <w:snapToGrid w:val="0"/>
              <w:spacing w:line="360" w:lineRule="exact"/>
              <w:rPr>
                <w:rFonts w:ascii="宋体" w:hAnsi="宋体"/>
              </w:rPr>
            </w:pPr>
          </w:p>
        </w:tc>
      </w:tr>
      <w:tr w14:paraId="5C62E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CB885F8">
            <w:pPr>
              <w:adjustRightInd w:val="0"/>
              <w:snapToGrid w:val="0"/>
              <w:spacing w:line="360" w:lineRule="exact"/>
              <w:jc w:val="center"/>
              <w:rPr>
                <w:rFonts w:ascii="宋体" w:hAnsi="宋体"/>
              </w:rPr>
            </w:pPr>
          </w:p>
        </w:tc>
        <w:tc>
          <w:tcPr>
            <w:tcW w:w="1924" w:type="dxa"/>
          </w:tcPr>
          <w:p w14:paraId="03EE2AC9">
            <w:pPr>
              <w:adjustRightInd w:val="0"/>
              <w:snapToGrid w:val="0"/>
              <w:spacing w:line="360" w:lineRule="exact"/>
              <w:rPr>
                <w:rFonts w:ascii="宋体" w:hAnsi="宋体"/>
              </w:rPr>
            </w:pPr>
          </w:p>
        </w:tc>
        <w:tc>
          <w:tcPr>
            <w:tcW w:w="1236" w:type="dxa"/>
          </w:tcPr>
          <w:p w14:paraId="6575994B">
            <w:pPr>
              <w:adjustRightInd w:val="0"/>
              <w:snapToGrid w:val="0"/>
              <w:spacing w:line="360" w:lineRule="exact"/>
              <w:rPr>
                <w:rFonts w:ascii="宋体" w:hAnsi="宋体"/>
              </w:rPr>
            </w:pPr>
          </w:p>
        </w:tc>
        <w:tc>
          <w:tcPr>
            <w:tcW w:w="720" w:type="dxa"/>
          </w:tcPr>
          <w:p w14:paraId="1A9C8AA8">
            <w:pPr>
              <w:adjustRightInd w:val="0"/>
              <w:snapToGrid w:val="0"/>
              <w:spacing w:line="360" w:lineRule="exact"/>
              <w:jc w:val="center"/>
              <w:rPr>
                <w:rFonts w:ascii="宋体" w:hAnsi="宋体"/>
              </w:rPr>
            </w:pPr>
          </w:p>
        </w:tc>
        <w:tc>
          <w:tcPr>
            <w:tcW w:w="720" w:type="dxa"/>
          </w:tcPr>
          <w:p w14:paraId="323736ED">
            <w:pPr>
              <w:adjustRightInd w:val="0"/>
              <w:snapToGrid w:val="0"/>
              <w:spacing w:line="360" w:lineRule="exact"/>
              <w:jc w:val="center"/>
              <w:rPr>
                <w:rFonts w:ascii="宋体" w:hAnsi="宋体"/>
              </w:rPr>
            </w:pPr>
          </w:p>
        </w:tc>
        <w:tc>
          <w:tcPr>
            <w:tcW w:w="720" w:type="dxa"/>
          </w:tcPr>
          <w:p w14:paraId="584764AC">
            <w:pPr>
              <w:adjustRightInd w:val="0"/>
              <w:snapToGrid w:val="0"/>
              <w:spacing w:line="360" w:lineRule="exact"/>
              <w:jc w:val="center"/>
              <w:rPr>
                <w:rFonts w:ascii="宋体" w:hAnsi="宋体"/>
              </w:rPr>
            </w:pPr>
          </w:p>
        </w:tc>
        <w:tc>
          <w:tcPr>
            <w:tcW w:w="720" w:type="dxa"/>
          </w:tcPr>
          <w:p w14:paraId="13D716C8">
            <w:pPr>
              <w:adjustRightInd w:val="0"/>
              <w:snapToGrid w:val="0"/>
              <w:spacing w:line="360" w:lineRule="exact"/>
              <w:jc w:val="center"/>
              <w:rPr>
                <w:rFonts w:ascii="宋体" w:hAnsi="宋体"/>
              </w:rPr>
            </w:pPr>
          </w:p>
        </w:tc>
        <w:tc>
          <w:tcPr>
            <w:tcW w:w="2235" w:type="dxa"/>
          </w:tcPr>
          <w:p w14:paraId="78EBFA59">
            <w:pPr>
              <w:adjustRightInd w:val="0"/>
              <w:snapToGrid w:val="0"/>
              <w:spacing w:line="360" w:lineRule="exact"/>
              <w:rPr>
                <w:rFonts w:ascii="宋体" w:hAnsi="宋体"/>
              </w:rPr>
            </w:pPr>
          </w:p>
        </w:tc>
      </w:tr>
    </w:tbl>
    <w:p w14:paraId="144D69E2">
      <w:pPr>
        <w:rPr>
          <w:sz w:val="24"/>
          <w:szCs w:val="24"/>
        </w:rPr>
      </w:pPr>
      <w:r>
        <w:rPr>
          <w:sz w:val="24"/>
          <w:szCs w:val="24"/>
        </w:rPr>
        <w:t>6.2  备品备件、易损件和专用耗材明细表：</w:t>
      </w:r>
    </w:p>
    <w:p w14:paraId="5E8A8509">
      <w:pPr>
        <w:jc w:val="center"/>
        <w:rPr>
          <w:szCs w:val="24"/>
        </w:rPr>
      </w:pPr>
      <w:r>
        <w:rPr>
          <w:rFonts w:hint="eastAsia"/>
          <w:szCs w:val="24"/>
        </w:rPr>
        <w:t>表1</w:t>
      </w:r>
      <w:r>
        <w:rPr>
          <w:szCs w:val="24"/>
        </w:rPr>
        <w:t xml:space="preserve">1   </w:t>
      </w:r>
      <w:r>
        <w:rPr>
          <w:rFonts w:hint="eastAsia"/>
          <w:szCs w:val="24"/>
        </w:rPr>
        <w:t>备品备件、易损件和专用耗材明细表</w:t>
      </w:r>
      <w:r>
        <w:rPr>
          <w:szCs w:val="24"/>
        </w:rPr>
        <w:t xml:space="preserve">             单位：元</w:t>
      </w:r>
    </w:p>
    <w:tbl>
      <w:tblPr>
        <w:tblStyle w:val="3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4B536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ECAF1E7">
            <w:pPr>
              <w:adjustRightInd w:val="0"/>
              <w:snapToGrid w:val="0"/>
              <w:spacing w:line="360" w:lineRule="exact"/>
              <w:jc w:val="center"/>
              <w:rPr>
                <w:rFonts w:ascii="宋体" w:hAnsi="宋体"/>
              </w:rPr>
            </w:pPr>
            <w:r>
              <w:rPr>
                <w:rFonts w:hint="eastAsia" w:ascii="宋体" w:hAnsi="宋体"/>
              </w:rPr>
              <w:t>序号</w:t>
            </w:r>
          </w:p>
        </w:tc>
        <w:tc>
          <w:tcPr>
            <w:tcW w:w="1924" w:type="dxa"/>
          </w:tcPr>
          <w:p w14:paraId="1E373E0D">
            <w:pPr>
              <w:adjustRightInd w:val="0"/>
              <w:snapToGrid w:val="0"/>
              <w:spacing w:line="360" w:lineRule="exact"/>
              <w:jc w:val="center"/>
              <w:rPr>
                <w:rFonts w:ascii="宋体" w:hAnsi="宋体"/>
              </w:rPr>
            </w:pPr>
            <w:r>
              <w:rPr>
                <w:rFonts w:hint="eastAsia" w:ascii="宋体" w:hAnsi="宋体"/>
              </w:rPr>
              <w:t>名称</w:t>
            </w:r>
          </w:p>
        </w:tc>
        <w:tc>
          <w:tcPr>
            <w:tcW w:w="1236" w:type="dxa"/>
          </w:tcPr>
          <w:p w14:paraId="05AFB07D">
            <w:pPr>
              <w:adjustRightInd w:val="0"/>
              <w:snapToGrid w:val="0"/>
              <w:spacing w:line="360" w:lineRule="exact"/>
              <w:jc w:val="center"/>
              <w:rPr>
                <w:rFonts w:ascii="宋体" w:hAnsi="宋体"/>
              </w:rPr>
            </w:pPr>
            <w:r>
              <w:rPr>
                <w:rFonts w:hint="eastAsia" w:ascii="宋体" w:hAnsi="宋体"/>
              </w:rPr>
              <w:t>型号规格</w:t>
            </w:r>
          </w:p>
        </w:tc>
        <w:tc>
          <w:tcPr>
            <w:tcW w:w="720" w:type="dxa"/>
          </w:tcPr>
          <w:p w14:paraId="01B048A7">
            <w:pPr>
              <w:adjustRightInd w:val="0"/>
              <w:snapToGrid w:val="0"/>
              <w:spacing w:line="360" w:lineRule="exact"/>
              <w:jc w:val="center"/>
              <w:rPr>
                <w:rFonts w:ascii="宋体" w:hAnsi="宋体"/>
              </w:rPr>
            </w:pPr>
            <w:r>
              <w:rPr>
                <w:rFonts w:hint="eastAsia" w:ascii="宋体" w:hAnsi="宋体"/>
              </w:rPr>
              <w:t>单位</w:t>
            </w:r>
          </w:p>
        </w:tc>
        <w:tc>
          <w:tcPr>
            <w:tcW w:w="720" w:type="dxa"/>
          </w:tcPr>
          <w:p w14:paraId="6C2A3625">
            <w:pPr>
              <w:adjustRightInd w:val="0"/>
              <w:snapToGrid w:val="0"/>
              <w:spacing w:line="360" w:lineRule="exact"/>
              <w:jc w:val="center"/>
              <w:rPr>
                <w:rFonts w:ascii="宋体" w:hAnsi="宋体"/>
              </w:rPr>
            </w:pPr>
            <w:r>
              <w:rPr>
                <w:rFonts w:hint="eastAsia" w:ascii="宋体" w:hAnsi="宋体"/>
              </w:rPr>
              <w:t>数量</w:t>
            </w:r>
          </w:p>
        </w:tc>
        <w:tc>
          <w:tcPr>
            <w:tcW w:w="720" w:type="dxa"/>
          </w:tcPr>
          <w:p w14:paraId="302C566F">
            <w:pPr>
              <w:adjustRightInd w:val="0"/>
              <w:snapToGrid w:val="0"/>
              <w:spacing w:line="360" w:lineRule="exact"/>
              <w:jc w:val="center"/>
              <w:rPr>
                <w:rFonts w:ascii="宋体" w:hAnsi="宋体"/>
              </w:rPr>
            </w:pPr>
            <w:r>
              <w:rPr>
                <w:rFonts w:hint="eastAsia" w:ascii="宋体" w:hAnsi="宋体"/>
              </w:rPr>
              <w:t>单价</w:t>
            </w:r>
          </w:p>
        </w:tc>
        <w:tc>
          <w:tcPr>
            <w:tcW w:w="720" w:type="dxa"/>
          </w:tcPr>
          <w:p w14:paraId="5B3F1632">
            <w:pPr>
              <w:adjustRightInd w:val="0"/>
              <w:snapToGrid w:val="0"/>
              <w:spacing w:line="360" w:lineRule="exact"/>
              <w:jc w:val="center"/>
              <w:rPr>
                <w:rFonts w:ascii="宋体" w:hAnsi="宋体"/>
              </w:rPr>
            </w:pPr>
            <w:r>
              <w:rPr>
                <w:rFonts w:hint="eastAsia" w:ascii="宋体" w:hAnsi="宋体"/>
              </w:rPr>
              <w:t>总价</w:t>
            </w:r>
          </w:p>
        </w:tc>
        <w:tc>
          <w:tcPr>
            <w:tcW w:w="2235" w:type="dxa"/>
          </w:tcPr>
          <w:p w14:paraId="3CE79FC4">
            <w:pPr>
              <w:adjustRightInd w:val="0"/>
              <w:snapToGrid w:val="0"/>
              <w:spacing w:line="360" w:lineRule="exact"/>
              <w:jc w:val="center"/>
              <w:rPr>
                <w:rFonts w:ascii="宋体" w:hAnsi="宋体"/>
              </w:rPr>
            </w:pPr>
            <w:r>
              <w:rPr>
                <w:rFonts w:hint="eastAsia" w:ascii="宋体" w:hAnsi="宋体"/>
              </w:rPr>
              <w:t>制造商</w:t>
            </w:r>
          </w:p>
        </w:tc>
      </w:tr>
      <w:tr w14:paraId="141BE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18AC8BDE">
            <w:pPr>
              <w:adjustRightInd w:val="0"/>
              <w:snapToGrid w:val="0"/>
              <w:spacing w:line="360" w:lineRule="exact"/>
              <w:jc w:val="center"/>
              <w:rPr>
                <w:rFonts w:ascii="宋体" w:hAnsi="宋体"/>
              </w:rPr>
            </w:pPr>
          </w:p>
        </w:tc>
        <w:tc>
          <w:tcPr>
            <w:tcW w:w="1924" w:type="dxa"/>
          </w:tcPr>
          <w:p w14:paraId="35FAD9AB">
            <w:pPr>
              <w:adjustRightInd w:val="0"/>
              <w:snapToGrid w:val="0"/>
              <w:spacing w:line="360" w:lineRule="exact"/>
              <w:rPr>
                <w:rFonts w:ascii="宋体" w:hAnsi="宋体"/>
              </w:rPr>
            </w:pPr>
          </w:p>
        </w:tc>
        <w:tc>
          <w:tcPr>
            <w:tcW w:w="1236" w:type="dxa"/>
          </w:tcPr>
          <w:p w14:paraId="71779BF0">
            <w:pPr>
              <w:adjustRightInd w:val="0"/>
              <w:snapToGrid w:val="0"/>
              <w:spacing w:line="360" w:lineRule="exact"/>
              <w:rPr>
                <w:rFonts w:ascii="宋体" w:hAnsi="宋体"/>
              </w:rPr>
            </w:pPr>
          </w:p>
        </w:tc>
        <w:tc>
          <w:tcPr>
            <w:tcW w:w="720" w:type="dxa"/>
          </w:tcPr>
          <w:p w14:paraId="20FE2ACA">
            <w:pPr>
              <w:adjustRightInd w:val="0"/>
              <w:snapToGrid w:val="0"/>
              <w:spacing w:line="360" w:lineRule="exact"/>
              <w:jc w:val="center"/>
              <w:rPr>
                <w:rFonts w:ascii="宋体" w:hAnsi="宋体"/>
              </w:rPr>
            </w:pPr>
          </w:p>
        </w:tc>
        <w:tc>
          <w:tcPr>
            <w:tcW w:w="720" w:type="dxa"/>
          </w:tcPr>
          <w:p w14:paraId="1323E052">
            <w:pPr>
              <w:adjustRightInd w:val="0"/>
              <w:snapToGrid w:val="0"/>
              <w:spacing w:line="360" w:lineRule="exact"/>
              <w:jc w:val="center"/>
              <w:rPr>
                <w:rFonts w:ascii="宋体" w:hAnsi="宋体"/>
              </w:rPr>
            </w:pPr>
          </w:p>
        </w:tc>
        <w:tc>
          <w:tcPr>
            <w:tcW w:w="720" w:type="dxa"/>
          </w:tcPr>
          <w:p w14:paraId="18AA3096">
            <w:pPr>
              <w:adjustRightInd w:val="0"/>
              <w:snapToGrid w:val="0"/>
              <w:spacing w:line="360" w:lineRule="exact"/>
              <w:jc w:val="center"/>
              <w:rPr>
                <w:rFonts w:ascii="宋体" w:hAnsi="宋体"/>
              </w:rPr>
            </w:pPr>
          </w:p>
        </w:tc>
        <w:tc>
          <w:tcPr>
            <w:tcW w:w="720" w:type="dxa"/>
          </w:tcPr>
          <w:p w14:paraId="40F6032B">
            <w:pPr>
              <w:adjustRightInd w:val="0"/>
              <w:snapToGrid w:val="0"/>
              <w:spacing w:line="360" w:lineRule="exact"/>
              <w:jc w:val="center"/>
              <w:rPr>
                <w:rFonts w:ascii="宋体" w:hAnsi="宋体"/>
              </w:rPr>
            </w:pPr>
          </w:p>
        </w:tc>
        <w:tc>
          <w:tcPr>
            <w:tcW w:w="2235" w:type="dxa"/>
          </w:tcPr>
          <w:p w14:paraId="5B06350A">
            <w:pPr>
              <w:adjustRightInd w:val="0"/>
              <w:snapToGrid w:val="0"/>
              <w:spacing w:line="360" w:lineRule="exact"/>
              <w:rPr>
                <w:rFonts w:ascii="宋体" w:hAnsi="宋体"/>
              </w:rPr>
            </w:pPr>
          </w:p>
        </w:tc>
      </w:tr>
      <w:tr w14:paraId="5FC1F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57B6ED3A">
            <w:pPr>
              <w:adjustRightInd w:val="0"/>
              <w:snapToGrid w:val="0"/>
              <w:spacing w:line="360" w:lineRule="exact"/>
              <w:jc w:val="center"/>
              <w:rPr>
                <w:rFonts w:ascii="宋体" w:hAnsi="宋体"/>
              </w:rPr>
            </w:pPr>
          </w:p>
        </w:tc>
        <w:tc>
          <w:tcPr>
            <w:tcW w:w="1924" w:type="dxa"/>
          </w:tcPr>
          <w:p w14:paraId="72DBE6F3">
            <w:pPr>
              <w:adjustRightInd w:val="0"/>
              <w:snapToGrid w:val="0"/>
              <w:spacing w:line="360" w:lineRule="exact"/>
              <w:rPr>
                <w:rFonts w:ascii="宋体" w:hAnsi="宋体"/>
              </w:rPr>
            </w:pPr>
          </w:p>
        </w:tc>
        <w:tc>
          <w:tcPr>
            <w:tcW w:w="1236" w:type="dxa"/>
          </w:tcPr>
          <w:p w14:paraId="68BE264F">
            <w:pPr>
              <w:adjustRightInd w:val="0"/>
              <w:snapToGrid w:val="0"/>
              <w:spacing w:line="360" w:lineRule="exact"/>
              <w:rPr>
                <w:rFonts w:ascii="宋体" w:hAnsi="宋体"/>
              </w:rPr>
            </w:pPr>
          </w:p>
        </w:tc>
        <w:tc>
          <w:tcPr>
            <w:tcW w:w="720" w:type="dxa"/>
          </w:tcPr>
          <w:p w14:paraId="2A7324AA">
            <w:pPr>
              <w:adjustRightInd w:val="0"/>
              <w:snapToGrid w:val="0"/>
              <w:spacing w:line="360" w:lineRule="exact"/>
              <w:jc w:val="center"/>
              <w:rPr>
                <w:rFonts w:ascii="宋体" w:hAnsi="宋体"/>
              </w:rPr>
            </w:pPr>
          </w:p>
        </w:tc>
        <w:tc>
          <w:tcPr>
            <w:tcW w:w="720" w:type="dxa"/>
          </w:tcPr>
          <w:p w14:paraId="674DCEE6">
            <w:pPr>
              <w:adjustRightInd w:val="0"/>
              <w:snapToGrid w:val="0"/>
              <w:spacing w:line="360" w:lineRule="exact"/>
              <w:jc w:val="center"/>
              <w:rPr>
                <w:rFonts w:ascii="宋体" w:hAnsi="宋体"/>
              </w:rPr>
            </w:pPr>
          </w:p>
        </w:tc>
        <w:tc>
          <w:tcPr>
            <w:tcW w:w="720" w:type="dxa"/>
          </w:tcPr>
          <w:p w14:paraId="41DD4EB5">
            <w:pPr>
              <w:adjustRightInd w:val="0"/>
              <w:snapToGrid w:val="0"/>
              <w:spacing w:line="360" w:lineRule="exact"/>
              <w:jc w:val="center"/>
              <w:rPr>
                <w:rFonts w:ascii="宋体" w:hAnsi="宋体"/>
              </w:rPr>
            </w:pPr>
          </w:p>
        </w:tc>
        <w:tc>
          <w:tcPr>
            <w:tcW w:w="720" w:type="dxa"/>
          </w:tcPr>
          <w:p w14:paraId="781B8FCC">
            <w:pPr>
              <w:adjustRightInd w:val="0"/>
              <w:snapToGrid w:val="0"/>
              <w:spacing w:line="360" w:lineRule="exact"/>
              <w:jc w:val="center"/>
              <w:rPr>
                <w:rFonts w:ascii="宋体" w:hAnsi="宋体"/>
              </w:rPr>
            </w:pPr>
          </w:p>
        </w:tc>
        <w:tc>
          <w:tcPr>
            <w:tcW w:w="2235" w:type="dxa"/>
          </w:tcPr>
          <w:p w14:paraId="608F9AA0">
            <w:pPr>
              <w:adjustRightInd w:val="0"/>
              <w:snapToGrid w:val="0"/>
              <w:spacing w:line="360" w:lineRule="exact"/>
              <w:rPr>
                <w:rFonts w:ascii="宋体" w:hAnsi="宋体"/>
              </w:rPr>
            </w:pPr>
          </w:p>
        </w:tc>
      </w:tr>
      <w:tr w14:paraId="2D3ED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355DD3C8">
            <w:pPr>
              <w:adjustRightInd w:val="0"/>
              <w:snapToGrid w:val="0"/>
              <w:spacing w:line="360" w:lineRule="exact"/>
              <w:jc w:val="center"/>
              <w:rPr>
                <w:rFonts w:ascii="宋体" w:hAnsi="宋体"/>
              </w:rPr>
            </w:pPr>
          </w:p>
        </w:tc>
        <w:tc>
          <w:tcPr>
            <w:tcW w:w="1924" w:type="dxa"/>
          </w:tcPr>
          <w:p w14:paraId="36766FE9">
            <w:pPr>
              <w:adjustRightInd w:val="0"/>
              <w:snapToGrid w:val="0"/>
              <w:spacing w:line="360" w:lineRule="exact"/>
              <w:rPr>
                <w:rFonts w:ascii="宋体" w:hAnsi="宋体"/>
              </w:rPr>
            </w:pPr>
          </w:p>
        </w:tc>
        <w:tc>
          <w:tcPr>
            <w:tcW w:w="1236" w:type="dxa"/>
          </w:tcPr>
          <w:p w14:paraId="103BF194">
            <w:pPr>
              <w:adjustRightInd w:val="0"/>
              <w:snapToGrid w:val="0"/>
              <w:spacing w:line="360" w:lineRule="exact"/>
              <w:rPr>
                <w:rFonts w:ascii="宋体" w:hAnsi="宋体"/>
              </w:rPr>
            </w:pPr>
          </w:p>
        </w:tc>
        <w:tc>
          <w:tcPr>
            <w:tcW w:w="720" w:type="dxa"/>
          </w:tcPr>
          <w:p w14:paraId="63AA9858">
            <w:pPr>
              <w:adjustRightInd w:val="0"/>
              <w:snapToGrid w:val="0"/>
              <w:spacing w:line="360" w:lineRule="exact"/>
              <w:jc w:val="center"/>
              <w:rPr>
                <w:rFonts w:ascii="宋体" w:hAnsi="宋体"/>
              </w:rPr>
            </w:pPr>
          </w:p>
        </w:tc>
        <w:tc>
          <w:tcPr>
            <w:tcW w:w="720" w:type="dxa"/>
          </w:tcPr>
          <w:p w14:paraId="68709EC0">
            <w:pPr>
              <w:adjustRightInd w:val="0"/>
              <w:snapToGrid w:val="0"/>
              <w:spacing w:line="360" w:lineRule="exact"/>
              <w:jc w:val="center"/>
              <w:rPr>
                <w:rFonts w:ascii="宋体" w:hAnsi="宋体"/>
              </w:rPr>
            </w:pPr>
          </w:p>
        </w:tc>
        <w:tc>
          <w:tcPr>
            <w:tcW w:w="720" w:type="dxa"/>
          </w:tcPr>
          <w:p w14:paraId="77C3C145">
            <w:pPr>
              <w:adjustRightInd w:val="0"/>
              <w:snapToGrid w:val="0"/>
              <w:spacing w:line="360" w:lineRule="exact"/>
              <w:jc w:val="center"/>
              <w:rPr>
                <w:rFonts w:ascii="宋体" w:hAnsi="宋体"/>
              </w:rPr>
            </w:pPr>
          </w:p>
        </w:tc>
        <w:tc>
          <w:tcPr>
            <w:tcW w:w="720" w:type="dxa"/>
          </w:tcPr>
          <w:p w14:paraId="460305E6">
            <w:pPr>
              <w:adjustRightInd w:val="0"/>
              <w:snapToGrid w:val="0"/>
              <w:spacing w:line="360" w:lineRule="exact"/>
              <w:jc w:val="center"/>
              <w:rPr>
                <w:rFonts w:ascii="宋体" w:hAnsi="宋体"/>
              </w:rPr>
            </w:pPr>
          </w:p>
        </w:tc>
        <w:tc>
          <w:tcPr>
            <w:tcW w:w="2235" w:type="dxa"/>
          </w:tcPr>
          <w:p w14:paraId="5273DD24">
            <w:pPr>
              <w:adjustRightInd w:val="0"/>
              <w:snapToGrid w:val="0"/>
              <w:spacing w:line="360" w:lineRule="exact"/>
              <w:rPr>
                <w:rFonts w:ascii="宋体" w:hAnsi="宋体"/>
              </w:rPr>
            </w:pPr>
          </w:p>
        </w:tc>
      </w:tr>
      <w:tr w14:paraId="547D6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55178CAC">
            <w:pPr>
              <w:adjustRightInd w:val="0"/>
              <w:snapToGrid w:val="0"/>
              <w:spacing w:line="360" w:lineRule="exact"/>
              <w:jc w:val="center"/>
              <w:rPr>
                <w:rFonts w:ascii="宋体" w:hAnsi="宋体"/>
              </w:rPr>
            </w:pPr>
          </w:p>
        </w:tc>
        <w:tc>
          <w:tcPr>
            <w:tcW w:w="1924" w:type="dxa"/>
          </w:tcPr>
          <w:p w14:paraId="72B263A4">
            <w:pPr>
              <w:adjustRightInd w:val="0"/>
              <w:snapToGrid w:val="0"/>
              <w:spacing w:line="360" w:lineRule="exact"/>
              <w:rPr>
                <w:rFonts w:ascii="宋体" w:hAnsi="宋体"/>
              </w:rPr>
            </w:pPr>
          </w:p>
        </w:tc>
        <w:tc>
          <w:tcPr>
            <w:tcW w:w="1236" w:type="dxa"/>
          </w:tcPr>
          <w:p w14:paraId="547E22FD">
            <w:pPr>
              <w:adjustRightInd w:val="0"/>
              <w:snapToGrid w:val="0"/>
              <w:spacing w:line="360" w:lineRule="exact"/>
              <w:rPr>
                <w:rFonts w:ascii="宋体" w:hAnsi="宋体"/>
              </w:rPr>
            </w:pPr>
          </w:p>
        </w:tc>
        <w:tc>
          <w:tcPr>
            <w:tcW w:w="720" w:type="dxa"/>
          </w:tcPr>
          <w:p w14:paraId="468EA647">
            <w:pPr>
              <w:adjustRightInd w:val="0"/>
              <w:snapToGrid w:val="0"/>
              <w:spacing w:line="360" w:lineRule="exact"/>
              <w:jc w:val="center"/>
              <w:rPr>
                <w:rFonts w:ascii="宋体" w:hAnsi="宋体"/>
              </w:rPr>
            </w:pPr>
          </w:p>
        </w:tc>
        <w:tc>
          <w:tcPr>
            <w:tcW w:w="720" w:type="dxa"/>
          </w:tcPr>
          <w:p w14:paraId="5D6AFC02">
            <w:pPr>
              <w:adjustRightInd w:val="0"/>
              <w:snapToGrid w:val="0"/>
              <w:spacing w:line="360" w:lineRule="exact"/>
              <w:jc w:val="center"/>
              <w:rPr>
                <w:rFonts w:ascii="宋体" w:hAnsi="宋体"/>
              </w:rPr>
            </w:pPr>
          </w:p>
        </w:tc>
        <w:tc>
          <w:tcPr>
            <w:tcW w:w="720" w:type="dxa"/>
          </w:tcPr>
          <w:p w14:paraId="4CA13A73">
            <w:pPr>
              <w:adjustRightInd w:val="0"/>
              <w:snapToGrid w:val="0"/>
              <w:spacing w:line="360" w:lineRule="exact"/>
              <w:jc w:val="center"/>
              <w:rPr>
                <w:rFonts w:ascii="宋体" w:hAnsi="宋体"/>
              </w:rPr>
            </w:pPr>
          </w:p>
        </w:tc>
        <w:tc>
          <w:tcPr>
            <w:tcW w:w="720" w:type="dxa"/>
          </w:tcPr>
          <w:p w14:paraId="482F5AE2">
            <w:pPr>
              <w:adjustRightInd w:val="0"/>
              <w:snapToGrid w:val="0"/>
              <w:spacing w:line="360" w:lineRule="exact"/>
              <w:jc w:val="center"/>
              <w:rPr>
                <w:rFonts w:ascii="宋体" w:hAnsi="宋体"/>
              </w:rPr>
            </w:pPr>
          </w:p>
        </w:tc>
        <w:tc>
          <w:tcPr>
            <w:tcW w:w="2235" w:type="dxa"/>
          </w:tcPr>
          <w:p w14:paraId="1FF1856B">
            <w:pPr>
              <w:adjustRightInd w:val="0"/>
              <w:snapToGrid w:val="0"/>
              <w:spacing w:line="360" w:lineRule="exact"/>
              <w:rPr>
                <w:rFonts w:ascii="宋体" w:hAnsi="宋体"/>
              </w:rPr>
            </w:pPr>
          </w:p>
        </w:tc>
      </w:tr>
      <w:tr w14:paraId="6AB84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57FFC20">
            <w:pPr>
              <w:adjustRightInd w:val="0"/>
              <w:snapToGrid w:val="0"/>
              <w:spacing w:line="360" w:lineRule="exact"/>
              <w:jc w:val="center"/>
              <w:rPr>
                <w:rFonts w:ascii="宋体" w:hAnsi="宋体"/>
              </w:rPr>
            </w:pPr>
          </w:p>
        </w:tc>
        <w:tc>
          <w:tcPr>
            <w:tcW w:w="1924" w:type="dxa"/>
          </w:tcPr>
          <w:p w14:paraId="1BB6928E">
            <w:pPr>
              <w:adjustRightInd w:val="0"/>
              <w:snapToGrid w:val="0"/>
              <w:spacing w:line="360" w:lineRule="exact"/>
              <w:rPr>
                <w:rFonts w:ascii="宋体" w:hAnsi="宋体"/>
              </w:rPr>
            </w:pPr>
          </w:p>
        </w:tc>
        <w:tc>
          <w:tcPr>
            <w:tcW w:w="1236" w:type="dxa"/>
          </w:tcPr>
          <w:p w14:paraId="203CBFAD">
            <w:pPr>
              <w:adjustRightInd w:val="0"/>
              <w:snapToGrid w:val="0"/>
              <w:spacing w:line="360" w:lineRule="exact"/>
              <w:rPr>
                <w:rFonts w:ascii="宋体" w:hAnsi="宋体"/>
              </w:rPr>
            </w:pPr>
          </w:p>
        </w:tc>
        <w:tc>
          <w:tcPr>
            <w:tcW w:w="720" w:type="dxa"/>
          </w:tcPr>
          <w:p w14:paraId="208D4168">
            <w:pPr>
              <w:adjustRightInd w:val="0"/>
              <w:snapToGrid w:val="0"/>
              <w:spacing w:line="360" w:lineRule="exact"/>
              <w:jc w:val="center"/>
              <w:rPr>
                <w:rFonts w:ascii="宋体" w:hAnsi="宋体"/>
              </w:rPr>
            </w:pPr>
          </w:p>
        </w:tc>
        <w:tc>
          <w:tcPr>
            <w:tcW w:w="720" w:type="dxa"/>
          </w:tcPr>
          <w:p w14:paraId="473706B4">
            <w:pPr>
              <w:adjustRightInd w:val="0"/>
              <w:snapToGrid w:val="0"/>
              <w:spacing w:line="360" w:lineRule="exact"/>
              <w:jc w:val="center"/>
              <w:rPr>
                <w:rFonts w:ascii="宋体" w:hAnsi="宋体"/>
              </w:rPr>
            </w:pPr>
          </w:p>
        </w:tc>
        <w:tc>
          <w:tcPr>
            <w:tcW w:w="720" w:type="dxa"/>
          </w:tcPr>
          <w:p w14:paraId="35DDFB47">
            <w:pPr>
              <w:adjustRightInd w:val="0"/>
              <w:snapToGrid w:val="0"/>
              <w:spacing w:line="360" w:lineRule="exact"/>
              <w:jc w:val="center"/>
              <w:rPr>
                <w:rFonts w:ascii="宋体" w:hAnsi="宋体"/>
              </w:rPr>
            </w:pPr>
          </w:p>
        </w:tc>
        <w:tc>
          <w:tcPr>
            <w:tcW w:w="720" w:type="dxa"/>
          </w:tcPr>
          <w:p w14:paraId="64148297">
            <w:pPr>
              <w:adjustRightInd w:val="0"/>
              <w:snapToGrid w:val="0"/>
              <w:spacing w:line="360" w:lineRule="exact"/>
              <w:jc w:val="center"/>
              <w:rPr>
                <w:rFonts w:ascii="宋体" w:hAnsi="宋体"/>
              </w:rPr>
            </w:pPr>
          </w:p>
        </w:tc>
        <w:tc>
          <w:tcPr>
            <w:tcW w:w="2235" w:type="dxa"/>
          </w:tcPr>
          <w:p w14:paraId="5EB7BE22">
            <w:pPr>
              <w:adjustRightInd w:val="0"/>
              <w:snapToGrid w:val="0"/>
              <w:spacing w:line="360" w:lineRule="exact"/>
              <w:rPr>
                <w:rFonts w:ascii="宋体" w:hAnsi="宋体"/>
              </w:rPr>
            </w:pPr>
          </w:p>
        </w:tc>
      </w:tr>
      <w:tr w14:paraId="6EF0C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13BB66E3">
            <w:pPr>
              <w:adjustRightInd w:val="0"/>
              <w:snapToGrid w:val="0"/>
              <w:spacing w:line="360" w:lineRule="exact"/>
              <w:jc w:val="center"/>
              <w:rPr>
                <w:rFonts w:ascii="宋体" w:hAnsi="宋体"/>
              </w:rPr>
            </w:pPr>
          </w:p>
        </w:tc>
        <w:tc>
          <w:tcPr>
            <w:tcW w:w="1924" w:type="dxa"/>
          </w:tcPr>
          <w:p w14:paraId="3FF7AF88">
            <w:pPr>
              <w:adjustRightInd w:val="0"/>
              <w:snapToGrid w:val="0"/>
              <w:spacing w:line="360" w:lineRule="exact"/>
              <w:rPr>
                <w:rFonts w:ascii="宋体" w:hAnsi="宋体"/>
              </w:rPr>
            </w:pPr>
          </w:p>
        </w:tc>
        <w:tc>
          <w:tcPr>
            <w:tcW w:w="1236" w:type="dxa"/>
          </w:tcPr>
          <w:p w14:paraId="0ECA80AD">
            <w:pPr>
              <w:adjustRightInd w:val="0"/>
              <w:snapToGrid w:val="0"/>
              <w:spacing w:line="360" w:lineRule="exact"/>
              <w:rPr>
                <w:rFonts w:ascii="宋体" w:hAnsi="宋体"/>
              </w:rPr>
            </w:pPr>
          </w:p>
        </w:tc>
        <w:tc>
          <w:tcPr>
            <w:tcW w:w="720" w:type="dxa"/>
          </w:tcPr>
          <w:p w14:paraId="49EE4A79">
            <w:pPr>
              <w:adjustRightInd w:val="0"/>
              <w:snapToGrid w:val="0"/>
              <w:spacing w:line="360" w:lineRule="exact"/>
              <w:jc w:val="center"/>
              <w:rPr>
                <w:rFonts w:ascii="宋体" w:hAnsi="宋体"/>
              </w:rPr>
            </w:pPr>
          </w:p>
        </w:tc>
        <w:tc>
          <w:tcPr>
            <w:tcW w:w="720" w:type="dxa"/>
          </w:tcPr>
          <w:p w14:paraId="06C510D0">
            <w:pPr>
              <w:adjustRightInd w:val="0"/>
              <w:snapToGrid w:val="0"/>
              <w:spacing w:line="360" w:lineRule="exact"/>
              <w:jc w:val="center"/>
              <w:rPr>
                <w:rFonts w:ascii="宋体" w:hAnsi="宋体"/>
              </w:rPr>
            </w:pPr>
          </w:p>
        </w:tc>
        <w:tc>
          <w:tcPr>
            <w:tcW w:w="720" w:type="dxa"/>
          </w:tcPr>
          <w:p w14:paraId="10C79EA2">
            <w:pPr>
              <w:adjustRightInd w:val="0"/>
              <w:snapToGrid w:val="0"/>
              <w:spacing w:line="360" w:lineRule="exact"/>
              <w:jc w:val="center"/>
              <w:rPr>
                <w:rFonts w:ascii="宋体" w:hAnsi="宋体"/>
              </w:rPr>
            </w:pPr>
          </w:p>
        </w:tc>
        <w:tc>
          <w:tcPr>
            <w:tcW w:w="720" w:type="dxa"/>
          </w:tcPr>
          <w:p w14:paraId="4B472AA8">
            <w:pPr>
              <w:adjustRightInd w:val="0"/>
              <w:snapToGrid w:val="0"/>
              <w:spacing w:line="360" w:lineRule="exact"/>
              <w:jc w:val="center"/>
              <w:rPr>
                <w:rFonts w:ascii="宋体" w:hAnsi="宋体"/>
              </w:rPr>
            </w:pPr>
          </w:p>
        </w:tc>
        <w:tc>
          <w:tcPr>
            <w:tcW w:w="2235" w:type="dxa"/>
          </w:tcPr>
          <w:p w14:paraId="6060723D">
            <w:pPr>
              <w:adjustRightInd w:val="0"/>
              <w:snapToGrid w:val="0"/>
              <w:spacing w:line="360" w:lineRule="exact"/>
              <w:rPr>
                <w:rFonts w:ascii="宋体" w:hAnsi="宋体"/>
              </w:rPr>
            </w:pPr>
          </w:p>
        </w:tc>
      </w:tr>
    </w:tbl>
    <w:p w14:paraId="5A830612">
      <w:pPr>
        <w:rPr>
          <w:sz w:val="24"/>
          <w:szCs w:val="24"/>
        </w:rPr>
      </w:pPr>
      <w:r>
        <w:rPr>
          <w:sz w:val="24"/>
          <w:szCs w:val="24"/>
        </w:rPr>
        <w:t>6.3 “开标一览表”和“明细表”仅作为投标方编制投标技术档的一般格式。其中序号编写应当便于招标方了解分类或分项货物之间的所属关系，如1、1.1、1.2。</w:t>
      </w:r>
    </w:p>
    <w:p w14:paraId="733B1324">
      <w:pPr>
        <w:rPr>
          <w:sz w:val="24"/>
          <w:szCs w:val="24"/>
        </w:rPr>
      </w:pPr>
      <w:r>
        <w:rPr>
          <w:rFonts w:hint="eastAsia"/>
          <w:sz w:val="24"/>
          <w:szCs w:val="24"/>
        </w:rPr>
        <w:t>7、</w:t>
      </w:r>
      <w:r>
        <w:rPr>
          <w:sz w:val="24"/>
          <w:szCs w:val="24"/>
        </w:rPr>
        <w:t>应当尽可能将货物的配置列全、列细，这将有助于投标方胜出。</w:t>
      </w:r>
    </w:p>
    <w:p w14:paraId="11F2B49C">
      <w:pPr>
        <w:rPr>
          <w:sz w:val="24"/>
          <w:szCs w:val="24"/>
        </w:rPr>
      </w:pPr>
      <w:r>
        <w:rPr>
          <w:rFonts w:hint="eastAsia"/>
          <w:sz w:val="24"/>
          <w:szCs w:val="24"/>
        </w:rPr>
        <w:t>8、</w:t>
      </w:r>
      <w:r>
        <w:rPr>
          <w:sz w:val="24"/>
          <w:szCs w:val="24"/>
        </w:rPr>
        <w:t>单价与总价之间、总价与分类小计价之间、分类小计价与合计价之间数据应当齐全而且准确。</w:t>
      </w:r>
    </w:p>
    <w:p w14:paraId="6DBC69E7">
      <w:pPr>
        <w:rPr>
          <w:sz w:val="24"/>
          <w:szCs w:val="24"/>
        </w:rPr>
      </w:pPr>
      <w:r>
        <w:rPr>
          <w:rFonts w:hint="eastAsia"/>
          <w:sz w:val="24"/>
          <w:szCs w:val="24"/>
        </w:rPr>
        <w:t>9、</w:t>
      </w:r>
      <w:r>
        <w:rPr>
          <w:sz w:val="24"/>
          <w:szCs w:val="24"/>
        </w:rPr>
        <w:t>本条款表格中的制造商，应当为全称或公认的简称。</w:t>
      </w:r>
    </w:p>
    <w:p w14:paraId="2E2F6BF1">
      <w:pPr>
        <w:rPr>
          <w:b/>
          <w:sz w:val="24"/>
          <w:szCs w:val="24"/>
        </w:rPr>
      </w:pPr>
      <w:r>
        <w:rPr>
          <w:rFonts w:hint="eastAsia"/>
          <w:b/>
          <w:sz w:val="24"/>
          <w:szCs w:val="24"/>
        </w:rPr>
        <w:t>二、技术档中货物报价格式要求</w:t>
      </w:r>
    </w:p>
    <w:p w14:paraId="157C8995">
      <w:pPr>
        <w:rPr>
          <w:sz w:val="24"/>
          <w:szCs w:val="24"/>
        </w:rPr>
      </w:pPr>
      <w:r>
        <w:rPr>
          <w:sz w:val="24"/>
          <w:szCs w:val="24"/>
        </w:rPr>
        <w:t>1、投标技术档中，如未按照要求编写、或者存在漏项和缺项，将有可能造成对投标方不必要的误解；必要时，漏项和缺项涉及的费用，将有可能以其他投标方中，相同或相似项目的最高价，计入投标方的投标总报价之内，作为评标的依据之一。</w:t>
      </w:r>
    </w:p>
    <w:p w14:paraId="68B5B4A4">
      <w:pPr>
        <w:rPr>
          <w:sz w:val="24"/>
          <w:szCs w:val="24"/>
        </w:rPr>
      </w:pPr>
      <w:r>
        <w:rPr>
          <w:sz w:val="24"/>
          <w:szCs w:val="24"/>
        </w:rPr>
        <w:t>2、如果投标总报价与其它价格出现错误或不一致，将有可能导致废标。</w:t>
      </w:r>
    </w:p>
    <w:p w14:paraId="628EFBB5">
      <w:pPr>
        <w:rPr>
          <w:sz w:val="24"/>
          <w:szCs w:val="24"/>
        </w:rPr>
      </w:pPr>
      <w:r>
        <w:rPr>
          <w:sz w:val="24"/>
          <w:szCs w:val="24"/>
        </w:rPr>
        <w:t>3、投标总报价为自合同签定生效至合同无异议执行完毕涉及的买方需要支付的全部费用。如投标方认为本招标及投标货物涉及特需或专门的设计，应当单独列明设计费。</w:t>
      </w:r>
    </w:p>
    <w:p w14:paraId="39E36E01">
      <w:pPr>
        <w:rPr>
          <w:sz w:val="24"/>
          <w:szCs w:val="24"/>
        </w:rPr>
      </w:pPr>
      <w:r>
        <w:rPr>
          <w:rFonts w:hint="eastAsia"/>
          <w:sz w:val="24"/>
          <w:szCs w:val="24"/>
        </w:rPr>
        <w:t>4</w:t>
      </w:r>
      <w:r>
        <w:rPr>
          <w:sz w:val="24"/>
          <w:szCs w:val="24"/>
        </w:rPr>
        <w:t>、要求投标总报价、分项报价、明细报价之间应当具有相互间对应关系以及填报分项和明细报价，仅为便于评标而不妨碍投标人以最合适的形式签署合同。</w:t>
      </w:r>
    </w:p>
    <w:p w14:paraId="5724E894">
      <w:pPr>
        <w:rPr>
          <w:b/>
          <w:sz w:val="24"/>
          <w:szCs w:val="24"/>
        </w:rPr>
      </w:pPr>
      <w:r>
        <w:rPr>
          <w:rFonts w:hint="eastAsia"/>
          <w:b/>
          <w:sz w:val="24"/>
          <w:szCs w:val="24"/>
        </w:rPr>
        <w:t>三、验收标准及内容要求</w:t>
      </w:r>
    </w:p>
    <w:p w14:paraId="179EC9E0">
      <w:pPr>
        <w:rPr>
          <w:sz w:val="24"/>
          <w:szCs w:val="24"/>
        </w:rPr>
      </w:pPr>
      <w:r>
        <w:rPr>
          <w:rFonts w:hint="eastAsia"/>
          <w:sz w:val="24"/>
          <w:szCs w:val="24"/>
        </w:rPr>
        <w:t>除招标档明确的验收标准或内容之外，投标方应当在投标档中提供预验收（必要时）和终验收的标准以及规程；在合同签定之前，经投标方和招标方双方洽谈确认并签署，以作为验收标准执行。</w:t>
      </w:r>
    </w:p>
    <w:p w14:paraId="2CCB7398">
      <w:pPr>
        <w:rPr>
          <w:sz w:val="24"/>
          <w:szCs w:val="24"/>
        </w:rPr>
      </w:pPr>
    </w:p>
    <w:p w14:paraId="1472BE9E">
      <w:pPr>
        <w:jc w:val="center"/>
        <w:rPr>
          <w:b/>
          <w:sz w:val="28"/>
          <w:szCs w:val="24"/>
        </w:rPr>
      </w:pPr>
      <w:r>
        <w:rPr>
          <w:b/>
          <w:sz w:val="28"/>
          <w:szCs w:val="24"/>
        </w:rPr>
        <w:t>第</w:t>
      </w:r>
      <w:r>
        <w:rPr>
          <w:rFonts w:hint="eastAsia"/>
          <w:b/>
          <w:sz w:val="28"/>
          <w:szCs w:val="24"/>
        </w:rPr>
        <w:t>七</w:t>
      </w:r>
      <w:r>
        <w:rPr>
          <w:b/>
          <w:sz w:val="28"/>
          <w:szCs w:val="24"/>
        </w:rPr>
        <w:t>章  其他要求及说明</w:t>
      </w:r>
    </w:p>
    <w:p w14:paraId="1B587499">
      <w:pPr>
        <w:rPr>
          <w:b/>
          <w:sz w:val="24"/>
          <w:szCs w:val="24"/>
        </w:rPr>
      </w:pPr>
      <w:r>
        <w:rPr>
          <w:rFonts w:hint="eastAsia"/>
          <w:b/>
          <w:sz w:val="24"/>
          <w:szCs w:val="24"/>
        </w:rPr>
        <w:t>一、要求</w:t>
      </w:r>
    </w:p>
    <w:p w14:paraId="64970713">
      <w:pPr>
        <w:rPr>
          <w:sz w:val="24"/>
          <w:szCs w:val="24"/>
        </w:rPr>
      </w:pPr>
      <w:r>
        <w:rPr>
          <w:rFonts w:hint="eastAsia"/>
          <w:sz w:val="24"/>
          <w:szCs w:val="24"/>
        </w:rPr>
        <w:t>为保证本技术标书所列采购货物的质量以及先进性、可靠性、经济性和实用性，要求投标方在投标档中，至少应具备以下资格证明档或资料：</w:t>
      </w:r>
    </w:p>
    <w:p w14:paraId="6C22D5F7">
      <w:pPr>
        <w:rPr>
          <w:sz w:val="24"/>
          <w:szCs w:val="24"/>
        </w:rPr>
      </w:pPr>
      <w:r>
        <w:rPr>
          <w:rFonts w:hint="eastAsia"/>
          <w:sz w:val="24"/>
          <w:szCs w:val="24"/>
        </w:rPr>
        <w:t>1、投标方应是独立法人或得到法人授权的机构。应当在投标档中提供法人营业执照（复印件）、税务登记证以及组织机构代码证（国际供应商参考该要求提供有效证明档），并保证其真实性和有效性。</w:t>
      </w:r>
    </w:p>
    <w:p w14:paraId="4DD8825B">
      <w:pPr>
        <w:rPr>
          <w:rFonts w:ascii="Times New Roman" w:hAnsi="Times New Roman" w:cs="Times New Roman"/>
          <w:sz w:val="24"/>
          <w:szCs w:val="24"/>
        </w:rPr>
      </w:pPr>
      <w:r>
        <w:rPr>
          <w:rFonts w:hint="eastAsia"/>
          <w:sz w:val="24"/>
          <w:szCs w:val="24"/>
        </w:rPr>
        <w:t>2、必须附有：2022年1月1日以来同类产品的制造销售业绩（用户名单、联系方式），包括电力测功机台架和增程器台架，并附合同、验收报告复印件。该同类项目业绩一览表必须如实填写，应全尽全；一览表最终的所有业绩合同总额汇总必填，此项很重要，数据将影响现场评标专家组对投标单位的业绩考评。若未提供相应业绩证明，根据技术标评分规则，将影响现场评标专家组对投标单位业绩判定打分。</w:t>
      </w:r>
    </w:p>
    <w:p w14:paraId="2D02D444">
      <w:pPr>
        <w:rPr>
          <w:b/>
          <w:sz w:val="24"/>
          <w:szCs w:val="24"/>
        </w:rPr>
      </w:pPr>
      <w:r>
        <w:rPr>
          <w:rFonts w:hint="eastAsia"/>
          <w:b/>
          <w:sz w:val="24"/>
          <w:szCs w:val="24"/>
        </w:rPr>
        <w:t>二、说明</w:t>
      </w:r>
    </w:p>
    <w:p w14:paraId="6BCBD347">
      <w:pPr>
        <w:rPr>
          <w:sz w:val="24"/>
          <w:szCs w:val="24"/>
        </w:rPr>
      </w:pPr>
      <w:r>
        <w:rPr>
          <w:sz w:val="24"/>
          <w:szCs w:val="24"/>
        </w:rPr>
        <w:t>1、投标方可以根据自身的技术、经验等优势以及对招标档和本技术标书的理解，写明对招标方所采购货物的优化方案或建议意见。投标方的这些努力，招标方表示感谢，并将有助于投标方优先胜出。</w:t>
      </w:r>
    </w:p>
    <w:p w14:paraId="2F73411F">
      <w:pPr>
        <w:rPr>
          <w:sz w:val="24"/>
          <w:szCs w:val="24"/>
        </w:rPr>
      </w:pPr>
      <w:r>
        <w:rPr>
          <w:sz w:val="24"/>
          <w:szCs w:val="24"/>
        </w:rPr>
        <w:t>2、即使有建议意见或建议方案，仍应依据招标档和本技术标书要求，编写符合要求的投标档。建议方案或建议意见，应以单独篇章或档，予以说明和报价。</w:t>
      </w:r>
    </w:p>
    <w:p w14:paraId="663F573F">
      <w:pPr>
        <w:rPr>
          <w:sz w:val="24"/>
          <w:szCs w:val="24"/>
        </w:rPr>
      </w:pPr>
      <w:r>
        <w:rPr>
          <w:rFonts w:hint="eastAsia"/>
          <w:sz w:val="24"/>
          <w:szCs w:val="24"/>
        </w:rPr>
        <w:t>3</w:t>
      </w:r>
      <w:r>
        <w:rPr>
          <w:sz w:val="24"/>
          <w:szCs w:val="24"/>
        </w:rPr>
        <w:t>、招标档、投标档、答疑档、技术交流档、技术协议书等，在采购过程全部为有效档，如有差异，以对招标方最有利的条款为准。</w:t>
      </w:r>
    </w:p>
    <w:p w14:paraId="2391D86B">
      <w:pPr>
        <w:rPr>
          <w:sz w:val="24"/>
          <w:szCs w:val="24"/>
        </w:rPr>
      </w:pPr>
      <w:r>
        <w:rPr>
          <w:rFonts w:hint="eastAsia"/>
          <w:sz w:val="24"/>
          <w:szCs w:val="24"/>
        </w:rPr>
        <w:t>4、为避免歧义，本技术标书涉及招投标环节的条款，均将潜在的卖方称为投标方、将买方称为招标方；定标后合同签署环节以及后续的合同执行环节条款，招标方称为买方、投标方中的中标方称为卖方。</w:t>
      </w:r>
    </w:p>
    <w:p w14:paraId="0D13E0FB">
      <w:pPr>
        <w:adjustRightInd w:val="0"/>
        <w:snapToGrid w:val="0"/>
        <w:spacing w:line="360" w:lineRule="auto"/>
        <w:rPr>
          <w:rFonts w:ascii="宋体" w:hAnsi="宋体" w:eastAsia="宋体" w:cs="宋体"/>
          <w:sz w:val="24"/>
          <w:szCs w:val="24"/>
          <w:highlight w:val="none"/>
        </w:rPr>
      </w:pPr>
    </w:p>
    <w:bookmarkEnd w:id="33"/>
    <w:bookmarkEnd w:id="34"/>
    <w:p w14:paraId="5E254B20">
      <w:pPr>
        <w:rPr>
          <w:rFonts w:hint="eastAsia" w:ascii="宋体" w:hAnsi="宋体" w:eastAsia="宋体" w:cs="Times New Roman"/>
          <w:b/>
          <w:sz w:val="36"/>
          <w:szCs w:val="36"/>
          <w:highlight w:val="none"/>
        </w:rPr>
      </w:pPr>
      <w:bookmarkStart w:id="40" w:name="_Toc28859"/>
    </w:p>
    <w:bookmarkEnd w:id="40"/>
    <w:p w14:paraId="400C8880">
      <w:pPr>
        <w:spacing w:line="360" w:lineRule="auto"/>
        <w:ind w:firstLine="723"/>
        <w:jc w:val="center"/>
        <w:outlineLvl w:val="0"/>
        <w:rPr>
          <w:rFonts w:ascii="宋体" w:hAnsi="Calibri" w:eastAsia="宋体" w:cs="Times New Roman"/>
          <w:b/>
          <w:sz w:val="36"/>
          <w:szCs w:val="36"/>
        </w:rPr>
      </w:pPr>
      <w:bookmarkStart w:id="41" w:name="_Toc29691"/>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p>
    <w:p w14:paraId="223FEA7C">
      <w:pPr>
        <w:adjustRightInd w:val="0"/>
        <w:snapToGrid w:val="0"/>
        <w:spacing w:line="360" w:lineRule="auto"/>
        <w:ind w:firstLine="400"/>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25788903">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356ED85D">
      <w:pPr>
        <w:adjustRightInd w:val="0"/>
        <w:snapToGrid w:val="0"/>
        <w:spacing w:line="360" w:lineRule="auto"/>
        <w:ind w:firstLine="400"/>
        <w:jc w:val="left"/>
        <w:rPr>
          <w:rFonts w:hint="eastAsia" w:ascii="宋体" w:hAnsi="宋体"/>
          <w:sz w:val="20"/>
          <w:szCs w:val="20"/>
        </w:rPr>
      </w:pPr>
    </w:p>
    <w:p w14:paraId="2CE19365">
      <w:pPr>
        <w:adjustRightInd w:val="0"/>
        <w:snapToGrid w:val="0"/>
        <w:spacing w:line="360" w:lineRule="auto"/>
        <w:ind w:firstLine="1040"/>
        <w:jc w:val="center"/>
        <w:rPr>
          <w:rFonts w:hint="eastAsia" w:ascii="方正小标宋简体" w:hAnsi="宋体" w:eastAsia="方正小标宋简体"/>
          <w:bCs/>
          <w:sz w:val="52"/>
          <w:szCs w:val="36"/>
        </w:rPr>
      </w:pPr>
    </w:p>
    <w:p w14:paraId="4EE5DF84">
      <w:pPr>
        <w:adjustRightInd w:val="0"/>
        <w:snapToGrid w:val="0"/>
        <w:spacing w:line="360" w:lineRule="auto"/>
        <w:ind w:firstLine="1040"/>
        <w:jc w:val="center"/>
        <w:rPr>
          <w:rFonts w:hint="eastAsia" w:ascii="方正小标宋简体" w:hAnsi="宋体" w:eastAsia="方正小标宋简体"/>
          <w:sz w:val="52"/>
          <w:szCs w:val="36"/>
        </w:rPr>
      </w:pPr>
      <w:r>
        <w:rPr>
          <w:rFonts w:hint="eastAsia" w:ascii="方正小标宋简体" w:hAnsi="宋体" w:eastAsia="方正小标宋简体"/>
          <w:bCs/>
          <w:sz w:val="52"/>
          <w:szCs w:val="36"/>
        </w:rPr>
        <w:t>设备采购合同（模板1）</w:t>
      </w:r>
    </w:p>
    <w:p w14:paraId="775F86F2">
      <w:pPr>
        <w:ind w:firstLine="440"/>
        <w:jc w:val="center"/>
        <w:rPr>
          <w:rFonts w:hint="eastAsia"/>
          <w:sz w:val="11"/>
          <w:szCs w:val="15"/>
        </w:rPr>
      </w:pPr>
      <w:r>
        <w:rPr>
          <w:rFonts w:hint="eastAsia" w:ascii="方正小标宋简体" w:hAnsi="宋体" w:eastAsia="方正小标宋简体"/>
          <w:sz w:val="22"/>
          <w:szCs w:val="16"/>
        </w:rPr>
        <w:t>(合同以双方最终签署的版本为准)</w:t>
      </w:r>
    </w:p>
    <w:p w14:paraId="662317CA">
      <w:pPr>
        <w:adjustRightInd w:val="0"/>
        <w:snapToGrid w:val="0"/>
        <w:spacing w:line="360" w:lineRule="auto"/>
        <w:ind w:firstLine="723"/>
        <w:jc w:val="left"/>
        <w:rPr>
          <w:rFonts w:hint="eastAsia" w:ascii="宋体" w:hAnsi="宋体"/>
          <w:b/>
          <w:sz w:val="36"/>
          <w:szCs w:val="36"/>
        </w:rPr>
      </w:pPr>
    </w:p>
    <w:p w14:paraId="10D87034">
      <w:pPr>
        <w:adjustRightInd w:val="0"/>
        <w:snapToGrid w:val="0"/>
        <w:spacing w:line="360" w:lineRule="auto"/>
        <w:ind w:firstLine="723"/>
        <w:jc w:val="left"/>
        <w:rPr>
          <w:rFonts w:hint="eastAsia" w:ascii="宋体" w:hAnsi="宋体"/>
          <w:b/>
          <w:sz w:val="36"/>
          <w:szCs w:val="36"/>
        </w:rPr>
      </w:pPr>
    </w:p>
    <w:p w14:paraId="5BCA4752">
      <w:pPr>
        <w:adjustRightInd w:val="0"/>
        <w:snapToGrid w:val="0"/>
        <w:spacing w:line="360" w:lineRule="auto"/>
        <w:ind w:firstLine="723"/>
        <w:jc w:val="left"/>
        <w:rPr>
          <w:rFonts w:hint="eastAsia" w:ascii="宋体" w:hAnsi="宋体"/>
          <w:b/>
          <w:sz w:val="36"/>
          <w:szCs w:val="36"/>
        </w:rPr>
      </w:pPr>
    </w:p>
    <w:p w14:paraId="71285295">
      <w:pPr>
        <w:adjustRightInd w:val="0"/>
        <w:snapToGrid w:val="0"/>
        <w:spacing w:line="360" w:lineRule="auto"/>
        <w:ind w:firstLine="723"/>
        <w:jc w:val="left"/>
        <w:rPr>
          <w:rFonts w:hint="eastAsia" w:ascii="宋体" w:hAnsi="宋体"/>
          <w:b/>
          <w:sz w:val="36"/>
          <w:szCs w:val="36"/>
        </w:rPr>
      </w:pPr>
    </w:p>
    <w:p w14:paraId="40EE2E6E">
      <w:pPr>
        <w:adjustRightInd w:val="0"/>
        <w:snapToGrid w:val="0"/>
        <w:spacing w:line="360" w:lineRule="auto"/>
        <w:ind w:firstLine="723"/>
        <w:jc w:val="left"/>
        <w:rPr>
          <w:rFonts w:hint="eastAsia" w:ascii="宋体" w:hAnsi="宋体"/>
          <w:b/>
          <w:sz w:val="36"/>
          <w:szCs w:val="36"/>
        </w:rPr>
      </w:pPr>
    </w:p>
    <w:p w14:paraId="049AD928">
      <w:pPr>
        <w:adjustRightInd w:val="0"/>
        <w:snapToGrid w:val="0"/>
        <w:spacing w:line="360" w:lineRule="auto"/>
        <w:ind w:firstLine="723"/>
        <w:jc w:val="left"/>
        <w:rPr>
          <w:rFonts w:hint="eastAsia" w:ascii="宋体" w:hAnsi="宋体"/>
          <w:b/>
          <w:sz w:val="36"/>
          <w:szCs w:val="36"/>
        </w:rPr>
      </w:pPr>
    </w:p>
    <w:p w14:paraId="05E82FEF">
      <w:pPr>
        <w:adjustRightInd w:val="0"/>
        <w:snapToGrid w:val="0"/>
        <w:spacing w:line="360" w:lineRule="auto"/>
        <w:ind w:firstLine="723"/>
        <w:jc w:val="left"/>
        <w:rPr>
          <w:rFonts w:hint="eastAsia" w:ascii="宋体" w:hAnsi="宋体"/>
          <w:b/>
          <w:sz w:val="36"/>
          <w:szCs w:val="36"/>
        </w:rPr>
      </w:pPr>
    </w:p>
    <w:p w14:paraId="2F2DC282">
      <w:pPr>
        <w:adjustRightInd w:val="0"/>
        <w:snapToGrid w:val="0"/>
        <w:spacing w:line="360" w:lineRule="auto"/>
        <w:ind w:firstLine="2107" w:firstLineChars="878"/>
        <w:jc w:val="left"/>
        <w:rPr>
          <w:rFonts w:hint="eastAsia"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752D618B">
      <w:pPr>
        <w:adjustRightInd w:val="0"/>
        <w:snapToGrid w:val="0"/>
        <w:spacing w:line="360" w:lineRule="auto"/>
        <w:ind w:firstLine="1627" w:firstLineChars="678"/>
        <w:jc w:val="left"/>
        <w:rPr>
          <w:rFonts w:hint="eastAsia" w:ascii="方正小标宋简体" w:hAnsi="宋体" w:eastAsia="方正小标宋简体"/>
          <w:sz w:val="24"/>
          <w:szCs w:val="24"/>
        </w:rPr>
      </w:pPr>
      <w:r>
        <w:rPr>
          <w:rFonts w:hint="eastAsia" w:ascii="方正小标宋简体" w:hAnsi="宋体" w:eastAsia="方正小标宋简体"/>
          <w:sz w:val="24"/>
          <w:szCs w:val="24"/>
        </w:rPr>
        <w:t xml:space="preserve"> </w:t>
      </w:r>
    </w:p>
    <w:p w14:paraId="573E76BA">
      <w:pPr>
        <w:adjustRightInd w:val="0"/>
        <w:snapToGrid w:val="0"/>
        <w:spacing w:line="360" w:lineRule="auto"/>
        <w:ind w:firstLine="2107" w:firstLineChars="878"/>
        <w:jc w:val="left"/>
        <w:rPr>
          <w:rFonts w:hint="eastAsia"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14:paraId="14B83489">
      <w:pPr>
        <w:spacing w:line="360" w:lineRule="auto"/>
        <w:ind w:right="480"/>
        <w:rPr>
          <w:rFonts w:hint="eastAsia"/>
        </w:rPr>
        <w:sectPr>
          <w:headerReference r:id="rId13" w:type="default"/>
          <w:footerReference r:id="rId14" w:type="default"/>
          <w:pgSz w:w="11907" w:h="16840"/>
          <w:pgMar w:top="1304" w:right="1418" w:bottom="1304" w:left="1418" w:header="724" w:footer="851" w:gutter="0"/>
          <w:cols w:space="720" w:num="1"/>
          <w:docGrid w:linePitch="290" w:charSpace="-3931"/>
        </w:sectPr>
      </w:pPr>
    </w:p>
    <w:p w14:paraId="3D59B2EF">
      <w:pPr>
        <w:spacing w:line="360" w:lineRule="auto"/>
        <w:ind w:right="480" w:firstLine="440"/>
        <w:rPr>
          <w:rFonts w:hint="eastAsia" w:ascii="宋体" w:hAnsi="宋体"/>
          <w:bCs/>
          <w:sz w:val="24"/>
          <w:u w:val="single"/>
        </w:rPr>
      </w:pPr>
      <w:r>
        <w:rPr>
          <w:rFonts w:hint="eastAsia" w:ascii="宋体" w:hAnsi="宋体"/>
          <w:bCs/>
          <w:sz w:val="22"/>
        </w:rPr>
        <w:t xml:space="preserve"> </w:t>
      </w:r>
      <w:r>
        <w:rPr>
          <w:rFonts w:hint="eastAsia" w:ascii="宋体" w:hAnsi="宋体"/>
          <w:bCs/>
          <w:sz w:val="24"/>
        </w:rPr>
        <w:t xml:space="preserve"> </w:t>
      </w:r>
    </w:p>
    <w:p w14:paraId="40591C8C">
      <w:pPr>
        <w:spacing w:line="360" w:lineRule="auto"/>
        <w:ind w:firstLine="440"/>
        <w:rPr>
          <w:rFonts w:hint="eastAsia" w:ascii="仿宋_GB2312" w:hAnsi="宋体" w:eastAsia="仿宋_GB2312"/>
          <w:bCs/>
          <w:sz w:val="24"/>
          <w:szCs w:val="24"/>
        </w:rPr>
      </w:pPr>
      <w:r>
        <w:rPr>
          <w:rFonts w:hint="eastAsia" w:ascii="宋体" w:hAnsi="宋体"/>
          <w:bCs/>
          <w:sz w:val="22"/>
        </w:rPr>
        <w:t xml:space="preserve">  </w:t>
      </w:r>
      <w:bookmarkStart w:id="42" w:name="_Toc25120"/>
      <w:bookmarkStart w:id="43" w:name="_Toc16330037"/>
      <w:bookmarkStart w:id="44" w:name="_Toc3778"/>
      <w:bookmarkStart w:id="45" w:name="_Toc24623"/>
      <w:bookmarkStart w:id="46" w:name="_Toc5379"/>
      <w:r>
        <w:rPr>
          <w:rFonts w:hint="eastAsia" w:ascii="仿宋_GB2312" w:hAnsi="宋体" w:eastAsia="仿宋_GB2312"/>
          <w:bCs/>
          <w:sz w:val="24"/>
          <w:szCs w:val="24"/>
        </w:rPr>
        <w:t>甲方（买方）：</w:t>
      </w:r>
      <w:r>
        <w:rPr>
          <w:rFonts w:hint="eastAsia" w:ascii="仿宋_GB2312" w:hAnsi="宋体" w:eastAsia="仿宋_GB2312"/>
          <w:b/>
          <w:bCs/>
          <w:sz w:val="24"/>
          <w:szCs w:val="24"/>
          <w:u w:val="single"/>
        </w:rPr>
        <w:t xml:space="preserve">            </w:t>
      </w:r>
      <w:r>
        <w:rPr>
          <w:rFonts w:hint="eastAsia" w:ascii="仿宋_GB2312" w:hAnsi="宋体" w:eastAsia="仿宋_GB2312"/>
          <w:bCs/>
          <w:sz w:val="24"/>
          <w:szCs w:val="24"/>
        </w:rPr>
        <w:t xml:space="preserve">      </w:t>
      </w:r>
    </w:p>
    <w:p w14:paraId="0654FDF5">
      <w:pPr>
        <w:spacing w:line="360" w:lineRule="auto"/>
        <w:rPr>
          <w:rFonts w:hint="eastAsia" w:ascii="仿宋_GB2312" w:hAnsi="宋体" w:eastAsia="仿宋_GB2312"/>
          <w:bCs/>
          <w:sz w:val="24"/>
          <w:szCs w:val="24"/>
        </w:rPr>
      </w:pPr>
      <w:r>
        <w:rPr>
          <w:rFonts w:hint="eastAsia" w:ascii="仿宋_GB2312" w:hAnsi="宋体" w:eastAsia="仿宋_GB2312"/>
          <w:bCs/>
          <w:sz w:val="24"/>
          <w:szCs w:val="24"/>
        </w:rPr>
        <w:t xml:space="preserve">    </w:t>
      </w:r>
    </w:p>
    <w:p w14:paraId="0E023E59">
      <w:pPr>
        <w:spacing w:line="360" w:lineRule="auto"/>
        <w:ind w:right="-189" w:rightChars="-90" w:firstLine="120" w:firstLineChars="50"/>
        <w:jc w:val="left"/>
        <w:rPr>
          <w:rFonts w:hint="eastAsia" w:ascii="仿宋_GB2312" w:hAnsi="宋体" w:eastAsia="仿宋_GB2312"/>
          <w:b/>
          <w:bCs/>
          <w:sz w:val="24"/>
          <w:szCs w:val="24"/>
          <w:u w:val="single"/>
        </w:rPr>
      </w:pPr>
      <w:r>
        <w:rPr>
          <w:rFonts w:hint="eastAsia" w:ascii="仿宋_GB2312" w:hAnsi="宋体" w:eastAsia="仿宋_GB2312"/>
          <w:bCs/>
          <w:sz w:val="24"/>
          <w:szCs w:val="24"/>
        </w:rPr>
        <w:t>乙方（卖方）：</w:t>
      </w:r>
      <w:r>
        <w:rPr>
          <w:rFonts w:hint="eastAsia" w:ascii="仿宋_GB2312" w:hAnsi="宋体" w:eastAsia="仿宋_GB2312"/>
          <w:b/>
          <w:bCs/>
          <w:sz w:val="24"/>
          <w:szCs w:val="24"/>
          <w:u w:val="single"/>
        </w:rPr>
        <w:t xml:space="preserve">            </w:t>
      </w:r>
    </w:p>
    <w:p w14:paraId="2D933851">
      <w:pPr>
        <w:spacing w:line="360" w:lineRule="auto"/>
        <w:ind w:right="-189" w:rightChars="-90" w:firstLine="482"/>
        <w:jc w:val="left"/>
        <w:rPr>
          <w:rFonts w:hint="eastAsia" w:ascii="仿宋_GB2312" w:hAnsi="宋体" w:eastAsia="仿宋_GB2312"/>
          <w:b/>
          <w:bCs/>
          <w:sz w:val="24"/>
          <w:szCs w:val="24"/>
          <w:u w:val="single"/>
        </w:rPr>
      </w:pPr>
    </w:p>
    <w:p w14:paraId="01D2DD73">
      <w:pPr>
        <w:spacing w:line="360" w:lineRule="auto"/>
        <w:ind w:firstLine="480" w:firstLineChars="200"/>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w:t>
      </w:r>
      <w:r>
        <w:rPr>
          <w:rFonts w:hint="eastAsia" w:ascii="仿宋_GB2312" w:eastAsia="仿宋_GB2312" w:cs="等线"/>
          <w:i/>
          <w:iCs/>
          <w:sz w:val="24"/>
          <w:u w:val="single"/>
        </w:rPr>
        <w:t>可根据实际情况调整为甲方/买方所在地</w:t>
      </w:r>
      <w:r>
        <w:rPr>
          <w:rFonts w:hint="eastAsia" w:ascii="仿宋_GB2312" w:eastAsia="仿宋_GB2312" w:hAnsiTheme="minorEastAsia" w:cstheme="minorEastAsia"/>
          <w:sz w:val="24"/>
          <w:szCs w:val="24"/>
        </w:rPr>
        <w:t>）签订：</w:t>
      </w:r>
    </w:p>
    <w:p w14:paraId="309BAC3F">
      <w:pPr>
        <w:spacing w:line="360" w:lineRule="auto"/>
        <w:ind w:right="-189" w:rightChars="-90" w:firstLine="480" w:firstLineChars="20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14:paraId="2D4FB137">
      <w:pPr>
        <w:pStyle w:val="4"/>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 合同设备</w:t>
      </w:r>
    </w:p>
    <w:p w14:paraId="05114830">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14:paraId="66C76231">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1.2技术规格和标准</w:t>
      </w:r>
    </w:p>
    <w:p w14:paraId="15A2226E">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14:paraId="6A53A4C8">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26CC8B7C">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14:paraId="3143BA3B">
      <w:pPr>
        <w:pStyle w:val="4"/>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2 包装</w:t>
      </w:r>
    </w:p>
    <w:p w14:paraId="2FEB1D9C">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633F7680">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14:paraId="2FA65B6D">
      <w:pPr>
        <w:pStyle w:val="4"/>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3 运输标记</w:t>
      </w:r>
    </w:p>
    <w:p w14:paraId="0AF09439">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14:paraId="1C4F740F">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14:paraId="22C0E225">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14:paraId="5657ED11">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14:paraId="07444792">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14:paraId="63B6C9BB">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14:paraId="196F1988">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14:paraId="701CF31F">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14217C54">
      <w:pPr>
        <w:pStyle w:val="4"/>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4 检验</w:t>
      </w:r>
    </w:p>
    <w:p w14:paraId="25F0B613">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10D05058">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14:paraId="20A5438A">
      <w:pPr>
        <w:pStyle w:val="4"/>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5 权利担保</w:t>
      </w:r>
    </w:p>
    <w:p w14:paraId="3D6C12A2">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7E711DB2">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14:paraId="09BC914C">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14:paraId="43816628">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14:paraId="29B50E84">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70F9D62E">
      <w:pPr>
        <w:pStyle w:val="4"/>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6 交货</w:t>
      </w:r>
    </w:p>
    <w:p w14:paraId="4F98EBF6">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67B36B40">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14:paraId="48F96982">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75278C44">
      <w:pPr>
        <w:spacing w:line="360" w:lineRule="auto"/>
        <w:ind w:firstLine="453" w:firstLineChars="189"/>
        <w:rPr>
          <w:rFonts w:hint="eastAsia"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14:paraId="22F4586B">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14:paraId="582BFBFD">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6DA02CEA">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14:paraId="553DCC27">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14:paraId="145D14CD">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14:paraId="2F4C52E6">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5BD1A220">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6.8卖方在交付设备前需通知买方。</w:t>
      </w:r>
    </w:p>
    <w:p w14:paraId="7AC849DE">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14:paraId="32030C2D">
      <w:pPr>
        <w:spacing w:line="360" w:lineRule="auto"/>
        <w:ind w:firstLine="453" w:firstLineChars="189"/>
        <w:rPr>
          <w:rFonts w:hint="eastAsia" w:asciiTheme="minorEastAsia" w:hAnsiTheme="minorEastAsia" w:eastAsia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6C6E34EE">
      <w:pPr>
        <w:pStyle w:val="4"/>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7 安装、调试</w:t>
      </w:r>
    </w:p>
    <w:p w14:paraId="646E40D9">
      <w:pPr>
        <w:pStyle w:val="12"/>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14:paraId="5863127B">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14:paraId="7961E34A">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14:paraId="48AC2737">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14:paraId="26B3B1A9">
      <w:pPr>
        <w:spacing w:line="360" w:lineRule="auto"/>
        <w:ind w:firstLine="453" w:firstLineChars="189"/>
        <w:rPr>
          <w:rFonts w:hint="eastAsia" w:ascii="仿宋_GB2312" w:hAnsi="黑体" w:eastAsia="仿宋_GB2312" w:cstheme="minorEastAsia"/>
          <w:sz w:val="24"/>
          <w:szCs w:val="24"/>
        </w:rPr>
      </w:pPr>
      <w:r>
        <w:rPr>
          <w:rFonts w:ascii="仿宋_GB2312" w:hAnsi="黑体" w:eastAsia="仿宋_GB2312" w:cstheme="minorEastAsia"/>
          <w:sz w:val="24"/>
          <w:szCs w:val="24"/>
        </w:rPr>
        <w:t>7.5 若设备安装、调试过程中需使用买方产品的，买方提供调试所用产品数量【】件，超出此数量部分由卖方提供，由此产生的相关费用由卖方承担。</w:t>
      </w:r>
    </w:p>
    <w:p w14:paraId="49959BCF">
      <w:pPr>
        <w:pStyle w:val="4"/>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8 价款与支付</w:t>
      </w:r>
    </w:p>
    <w:p w14:paraId="0EA4470C">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），如国家出台新政策对增值税率进行了调整，则不含税价款不变，本合同含税总价在不含税价基础上根据国家最新税法进行相应的调整。</w:t>
      </w:r>
    </w:p>
    <w:p w14:paraId="69267021">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14:paraId="2F1CE2B9">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14:paraId="333B370D">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14:paraId="6BEC2640">
      <w:pPr>
        <w:spacing w:line="360" w:lineRule="auto"/>
        <w:ind w:firstLine="453" w:firstLineChars="189"/>
        <w:rPr>
          <w:rFonts w:hint="eastAsia" w:ascii="仿宋_GB2312" w:hAnsi="黑体" w:eastAsia="仿宋_GB2312" w:cstheme="minorEastAsia"/>
          <w:i/>
          <w:sz w:val="24"/>
          <w:szCs w:val="24"/>
        </w:rPr>
      </w:pPr>
      <w:r>
        <w:rPr>
          <w:rFonts w:hint="eastAsia" w:ascii="仿宋_GB2312" w:hAnsi="黑体" w:eastAsia="仿宋_GB2312" w:cstheme="minorEastAsia"/>
          <w:color w:val="FF0000"/>
          <w:sz w:val="24"/>
          <w:szCs w:val="24"/>
        </w:rPr>
        <w:t>8.3.1合同生效设备全部到齐无质量问题通过买方初步验收后, 卖方提交金额为合同含税价款60 %的收据（正本一份，复印件二份），经买方依照财务制度审核无误后【】日后支付。</w:t>
      </w:r>
      <w:r>
        <w:rPr>
          <w:rFonts w:hint="eastAsia" w:ascii="仿宋_GB2312" w:hAnsi="黑体" w:eastAsia="仿宋_GB2312" w:cstheme="minorEastAsia"/>
          <w:i/>
          <w:sz w:val="24"/>
          <w:szCs w:val="24"/>
        </w:rPr>
        <w:t>【按照实际业务的</w:t>
      </w:r>
      <w:r>
        <w:rPr>
          <w:rFonts w:ascii="仿宋_GB2312" w:hAnsi="黑体" w:eastAsia="仿宋_GB2312" w:cstheme="minorEastAsia"/>
          <w:i/>
          <w:sz w:val="24"/>
          <w:szCs w:val="24"/>
        </w:rPr>
        <w:t>SAP</w:t>
      </w:r>
      <w:r>
        <w:rPr>
          <w:rFonts w:hint="eastAsia" w:ascii="仿宋_GB2312" w:hAnsi="黑体" w:eastAsia="仿宋_GB2312" w:cstheme="minorEastAsia"/>
          <w:i/>
          <w:sz w:val="24"/>
          <w:szCs w:val="24"/>
        </w:rPr>
        <w:t>付款条件填写】</w:t>
      </w:r>
    </w:p>
    <w:p w14:paraId="44B65701">
      <w:pPr>
        <w:spacing w:line="360" w:lineRule="auto"/>
        <w:ind w:firstLine="453" w:firstLineChars="189"/>
        <w:rPr>
          <w:rFonts w:hint="eastAsia" w:ascii="仿宋_GB2312" w:hAnsi="黑体" w:eastAsia="仿宋_GB2312" w:cstheme="minorEastAsia"/>
          <w:i/>
          <w:sz w:val="24"/>
          <w:szCs w:val="24"/>
        </w:rPr>
      </w:pPr>
      <w:r>
        <w:rPr>
          <w:rFonts w:hint="eastAsia" w:ascii="仿宋_GB2312" w:hAnsi="黑体" w:eastAsia="仿宋_GB2312" w:cstheme="minorEastAsia"/>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p>
    <w:p w14:paraId="4154C362">
      <w:pPr>
        <w:spacing w:line="360" w:lineRule="auto"/>
        <w:ind w:firstLine="453" w:firstLineChars="189"/>
        <w:rPr>
          <w:rFonts w:hint="eastAsia" w:ascii="仿宋_GB2312" w:hAnsi="黑体" w:eastAsia="仿宋_GB2312" w:cstheme="minorEastAsia"/>
          <w:i/>
          <w:sz w:val="24"/>
          <w:szCs w:val="24"/>
        </w:rPr>
      </w:pPr>
      <w:r>
        <w:rPr>
          <w:rFonts w:hint="eastAsia" w:ascii="仿宋_GB2312" w:hAnsi="黑体" w:eastAsia="仿宋_GB2312" w:cstheme="minorEastAsia"/>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r>
        <w:rPr>
          <w:rFonts w:hint="eastAsia" w:ascii="仿宋_GB2312" w:hAnsi="黑体" w:eastAsia="仿宋_GB2312" w:cstheme="minorEastAsia"/>
          <w:sz w:val="24"/>
          <w:szCs w:val="24"/>
        </w:rPr>
        <w:t>如有质量问题，质量保证金予以相应扣除。</w:t>
      </w:r>
    </w:p>
    <w:p w14:paraId="133B73B7">
      <w:pPr>
        <w:pStyle w:val="4"/>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9 质量保证及售后服务</w:t>
      </w:r>
    </w:p>
    <w:p w14:paraId="0A387B8B">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70123FC8">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14:paraId="4AC1AAE5">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2E222734">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14:paraId="30F0EB53">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0B5C201E">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14:paraId="64C64312">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14:paraId="62DA6ABC">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14:paraId="3447D219">
      <w:pPr>
        <w:pStyle w:val="4"/>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10法定责任</w:t>
      </w:r>
    </w:p>
    <w:p w14:paraId="63C16F0D">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14:paraId="515B1455">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14:paraId="2E603750">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181378A8">
      <w:pPr>
        <w:spacing w:line="360" w:lineRule="auto"/>
        <w:ind w:firstLine="453" w:firstLineChars="189"/>
        <w:rPr>
          <w:rFonts w:hint="eastAsia" w:asciiTheme="minorEastAsia" w:hAnsiTheme="minorEastAsia" w:eastAsia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14:paraId="4F9F8F69">
      <w:pPr>
        <w:pStyle w:val="4"/>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11 违约责任</w:t>
      </w:r>
    </w:p>
    <w:p w14:paraId="34490A0D">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150F6185">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31A4658F">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14:paraId="416328D3">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1EB36478">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019415E8">
      <w:pPr>
        <w:spacing w:line="360" w:lineRule="auto"/>
        <w:ind w:firstLine="453" w:firstLineChars="189"/>
        <w:rPr>
          <w:rFonts w:hint="eastAsia" w:ascii="仿宋_GB2312" w:hAnsi="黑体" w:eastAsia="仿宋_GB2312" w:cstheme="minorEastAsia"/>
          <w:sz w:val="24"/>
          <w:szCs w:val="24"/>
        </w:rPr>
      </w:pPr>
      <w:r>
        <w:rPr>
          <w:rFonts w:ascii="仿宋_GB2312" w:hAnsi="黑体" w:eastAsia="仿宋_GB2312" w:cstheme="minorEastAsia"/>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p>
    <w:p w14:paraId="2EA563D2">
      <w:pPr>
        <w:spacing w:line="360" w:lineRule="auto"/>
        <w:ind w:firstLine="453" w:firstLineChars="189"/>
        <w:rPr>
          <w:rFonts w:hint="eastAsia" w:ascii="仿宋_GB2312" w:hAnsi="黑体" w:eastAsia="仿宋_GB2312" w:cstheme="minorEastAsia"/>
          <w:sz w:val="24"/>
          <w:szCs w:val="24"/>
        </w:rPr>
      </w:pPr>
      <w:r>
        <w:rPr>
          <w:rFonts w:ascii="仿宋_GB2312" w:hAnsi="黑体" w:eastAsia="仿宋_GB2312" w:cstheme="minorEastAsia"/>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14:paraId="44812C4A">
      <w:pPr>
        <w:spacing w:line="360" w:lineRule="auto"/>
        <w:ind w:firstLine="453" w:firstLineChars="189"/>
        <w:rPr>
          <w:rFonts w:hint="eastAsia" w:ascii="仿宋_GB2312" w:hAnsi="黑体" w:eastAsia="仿宋_GB2312" w:cstheme="minorEastAsia"/>
          <w:sz w:val="24"/>
          <w:szCs w:val="24"/>
        </w:rPr>
      </w:pPr>
      <w:r>
        <w:rPr>
          <w:rFonts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14:paraId="2125D5BC">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14:paraId="0052C8B0">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14:paraId="06BDB80E">
      <w:pPr>
        <w:spacing w:line="360" w:lineRule="auto"/>
        <w:ind w:firstLine="453" w:firstLineChars="189"/>
        <w:rPr>
          <w:rFonts w:hint="eastAsia" w:asciiTheme="minorEastAsia" w:hAnsiTheme="minorEastAsia" w:eastAsia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p w14:paraId="07F44094">
      <w:pPr>
        <w:pStyle w:val="4"/>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12 合同的终止与解除</w:t>
      </w:r>
    </w:p>
    <w:p w14:paraId="7DFBBFDA">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14:paraId="1B50DF8A">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14:paraId="4D865F83">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12.3有下列情形之一的，买方可以解除本合同：</w:t>
      </w:r>
    </w:p>
    <w:p w14:paraId="400521E7">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12.3.1卖方明确表示或者以自己的行为表明不履行主要义务的；</w:t>
      </w:r>
    </w:p>
    <w:p w14:paraId="2E3ADE01">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12.3.2卖方所提交的设备不符合本合同的规定；</w:t>
      </w:r>
    </w:p>
    <w:p w14:paraId="3B7F8101">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12.3.3卖方发生本合同约定的解除情形的；</w:t>
      </w:r>
    </w:p>
    <w:p w14:paraId="6D40A6D4">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12.3.4卖方有其他违约行为。</w:t>
      </w:r>
    </w:p>
    <w:p w14:paraId="02B65F46">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14:paraId="55C12CAB">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14:paraId="4BA370BC">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14:paraId="459D3F69">
      <w:pPr>
        <w:spacing w:line="360" w:lineRule="auto"/>
        <w:ind w:firstLine="453" w:firstLineChars="189"/>
        <w:rPr>
          <w:rFonts w:hint="eastAsia" w:asciiTheme="minorEastAsia" w:hAnsiTheme="minorEastAsia" w:eastAsia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14:paraId="553284E3">
      <w:pPr>
        <w:pStyle w:val="4"/>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13 不可抗力</w:t>
      </w:r>
    </w:p>
    <w:p w14:paraId="4055DF66">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18E40432">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14:paraId="75A43E80">
      <w:pPr>
        <w:pStyle w:val="4"/>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14 通讯</w:t>
      </w:r>
    </w:p>
    <w:p w14:paraId="483FE943">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14:paraId="5AB0A210">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14:paraId="3E17C144">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14:paraId="3226C227">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14:paraId="3DE2B078">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14:paraId="1C9B6677">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14:paraId="09AE4F6E">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14:paraId="39D67FF0">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14:paraId="6550120D">
      <w:pPr>
        <w:pStyle w:val="4"/>
        <w:tabs>
          <w:tab w:val="right" w:leader="dot" w:pos="9061"/>
        </w:tabs>
        <w:spacing w:before="312" w:beforeLines="100"/>
        <w:ind w:firstLine="560"/>
        <w:rPr>
          <w:rFonts w:hint="eastAsia" w:ascii="黑体" w:hAnsi="黑体" w:eastAsia="黑体" w:cstheme="minorEastAsia"/>
          <w:b w:val="0"/>
          <w:sz w:val="28"/>
          <w:szCs w:val="28"/>
        </w:rPr>
      </w:pPr>
      <w:r>
        <w:rPr>
          <w:rFonts w:hint="eastAsia" w:ascii="黑体" w:hAnsi="黑体" w:eastAsia="黑体" w:cstheme="minorEastAsia"/>
          <w:b w:val="0"/>
          <w:sz w:val="28"/>
          <w:szCs w:val="28"/>
        </w:rPr>
        <w:t>15 适用法律及争议解决</w:t>
      </w:r>
    </w:p>
    <w:p w14:paraId="7A9C9167">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14:paraId="53B5BEA1">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70F4914F">
      <w:pPr>
        <w:pStyle w:val="4"/>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16 附件</w:t>
      </w:r>
    </w:p>
    <w:p w14:paraId="38E6F86F">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14:paraId="1F03939D">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14:paraId="5E3399ED">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14:paraId="07C4CE4A">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14:paraId="576D3FAF">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14:paraId="7BC12867">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14:paraId="1A7D22D3">
      <w:pPr>
        <w:pStyle w:val="4"/>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17 其他规定</w:t>
      </w:r>
    </w:p>
    <w:p w14:paraId="0ADDF0B4">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14:paraId="5E98AAE2">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14:paraId="40175312">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1DF809CB">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14:paraId="6A363D43">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2C0AE6BB">
      <w:pPr>
        <w:pStyle w:val="4"/>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18 签署事项</w:t>
      </w:r>
    </w:p>
    <w:p w14:paraId="73608131">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14:paraId="689121DA">
      <w:pPr>
        <w:spacing w:line="360" w:lineRule="auto"/>
        <w:ind w:firstLine="455" w:firstLineChars="189"/>
        <w:rPr>
          <w:rFonts w:hint="eastAsia" w:ascii="仿宋_GB2312" w:eastAsia="仿宋_GB2312" w:hAnsiTheme="minorEastAsia" w:cstheme="minorEastAsia"/>
          <w:b/>
          <w:sz w:val="24"/>
          <w:szCs w:val="24"/>
        </w:rPr>
      </w:pPr>
      <w:r>
        <w:rPr>
          <w:rFonts w:ascii="仿宋_GB2312" w:eastAsia="仿宋_GB2312" w:hAnsiTheme="minorEastAsia" w:cstheme="minorEastAsia"/>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7BDEB037">
      <w:pPr>
        <w:spacing w:line="360" w:lineRule="auto"/>
        <w:ind w:firstLine="455" w:firstLineChars="189"/>
        <w:rPr>
          <w:rFonts w:hint="eastAsia" w:ascii="仿宋_GB2312" w:eastAsia="仿宋_GB2312" w:hAnsiTheme="minorEastAsia" w:cstheme="minorEastAsia"/>
          <w:b/>
          <w:sz w:val="24"/>
          <w:szCs w:val="24"/>
        </w:rPr>
      </w:pPr>
      <w:r>
        <w:rPr>
          <w:rFonts w:hint="eastAsia" w:ascii="仿宋_GB2312" w:eastAsia="仿宋_GB2312" w:hAnsiTheme="minorEastAsia" w:cstheme="minorEastAsia"/>
          <w:b/>
          <w:sz w:val="24"/>
          <w:szCs w:val="24"/>
        </w:rPr>
        <w:t xml:space="preserve"> </w:t>
      </w:r>
      <w:r>
        <w:rPr>
          <w:rFonts w:ascii="仿宋_GB2312" w:eastAsia="仿宋_GB2312" w:hAnsiTheme="minorEastAsia" w:cstheme="minorEastAsia"/>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1C48094E">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14:paraId="19158563">
      <w:pPr>
        <w:spacing w:line="360" w:lineRule="auto"/>
        <w:ind w:firstLine="420" w:firstLineChars="200"/>
        <w:rPr>
          <w:rFonts w:hint="eastAsia" w:asciiTheme="minorEastAsia" w:hAnsiTheme="minorEastAsia" w:eastAsiaTheme="minorEastAsia" w:cstheme="minorEastAsia"/>
          <w:sz w:val="20"/>
          <w:szCs w:val="20"/>
        </w:rPr>
      </w:pPr>
      <w:r>
        <w:rPr>
          <w:rFonts w:hint="eastAsia"/>
        </w:rPr>
        <w:t xml:space="preserve">    </w:t>
      </w:r>
    </w:p>
    <w:p w14:paraId="522FA536">
      <w:pPr>
        <w:spacing w:line="360" w:lineRule="auto"/>
        <w:ind w:firstLine="400"/>
        <w:rPr>
          <w:rFonts w:hint="eastAsia" w:ascii="宋体" w:hAnsi="宋体"/>
          <w:snapToGrid w:val="0"/>
          <w:kern w:val="0"/>
          <w:sz w:val="20"/>
          <w:szCs w:val="20"/>
          <w:lang w:eastAsia="zh-Hans"/>
        </w:rPr>
      </w:pPr>
    </w:p>
    <w:p w14:paraId="3780C7FF">
      <w:pPr>
        <w:widowControl/>
        <w:adjustRightInd w:val="0"/>
        <w:snapToGrid w:val="0"/>
        <w:spacing w:line="360" w:lineRule="auto"/>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14:paraId="63CFC796">
      <w:pPr>
        <w:widowControl/>
        <w:adjustRightInd w:val="0"/>
        <w:snapToGrid w:val="0"/>
        <w:spacing w:line="360" w:lineRule="auto"/>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14:paraId="7DCC3561">
      <w:pPr>
        <w:widowControl/>
        <w:adjustRightInd w:val="0"/>
        <w:snapToGrid w:val="0"/>
        <w:spacing w:line="360" w:lineRule="auto"/>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14:paraId="40D9268F">
      <w:pPr>
        <w:widowControl/>
        <w:adjustRightInd w:val="0"/>
        <w:snapToGrid w:val="0"/>
        <w:spacing w:line="360" w:lineRule="auto"/>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14:paraId="7EA62544">
      <w:pPr>
        <w:widowControl/>
        <w:adjustRightInd w:val="0"/>
        <w:snapToGrid w:val="0"/>
        <w:spacing w:line="360" w:lineRule="auto"/>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14:paraId="7C25BA0D">
      <w:pPr>
        <w:widowControl/>
        <w:adjustRightInd w:val="0"/>
        <w:snapToGrid w:val="0"/>
        <w:spacing w:line="360" w:lineRule="auto"/>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14:paraId="56B4168E">
      <w:pPr>
        <w:widowControl/>
        <w:adjustRightInd w:val="0"/>
        <w:snapToGrid w:val="0"/>
        <w:spacing w:line="360" w:lineRule="auto"/>
        <w:jc w:val="left"/>
        <w:rPr>
          <w:rFonts w:hint="eastAsia"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14:paraId="3B6DF3EB">
      <w:pPr>
        <w:spacing w:line="360" w:lineRule="auto"/>
        <w:rPr>
          <w:rFonts w:hint="eastAsia" w:ascii="仿宋_GB2312" w:eastAsia="仿宋_GB2312"/>
          <w:sz w:val="24"/>
          <w:szCs w:val="24"/>
        </w:rPr>
      </w:pPr>
    </w:p>
    <w:p w14:paraId="68D6743E">
      <w:pPr>
        <w:pStyle w:val="4"/>
        <w:tabs>
          <w:tab w:val="right" w:leader="dot" w:pos="9061"/>
        </w:tabs>
        <w:ind w:firstLine="560"/>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14:paraId="754C5B0D">
      <w:pPr>
        <w:rPr>
          <w:rFonts w:hint="eastAsia"/>
        </w:rPr>
      </w:pP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2A787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5736D3D7">
            <w:pPr>
              <w:pStyle w:val="26"/>
              <w:spacing w:line="360" w:lineRule="auto"/>
              <w:ind w:left="480" w:firstLine="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14:paraId="4E64CC22">
            <w:pPr>
              <w:pStyle w:val="26"/>
              <w:spacing w:line="360" w:lineRule="auto"/>
              <w:ind w:left="480" w:firstLine="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14:paraId="30FDD47E">
            <w:pPr>
              <w:pStyle w:val="26"/>
              <w:spacing w:line="360" w:lineRule="auto"/>
              <w:ind w:left="480" w:firstLine="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14:paraId="7992C0B7">
            <w:pPr>
              <w:pStyle w:val="26"/>
              <w:spacing w:line="360" w:lineRule="auto"/>
              <w:ind w:left="480" w:firstLine="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14:paraId="7CB19129">
            <w:pPr>
              <w:pStyle w:val="26"/>
              <w:spacing w:line="360" w:lineRule="auto"/>
              <w:ind w:left="480" w:firstLine="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14:paraId="60A10BE7">
            <w:pPr>
              <w:pStyle w:val="26"/>
              <w:spacing w:line="360" w:lineRule="auto"/>
              <w:ind w:left="480" w:firstLine="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14:paraId="332C9174">
            <w:pPr>
              <w:pStyle w:val="26"/>
              <w:spacing w:line="360" w:lineRule="auto"/>
              <w:ind w:left="480" w:firstLine="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14:paraId="717023B7">
            <w:pPr>
              <w:pStyle w:val="26"/>
              <w:spacing w:line="360" w:lineRule="auto"/>
              <w:ind w:left="480" w:firstLine="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14:paraId="2DD768DD">
            <w:pPr>
              <w:pStyle w:val="26"/>
              <w:spacing w:line="360" w:lineRule="auto"/>
              <w:ind w:left="480" w:firstLine="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14:paraId="1FA64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37B8E8B4">
            <w:pPr>
              <w:pStyle w:val="26"/>
              <w:spacing w:line="360" w:lineRule="auto"/>
              <w:ind w:left="480" w:firstLine="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14:paraId="49133443">
            <w:pPr>
              <w:pStyle w:val="26"/>
              <w:spacing w:line="360" w:lineRule="auto"/>
              <w:ind w:left="480" w:firstLine="480"/>
              <w:jc w:val="left"/>
              <w:rPr>
                <w:rFonts w:hint="eastAsia" w:ascii="仿宋_GB2312" w:eastAsia="仿宋_GB2312" w:hAnsiTheme="minorEastAsia" w:cstheme="minorEastAsia"/>
                <w:sz w:val="24"/>
                <w:szCs w:val="24"/>
              </w:rPr>
            </w:pPr>
          </w:p>
        </w:tc>
        <w:tc>
          <w:tcPr>
            <w:tcW w:w="2126" w:type="dxa"/>
            <w:vAlign w:val="center"/>
          </w:tcPr>
          <w:p w14:paraId="3FFF9588">
            <w:pPr>
              <w:pStyle w:val="26"/>
              <w:spacing w:line="360" w:lineRule="auto"/>
              <w:ind w:left="480" w:firstLine="480"/>
              <w:jc w:val="left"/>
              <w:rPr>
                <w:rFonts w:hint="eastAsia" w:ascii="仿宋_GB2312" w:eastAsia="仿宋_GB2312" w:hAnsiTheme="minorEastAsia" w:cstheme="minorEastAsia"/>
                <w:sz w:val="24"/>
                <w:szCs w:val="24"/>
              </w:rPr>
            </w:pPr>
          </w:p>
        </w:tc>
        <w:tc>
          <w:tcPr>
            <w:tcW w:w="748" w:type="dxa"/>
            <w:vAlign w:val="center"/>
          </w:tcPr>
          <w:p w14:paraId="352C2181">
            <w:pPr>
              <w:pStyle w:val="26"/>
              <w:spacing w:line="360" w:lineRule="auto"/>
              <w:ind w:left="480" w:firstLine="480"/>
              <w:jc w:val="left"/>
              <w:rPr>
                <w:rFonts w:hint="eastAsia" w:ascii="仿宋_GB2312" w:eastAsia="仿宋_GB2312" w:hAnsiTheme="minorEastAsia" w:cstheme="minorEastAsia"/>
                <w:sz w:val="24"/>
                <w:szCs w:val="24"/>
              </w:rPr>
            </w:pPr>
          </w:p>
        </w:tc>
        <w:tc>
          <w:tcPr>
            <w:tcW w:w="812" w:type="dxa"/>
            <w:vAlign w:val="center"/>
          </w:tcPr>
          <w:p w14:paraId="1DAF8497">
            <w:pPr>
              <w:pStyle w:val="26"/>
              <w:spacing w:line="360" w:lineRule="auto"/>
              <w:ind w:left="480" w:firstLine="480"/>
              <w:jc w:val="left"/>
              <w:rPr>
                <w:rFonts w:hint="eastAsia" w:ascii="仿宋_GB2312" w:eastAsia="仿宋_GB2312" w:hAnsiTheme="minorEastAsia" w:cstheme="minorEastAsia"/>
                <w:sz w:val="24"/>
                <w:szCs w:val="24"/>
              </w:rPr>
            </w:pPr>
          </w:p>
        </w:tc>
        <w:tc>
          <w:tcPr>
            <w:tcW w:w="708" w:type="dxa"/>
            <w:vAlign w:val="center"/>
          </w:tcPr>
          <w:p w14:paraId="43EBE40C">
            <w:pPr>
              <w:pStyle w:val="26"/>
              <w:spacing w:line="360" w:lineRule="auto"/>
              <w:ind w:left="480" w:firstLine="480"/>
              <w:jc w:val="left"/>
              <w:rPr>
                <w:rFonts w:hint="eastAsia" w:ascii="仿宋_GB2312" w:eastAsia="仿宋_GB2312" w:hAnsiTheme="minorEastAsia" w:cstheme="minorEastAsia"/>
                <w:sz w:val="24"/>
                <w:szCs w:val="24"/>
              </w:rPr>
            </w:pPr>
          </w:p>
        </w:tc>
        <w:tc>
          <w:tcPr>
            <w:tcW w:w="708" w:type="dxa"/>
            <w:vAlign w:val="center"/>
          </w:tcPr>
          <w:p w14:paraId="302982FC">
            <w:pPr>
              <w:pStyle w:val="26"/>
              <w:spacing w:line="360" w:lineRule="auto"/>
              <w:ind w:left="480" w:firstLine="480"/>
              <w:jc w:val="left"/>
              <w:rPr>
                <w:rFonts w:hint="eastAsia" w:ascii="仿宋_GB2312" w:eastAsia="仿宋_GB2312" w:hAnsiTheme="minorEastAsia" w:cstheme="minorEastAsia"/>
                <w:sz w:val="24"/>
                <w:szCs w:val="24"/>
              </w:rPr>
            </w:pPr>
          </w:p>
        </w:tc>
        <w:tc>
          <w:tcPr>
            <w:tcW w:w="708" w:type="dxa"/>
            <w:vAlign w:val="center"/>
          </w:tcPr>
          <w:p w14:paraId="7CF7783F">
            <w:pPr>
              <w:pStyle w:val="26"/>
              <w:spacing w:line="360" w:lineRule="auto"/>
              <w:ind w:left="480" w:firstLine="480"/>
              <w:jc w:val="left"/>
              <w:rPr>
                <w:rFonts w:hint="eastAsia" w:ascii="仿宋_GB2312" w:eastAsia="仿宋_GB2312" w:hAnsiTheme="minorEastAsia" w:cstheme="minorEastAsia"/>
                <w:sz w:val="24"/>
                <w:szCs w:val="24"/>
              </w:rPr>
            </w:pPr>
          </w:p>
        </w:tc>
      </w:tr>
      <w:tr w14:paraId="1FA51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302C2682">
            <w:pPr>
              <w:pStyle w:val="26"/>
              <w:spacing w:line="360" w:lineRule="auto"/>
              <w:ind w:left="480" w:firstLine="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14:paraId="5F956586">
            <w:pPr>
              <w:pStyle w:val="26"/>
              <w:spacing w:line="360" w:lineRule="auto"/>
              <w:ind w:left="480" w:firstLine="480"/>
              <w:jc w:val="left"/>
              <w:rPr>
                <w:rFonts w:hint="eastAsia" w:ascii="仿宋_GB2312" w:eastAsia="仿宋_GB2312" w:hAnsiTheme="minorEastAsia" w:cstheme="minorEastAsia"/>
                <w:sz w:val="24"/>
                <w:szCs w:val="24"/>
              </w:rPr>
            </w:pPr>
          </w:p>
        </w:tc>
        <w:tc>
          <w:tcPr>
            <w:tcW w:w="2126" w:type="dxa"/>
            <w:vAlign w:val="center"/>
          </w:tcPr>
          <w:p w14:paraId="6ADD89B9">
            <w:pPr>
              <w:pStyle w:val="26"/>
              <w:spacing w:line="360" w:lineRule="auto"/>
              <w:ind w:left="480" w:firstLine="480"/>
              <w:jc w:val="left"/>
              <w:rPr>
                <w:rFonts w:hint="eastAsia" w:ascii="仿宋_GB2312" w:eastAsia="仿宋_GB2312" w:hAnsiTheme="minorEastAsia" w:cstheme="minorEastAsia"/>
                <w:sz w:val="24"/>
                <w:szCs w:val="24"/>
              </w:rPr>
            </w:pPr>
          </w:p>
        </w:tc>
        <w:tc>
          <w:tcPr>
            <w:tcW w:w="748" w:type="dxa"/>
            <w:vAlign w:val="center"/>
          </w:tcPr>
          <w:p w14:paraId="1DCA92AF">
            <w:pPr>
              <w:pStyle w:val="26"/>
              <w:spacing w:line="360" w:lineRule="auto"/>
              <w:ind w:left="480" w:firstLine="480"/>
              <w:jc w:val="left"/>
              <w:rPr>
                <w:rFonts w:hint="eastAsia" w:ascii="仿宋_GB2312" w:eastAsia="仿宋_GB2312" w:hAnsiTheme="minorEastAsia" w:cstheme="minorEastAsia"/>
                <w:sz w:val="24"/>
                <w:szCs w:val="24"/>
              </w:rPr>
            </w:pPr>
          </w:p>
        </w:tc>
        <w:tc>
          <w:tcPr>
            <w:tcW w:w="812" w:type="dxa"/>
            <w:vAlign w:val="center"/>
          </w:tcPr>
          <w:p w14:paraId="59AF5519">
            <w:pPr>
              <w:pStyle w:val="26"/>
              <w:spacing w:line="360" w:lineRule="auto"/>
              <w:ind w:left="480" w:firstLine="480"/>
              <w:jc w:val="left"/>
              <w:rPr>
                <w:rFonts w:hint="eastAsia" w:ascii="仿宋_GB2312" w:eastAsia="仿宋_GB2312" w:hAnsiTheme="minorEastAsia" w:cstheme="minorEastAsia"/>
                <w:sz w:val="24"/>
                <w:szCs w:val="24"/>
              </w:rPr>
            </w:pPr>
          </w:p>
        </w:tc>
        <w:tc>
          <w:tcPr>
            <w:tcW w:w="708" w:type="dxa"/>
            <w:vAlign w:val="center"/>
          </w:tcPr>
          <w:p w14:paraId="238C1EEF">
            <w:pPr>
              <w:pStyle w:val="26"/>
              <w:spacing w:line="360" w:lineRule="auto"/>
              <w:ind w:left="480" w:firstLine="480"/>
              <w:jc w:val="left"/>
              <w:rPr>
                <w:rFonts w:hint="eastAsia" w:ascii="仿宋_GB2312" w:eastAsia="仿宋_GB2312" w:hAnsiTheme="minorEastAsia" w:cstheme="minorEastAsia"/>
                <w:sz w:val="24"/>
                <w:szCs w:val="24"/>
              </w:rPr>
            </w:pPr>
          </w:p>
        </w:tc>
        <w:tc>
          <w:tcPr>
            <w:tcW w:w="708" w:type="dxa"/>
            <w:vAlign w:val="center"/>
          </w:tcPr>
          <w:p w14:paraId="0058B5CC">
            <w:pPr>
              <w:pStyle w:val="26"/>
              <w:spacing w:line="360" w:lineRule="auto"/>
              <w:ind w:left="480" w:firstLine="480"/>
              <w:jc w:val="left"/>
              <w:rPr>
                <w:rFonts w:hint="eastAsia" w:ascii="仿宋_GB2312" w:eastAsia="仿宋_GB2312" w:hAnsiTheme="minorEastAsia" w:cstheme="minorEastAsia"/>
                <w:sz w:val="24"/>
                <w:szCs w:val="24"/>
              </w:rPr>
            </w:pPr>
          </w:p>
        </w:tc>
        <w:tc>
          <w:tcPr>
            <w:tcW w:w="708" w:type="dxa"/>
            <w:vAlign w:val="center"/>
          </w:tcPr>
          <w:p w14:paraId="28D2EA26">
            <w:pPr>
              <w:pStyle w:val="26"/>
              <w:spacing w:line="360" w:lineRule="auto"/>
              <w:ind w:left="480" w:firstLine="480"/>
              <w:jc w:val="left"/>
              <w:rPr>
                <w:rFonts w:hint="eastAsia" w:ascii="仿宋_GB2312" w:eastAsia="仿宋_GB2312" w:hAnsiTheme="minorEastAsia" w:cstheme="minorEastAsia"/>
                <w:sz w:val="24"/>
                <w:szCs w:val="24"/>
              </w:rPr>
            </w:pPr>
          </w:p>
        </w:tc>
      </w:tr>
      <w:tr w14:paraId="73CC2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0B749A9B">
            <w:pPr>
              <w:pStyle w:val="26"/>
              <w:spacing w:line="360" w:lineRule="auto"/>
              <w:ind w:left="480" w:firstLine="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14:paraId="42CC5337">
            <w:pPr>
              <w:pStyle w:val="26"/>
              <w:spacing w:line="360" w:lineRule="auto"/>
              <w:ind w:left="480" w:firstLine="480"/>
              <w:jc w:val="left"/>
              <w:rPr>
                <w:rFonts w:hint="eastAsia" w:ascii="仿宋_GB2312" w:eastAsia="仿宋_GB2312" w:hAnsiTheme="minorEastAsia" w:cstheme="minorEastAsia"/>
                <w:sz w:val="24"/>
                <w:szCs w:val="24"/>
              </w:rPr>
            </w:pPr>
          </w:p>
        </w:tc>
        <w:tc>
          <w:tcPr>
            <w:tcW w:w="2126" w:type="dxa"/>
            <w:vAlign w:val="center"/>
          </w:tcPr>
          <w:p w14:paraId="5CF09896">
            <w:pPr>
              <w:pStyle w:val="26"/>
              <w:spacing w:line="360" w:lineRule="auto"/>
              <w:ind w:left="480" w:firstLine="480"/>
              <w:jc w:val="left"/>
              <w:rPr>
                <w:rFonts w:hint="eastAsia" w:ascii="仿宋_GB2312" w:eastAsia="仿宋_GB2312" w:hAnsiTheme="minorEastAsia" w:cstheme="minorEastAsia"/>
                <w:sz w:val="24"/>
                <w:szCs w:val="24"/>
              </w:rPr>
            </w:pPr>
          </w:p>
        </w:tc>
        <w:tc>
          <w:tcPr>
            <w:tcW w:w="748" w:type="dxa"/>
            <w:vAlign w:val="center"/>
          </w:tcPr>
          <w:p w14:paraId="150082E9">
            <w:pPr>
              <w:pStyle w:val="26"/>
              <w:spacing w:line="360" w:lineRule="auto"/>
              <w:ind w:left="480" w:firstLine="480"/>
              <w:jc w:val="left"/>
              <w:rPr>
                <w:rFonts w:hint="eastAsia" w:ascii="仿宋_GB2312" w:eastAsia="仿宋_GB2312" w:hAnsiTheme="minorEastAsia" w:cstheme="minorEastAsia"/>
                <w:sz w:val="24"/>
                <w:szCs w:val="24"/>
              </w:rPr>
            </w:pPr>
          </w:p>
        </w:tc>
        <w:tc>
          <w:tcPr>
            <w:tcW w:w="812" w:type="dxa"/>
            <w:vAlign w:val="center"/>
          </w:tcPr>
          <w:p w14:paraId="6535EC65">
            <w:pPr>
              <w:pStyle w:val="26"/>
              <w:spacing w:line="360" w:lineRule="auto"/>
              <w:ind w:left="480" w:firstLine="480"/>
              <w:jc w:val="left"/>
              <w:rPr>
                <w:rFonts w:hint="eastAsia" w:ascii="仿宋_GB2312" w:eastAsia="仿宋_GB2312" w:hAnsiTheme="minorEastAsia" w:cstheme="minorEastAsia"/>
                <w:sz w:val="24"/>
                <w:szCs w:val="24"/>
              </w:rPr>
            </w:pPr>
          </w:p>
        </w:tc>
        <w:tc>
          <w:tcPr>
            <w:tcW w:w="708" w:type="dxa"/>
            <w:vAlign w:val="center"/>
          </w:tcPr>
          <w:p w14:paraId="1F5CB942">
            <w:pPr>
              <w:pStyle w:val="26"/>
              <w:spacing w:line="360" w:lineRule="auto"/>
              <w:ind w:left="480" w:firstLine="480"/>
              <w:jc w:val="left"/>
              <w:rPr>
                <w:rFonts w:hint="eastAsia" w:ascii="仿宋_GB2312" w:eastAsia="仿宋_GB2312" w:hAnsiTheme="minorEastAsia" w:cstheme="minorEastAsia"/>
                <w:sz w:val="24"/>
                <w:szCs w:val="24"/>
              </w:rPr>
            </w:pPr>
          </w:p>
        </w:tc>
        <w:tc>
          <w:tcPr>
            <w:tcW w:w="708" w:type="dxa"/>
            <w:vAlign w:val="center"/>
          </w:tcPr>
          <w:p w14:paraId="568FBA52">
            <w:pPr>
              <w:pStyle w:val="26"/>
              <w:spacing w:line="360" w:lineRule="auto"/>
              <w:ind w:left="480" w:firstLine="480"/>
              <w:jc w:val="left"/>
              <w:rPr>
                <w:rFonts w:hint="eastAsia" w:ascii="仿宋_GB2312" w:eastAsia="仿宋_GB2312" w:hAnsiTheme="minorEastAsia" w:cstheme="minorEastAsia"/>
                <w:sz w:val="24"/>
                <w:szCs w:val="24"/>
              </w:rPr>
            </w:pPr>
          </w:p>
        </w:tc>
        <w:tc>
          <w:tcPr>
            <w:tcW w:w="708" w:type="dxa"/>
            <w:vAlign w:val="center"/>
          </w:tcPr>
          <w:p w14:paraId="77C8CD28">
            <w:pPr>
              <w:pStyle w:val="26"/>
              <w:spacing w:line="360" w:lineRule="auto"/>
              <w:ind w:left="480" w:firstLine="480"/>
              <w:jc w:val="left"/>
              <w:rPr>
                <w:rFonts w:hint="eastAsia" w:ascii="仿宋_GB2312" w:eastAsia="仿宋_GB2312" w:hAnsiTheme="minorEastAsia" w:cstheme="minorEastAsia"/>
                <w:sz w:val="24"/>
                <w:szCs w:val="24"/>
              </w:rPr>
            </w:pPr>
          </w:p>
        </w:tc>
      </w:tr>
      <w:tr w14:paraId="4B482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7D1FBE9E">
            <w:pPr>
              <w:pStyle w:val="26"/>
              <w:spacing w:line="360" w:lineRule="auto"/>
              <w:ind w:left="480" w:firstLine="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14:paraId="76DD6395">
            <w:pPr>
              <w:pStyle w:val="26"/>
              <w:spacing w:line="360" w:lineRule="auto"/>
              <w:ind w:left="480" w:firstLine="480"/>
              <w:jc w:val="left"/>
              <w:rPr>
                <w:rFonts w:hint="eastAsia" w:ascii="仿宋_GB2312" w:eastAsia="仿宋_GB2312" w:hAnsiTheme="minorEastAsia" w:cstheme="minorEastAsia"/>
                <w:sz w:val="24"/>
                <w:szCs w:val="24"/>
              </w:rPr>
            </w:pPr>
          </w:p>
        </w:tc>
        <w:tc>
          <w:tcPr>
            <w:tcW w:w="2126" w:type="dxa"/>
            <w:vAlign w:val="center"/>
          </w:tcPr>
          <w:p w14:paraId="2DD9CD4D">
            <w:pPr>
              <w:pStyle w:val="26"/>
              <w:spacing w:line="360" w:lineRule="auto"/>
              <w:ind w:left="480" w:firstLine="480"/>
              <w:jc w:val="left"/>
              <w:rPr>
                <w:rFonts w:hint="eastAsia" w:ascii="仿宋_GB2312" w:eastAsia="仿宋_GB2312" w:hAnsiTheme="minorEastAsia" w:cstheme="minorEastAsia"/>
                <w:sz w:val="24"/>
                <w:szCs w:val="24"/>
              </w:rPr>
            </w:pPr>
          </w:p>
        </w:tc>
        <w:tc>
          <w:tcPr>
            <w:tcW w:w="748" w:type="dxa"/>
            <w:vAlign w:val="center"/>
          </w:tcPr>
          <w:p w14:paraId="4E129688">
            <w:pPr>
              <w:pStyle w:val="26"/>
              <w:spacing w:line="360" w:lineRule="auto"/>
              <w:ind w:left="480" w:firstLine="480"/>
              <w:jc w:val="left"/>
              <w:rPr>
                <w:rFonts w:hint="eastAsia" w:ascii="仿宋_GB2312" w:eastAsia="仿宋_GB2312" w:hAnsiTheme="minorEastAsia" w:cstheme="minorEastAsia"/>
                <w:sz w:val="24"/>
                <w:szCs w:val="24"/>
              </w:rPr>
            </w:pPr>
          </w:p>
        </w:tc>
        <w:tc>
          <w:tcPr>
            <w:tcW w:w="812" w:type="dxa"/>
            <w:vAlign w:val="center"/>
          </w:tcPr>
          <w:p w14:paraId="56D02556">
            <w:pPr>
              <w:pStyle w:val="26"/>
              <w:spacing w:line="360" w:lineRule="auto"/>
              <w:ind w:left="480" w:firstLine="480"/>
              <w:jc w:val="left"/>
              <w:rPr>
                <w:rFonts w:hint="eastAsia" w:ascii="仿宋_GB2312" w:eastAsia="仿宋_GB2312" w:hAnsiTheme="minorEastAsia" w:cstheme="minorEastAsia"/>
                <w:sz w:val="24"/>
                <w:szCs w:val="24"/>
              </w:rPr>
            </w:pPr>
          </w:p>
        </w:tc>
        <w:tc>
          <w:tcPr>
            <w:tcW w:w="708" w:type="dxa"/>
            <w:vAlign w:val="center"/>
          </w:tcPr>
          <w:p w14:paraId="4C680838">
            <w:pPr>
              <w:spacing w:line="360" w:lineRule="auto"/>
              <w:jc w:val="left"/>
              <w:rPr>
                <w:rFonts w:hint="eastAsia" w:ascii="仿宋_GB2312" w:eastAsia="仿宋_GB2312" w:hAnsiTheme="minorEastAsia" w:cstheme="minorEastAsia"/>
                <w:sz w:val="24"/>
                <w:szCs w:val="24"/>
              </w:rPr>
            </w:pPr>
          </w:p>
        </w:tc>
        <w:tc>
          <w:tcPr>
            <w:tcW w:w="708" w:type="dxa"/>
            <w:vAlign w:val="center"/>
          </w:tcPr>
          <w:p w14:paraId="2F9E5FBE">
            <w:pPr>
              <w:spacing w:line="360" w:lineRule="auto"/>
              <w:jc w:val="left"/>
              <w:rPr>
                <w:rFonts w:hint="eastAsia" w:ascii="仿宋_GB2312" w:eastAsia="仿宋_GB2312" w:hAnsiTheme="minorEastAsia" w:cstheme="minorEastAsia"/>
                <w:sz w:val="24"/>
                <w:szCs w:val="24"/>
              </w:rPr>
            </w:pPr>
          </w:p>
        </w:tc>
        <w:tc>
          <w:tcPr>
            <w:tcW w:w="708" w:type="dxa"/>
            <w:vAlign w:val="center"/>
          </w:tcPr>
          <w:p w14:paraId="18C67EE1">
            <w:pPr>
              <w:spacing w:line="360" w:lineRule="auto"/>
              <w:jc w:val="left"/>
              <w:rPr>
                <w:rFonts w:hint="eastAsia" w:ascii="仿宋_GB2312" w:eastAsia="仿宋_GB2312" w:hAnsiTheme="minorEastAsia" w:cstheme="minorEastAsia"/>
                <w:sz w:val="24"/>
                <w:szCs w:val="24"/>
              </w:rPr>
            </w:pPr>
          </w:p>
        </w:tc>
      </w:tr>
    </w:tbl>
    <w:p w14:paraId="30F7C3DA">
      <w:pPr>
        <w:ind w:firstLine="400"/>
        <w:rPr>
          <w:rFonts w:hint="eastAsia" w:cs="等线"/>
          <w:sz w:val="20"/>
          <w:szCs w:val="20"/>
        </w:rPr>
      </w:pPr>
      <w:r>
        <w:rPr>
          <w:rFonts w:hint="eastAsia" w:cs="等线"/>
          <w:sz w:val="20"/>
          <w:szCs w:val="20"/>
        </w:rPr>
        <w:br w:type="page"/>
      </w:r>
    </w:p>
    <w:p w14:paraId="6284DD63">
      <w:pPr>
        <w:pStyle w:val="4"/>
        <w:tabs>
          <w:tab w:val="right" w:leader="dot" w:pos="9061"/>
        </w:tabs>
        <w:ind w:firstLine="560"/>
        <w:rPr>
          <w:rFonts w:hint="eastAsia" w:ascii="黑体" w:hAnsi="黑体" w:eastAsia="黑体" w:cs="等线"/>
          <w:b w:val="0"/>
          <w:i/>
          <w:sz w:val="28"/>
          <w:szCs w:val="28"/>
        </w:rPr>
      </w:pPr>
      <w:r>
        <w:rPr>
          <w:rFonts w:hint="eastAsia" w:ascii="黑体" w:hAnsi="黑体" w:eastAsia="黑体" w:cs="等线"/>
          <w:b w:val="0"/>
          <w:sz w:val="28"/>
          <w:szCs w:val="28"/>
        </w:rPr>
        <w:t xml:space="preserve">附件二 </w:t>
      </w:r>
      <w:bookmarkEnd w:id="42"/>
      <w:bookmarkEnd w:id="43"/>
      <w:bookmarkEnd w:id="44"/>
      <w:bookmarkEnd w:id="45"/>
      <w:bookmarkEnd w:id="46"/>
      <w:r>
        <w:rPr>
          <w:rFonts w:hint="eastAsia" w:ascii="黑体" w:hAnsi="黑体" w:eastAsia="黑体" w:cs="等线"/>
          <w:b w:val="0"/>
          <w:sz w:val="28"/>
          <w:szCs w:val="28"/>
        </w:rPr>
        <w:t>技术协议书</w:t>
      </w:r>
    </w:p>
    <w:p w14:paraId="29E023C7">
      <w:pPr>
        <w:ind w:right="360" w:firstLine="400"/>
        <w:rPr>
          <w:rFonts w:hint="eastAsia" w:cs="等线"/>
          <w:sz w:val="20"/>
          <w:szCs w:val="20"/>
        </w:rPr>
      </w:pPr>
    </w:p>
    <w:p w14:paraId="4F91B46A">
      <w:pPr>
        <w:ind w:firstLine="400"/>
        <w:jc w:val="right"/>
        <w:rPr>
          <w:rFonts w:hint="eastAsia" w:cs="等线"/>
          <w:sz w:val="20"/>
          <w:szCs w:val="20"/>
        </w:rPr>
      </w:pPr>
    </w:p>
    <w:p w14:paraId="2ED5841D">
      <w:pPr>
        <w:ind w:firstLine="400"/>
        <w:jc w:val="right"/>
        <w:rPr>
          <w:rFonts w:hint="eastAsia" w:cs="等线"/>
          <w:sz w:val="20"/>
          <w:szCs w:val="20"/>
        </w:rPr>
      </w:pPr>
    </w:p>
    <w:p w14:paraId="3D5DD064">
      <w:pPr>
        <w:ind w:firstLine="400"/>
        <w:jc w:val="right"/>
        <w:rPr>
          <w:rFonts w:hint="eastAsia" w:cs="等线"/>
          <w:sz w:val="20"/>
          <w:szCs w:val="20"/>
        </w:rPr>
      </w:pPr>
      <w:r>
        <w:rPr>
          <w:rFonts w:hint="eastAsia" w:cs="等线"/>
          <w:sz w:val="20"/>
          <w:szCs w:val="20"/>
        </w:rPr>
        <w:t xml:space="preserve">                                      </w:t>
      </w:r>
    </w:p>
    <w:p w14:paraId="7514D05A">
      <w:pPr>
        <w:ind w:firstLine="400"/>
        <w:jc w:val="right"/>
        <w:rPr>
          <w:rFonts w:hint="eastAsia" w:cs="等线"/>
          <w:sz w:val="20"/>
          <w:szCs w:val="20"/>
        </w:rPr>
      </w:pPr>
    </w:p>
    <w:p w14:paraId="12795531">
      <w:pPr>
        <w:wordWrap w:val="0"/>
        <w:ind w:right="480" w:firstLine="400"/>
        <w:rPr>
          <w:rFonts w:hint="eastAsia" w:cs="等线"/>
          <w:sz w:val="20"/>
          <w:szCs w:val="20"/>
        </w:rPr>
      </w:pPr>
    </w:p>
    <w:p w14:paraId="5443742B">
      <w:pPr>
        <w:jc w:val="right"/>
        <w:rPr>
          <w:rFonts w:hint="eastAsia" w:ascii="楷体_GB2312" w:hAnsi="宋体" w:eastAsia="楷体_GB2312"/>
          <w:sz w:val="24"/>
        </w:rPr>
      </w:pPr>
    </w:p>
    <w:p w14:paraId="107C6969">
      <w:pPr>
        <w:ind w:right="480"/>
        <w:jc w:val="center"/>
        <w:rPr>
          <w:rFonts w:hint="eastAsia"/>
          <w:sz w:val="24"/>
          <w:szCs w:val="24"/>
        </w:rPr>
      </w:pPr>
      <w:r>
        <w:rPr>
          <w:rFonts w:hint="eastAsia" w:ascii="楷体_GB2312" w:hAnsi="宋体" w:eastAsia="楷体_GB2312"/>
          <w:sz w:val="24"/>
        </w:rPr>
        <w:t xml:space="preserve">                                    </w:t>
      </w:r>
    </w:p>
    <w:p w14:paraId="54101CB8">
      <w:pPr>
        <w:ind w:firstLine="1040"/>
        <w:jc w:val="left"/>
        <w:rPr>
          <w:rFonts w:hint="eastAsia" w:ascii="方正小标宋简体" w:hAnsi="宋体" w:eastAsia="方正小标宋简体"/>
          <w:bCs/>
          <w:sz w:val="52"/>
          <w:szCs w:val="36"/>
        </w:rPr>
      </w:pPr>
      <w:r>
        <w:rPr>
          <w:rFonts w:hint="eastAsia" w:ascii="方正小标宋简体" w:hAnsi="宋体" w:eastAsia="方正小标宋简体"/>
          <w:bCs/>
          <w:sz w:val="52"/>
          <w:szCs w:val="36"/>
        </w:rPr>
        <w:br w:type="page"/>
      </w:r>
    </w:p>
    <w:p w14:paraId="6B00D0AA">
      <w:pPr>
        <w:rPr>
          <w:rFonts w:ascii="黑体" w:hAnsi="黑体" w:eastAsia="黑体" w:cstheme="minorEastAsia"/>
          <w:sz w:val="28"/>
          <w:szCs w:val="28"/>
          <w:highlight w:val="none"/>
        </w:rPr>
      </w:pPr>
      <w:r>
        <w:rPr>
          <w:rFonts w:hint="eastAsia" w:ascii="黑体" w:hAnsi="黑体" w:eastAsia="黑体" w:cstheme="minorEastAsia"/>
          <w:sz w:val="28"/>
          <w:szCs w:val="28"/>
          <w:highlight w:val="none"/>
        </w:rPr>
        <w:t>附件二 技术协议书</w:t>
      </w:r>
    </w:p>
    <w:p w14:paraId="7EE2F0F0">
      <w:pPr>
        <w:widowControl/>
        <w:adjustRightInd w:val="0"/>
        <w:snapToGrid w:val="0"/>
        <w:spacing w:line="360" w:lineRule="auto"/>
        <w:jc w:val="left"/>
        <w:rPr>
          <w:rFonts w:hint="eastAsia" w:ascii="黑体" w:hAnsi="黑体" w:eastAsia="黑体" w:cstheme="minorEastAsia"/>
          <w:sz w:val="28"/>
          <w:szCs w:val="28"/>
          <w:highlight w:val="none"/>
          <w:lang w:val="en-US" w:eastAsia="zh-Hans"/>
        </w:rPr>
      </w:pPr>
      <w:r>
        <w:rPr>
          <w:rFonts w:hint="eastAsia" w:ascii="黑体" w:hAnsi="黑体" w:eastAsia="黑体" w:cstheme="minorEastAsia"/>
          <w:sz w:val="28"/>
          <w:szCs w:val="28"/>
          <w:highlight w:val="none"/>
        </w:rPr>
        <w:t>作为附件另附</w:t>
      </w:r>
    </w:p>
    <w:p w14:paraId="4F29AEC3">
      <w:pPr>
        <w:spacing w:before="118"/>
        <w:ind w:right="30"/>
        <w:jc w:val="center"/>
        <w:outlineLvl w:val="0"/>
        <w:rPr>
          <w:rFonts w:hint="eastAsia" w:ascii="方正小标宋简体" w:hAnsi="方正小标宋简体" w:eastAsia="方正小标宋简体" w:cs="方正小标宋简体"/>
          <w:sz w:val="40"/>
          <w:szCs w:val="21"/>
          <w:highlight w:val="none"/>
        </w:rPr>
      </w:pPr>
    </w:p>
    <w:p w14:paraId="5C4C3866">
      <w:pPr>
        <w:rPr>
          <w:rFonts w:hint="eastAsia" w:ascii="方正小标宋简体" w:hAnsi="方正小标宋简体" w:eastAsia="方正小标宋简体" w:cs="方正小标宋简体"/>
          <w:sz w:val="40"/>
          <w:szCs w:val="21"/>
          <w:highlight w:val="none"/>
        </w:rPr>
      </w:pPr>
      <w:r>
        <w:rPr>
          <w:rFonts w:hint="eastAsia" w:ascii="方正小标宋简体" w:hAnsi="方正小标宋简体" w:eastAsia="方正小标宋简体" w:cs="方正小标宋简体"/>
          <w:sz w:val="40"/>
          <w:szCs w:val="21"/>
          <w:highlight w:val="none"/>
        </w:rPr>
        <w:br w:type="page"/>
      </w:r>
    </w:p>
    <w:p w14:paraId="0B05FD9F">
      <w:pPr>
        <w:spacing w:before="118"/>
        <w:ind w:right="30"/>
        <w:jc w:val="center"/>
        <w:outlineLvl w:val="0"/>
        <w:rPr>
          <w:rFonts w:ascii="楷体" w:hAnsi="楷体" w:eastAsia="楷体" w:cs="楷体"/>
          <w:sz w:val="40"/>
          <w:szCs w:val="21"/>
          <w:highlight w:val="none"/>
        </w:rPr>
      </w:pPr>
      <w:r>
        <w:rPr>
          <w:rFonts w:hint="eastAsia" w:ascii="方正小标宋简体" w:hAnsi="方正小标宋简体" w:eastAsia="方正小标宋简体" w:cs="方正小标宋简体"/>
          <w:sz w:val="40"/>
          <w:szCs w:val="21"/>
          <w:highlight w:val="none"/>
        </w:rPr>
        <w:t>廉洁诚信协议</w:t>
      </w:r>
    </w:p>
    <w:p w14:paraId="54FA78FB">
      <w:pPr>
        <w:pStyle w:val="13"/>
        <w:spacing w:before="8" w:after="156"/>
        <w:rPr>
          <w:rFonts w:ascii="楷体" w:hAnsi="楷体" w:eastAsia="楷体" w:cs="楷体"/>
          <w:sz w:val="44"/>
          <w:szCs w:val="28"/>
          <w:highlight w:val="none"/>
        </w:rPr>
      </w:pPr>
    </w:p>
    <w:p w14:paraId="44888BCB">
      <w:pPr>
        <w:spacing w:line="607" w:lineRule="auto"/>
        <w:ind w:left="117" w:right="3769"/>
        <w:rPr>
          <w:rFonts w:ascii="楷体" w:hAnsi="楷体" w:eastAsia="楷体" w:cs="楷体"/>
          <w:b/>
          <w:sz w:val="28"/>
          <w:szCs w:val="21"/>
          <w:highlight w:val="none"/>
        </w:rPr>
      </w:pPr>
      <w:r>
        <w:rPr>
          <w:rFonts w:hint="eastAsia" w:ascii="楷体" w:hAnsi="楷体" w:eastAsia="楷体" w:cs="楷体"/>
          <w:b/>
          <w:sz w:val="28"/>
          <w:szCs w:val="21"/>
          <w:highlight w:val="none"/>
        </w:rPr>
        <w:t>甲方：</w:t>
      </w:r>
    </w:p>
    <w:p w14:paraId="37BEA61F">
      <w:pPr>
        <w:spacing w:line="607" w:lineRule="auto"/>
        <w:ind w:left="117" w:right="3769"/>
        <w:rPr>
          <w:rFonts w:ascii="楷体" w:hAnsi="楷体" w:eastAsia="楷体" w:cs="楷体"/>
          <w:b/>
          <w:sz w:val="28"/>
          <w:szCs w:val="21"/>
          <w:highlight w:val="none"/>
        </w:rPr>
      </w:pPr>
      <w:r>
        <w:rPr>
          <w:rFonts w:hint="eastAsia" w:ascii="楷体" w:hAnsi="楷体" w:eastAsia="楷体" w:cs="楷体"/>
          <w:b/>
          <w:sz w:val="28"/>
          <w:szCs w:val="21"/>
          <w:highlight w:val="none"/>
        </w:rPr>
        <w:t>乙方：</w:t>
      </w:r>
    </w:p>
    <w:p w14:paraId="42867910">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ascii="楷体" w:hAnsi="楷体" w:eastAsia="楷体" w:cs="楷体"/>
          <w:spacing w:val="-2"/>
          <w:sz w:val="28"/>
          <w:szCs w:val="28"/>
          <w:highlight w:val="none"/>
        </w:rPr>
        <w:t>,共同加强廉洁自律建设，甲乙双方在平等、自愿、协商一致的原则下，签订本协议。</w:t>
      </w:r>
    </w:p>
    <w:p w14:paraId="67BB40F1">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1.甲乙双方应当共同遵守国家、地方法律法规以及本协议的约定，在合同的订立、履行过程中廉洁自律，绝不弄虚作假、以次充好，虚结虚算。</w:t>
      </w:r>
    </w:p>
    <w:p w14:paraId="21ACC252">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2.乙方声明并承诺甲方人员或其</w:t>
      </w:r>
      <w:r>
        <w:rPr>
          <w:rFonts w:hint="eastAsia" w:ascii="楷体" w:hAnsi="楷体" w:eastAsia="楷体" w:cs="楷体"/>
          <w:spacing w:val="-2"/>
          <w:sz w:val="28"/>
          <w:szCs w:val="28"/>
          <w:highlight w:val="none"/>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rPr>
        <w:t>和其他特定关系人（甲方人员为领导干部的，其他特定关系人包含身边工作人员）</w:t>
      </w:r>
      <w:r>
        <w:rPr>
          <w:rFonts w:ascii="楷体" w:hAnsi="楷体" w:eastAsia="楷体" w:cs="楷体"/>
          <w:spacing w:val="-2"/>
          <w:sz w:val="28"/>
          <w:szCs w:val="28"/>
          <w:highlight w:val="none"/>
        </w:rPr>
        <w:t>没有直接或间接投资乙方或持有乙方股权，没有直接或间接投资乙方关联企业或持有乙方关联企业股权。</w:t>
      </w:r>
    </w:p>
    <w:p w14:paraId="071D31BC">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3.乙方承诺乙方或乙方关联企业股东、实际出资人或持股人、高管、主要业务人员不得与甲方人员或其</w:t>
      </w:r>
      <w:r>
        <w:rPr>
          <w:rFonts w:hint="eastAsia" w:ascii="楷体" w:hAnsi="楷体" w:eastAsia="楷体" w:cs="楷体"/>
          <w:spacing w:val="-2"/>
          <w:sz w:val="28"/>
          <w:szCs w:val="28"/>
          <w:highlight w:val="none"/>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rPr>
        <w:t>和其他特定关系人</w:t>
      </w:r>
      <w:r>
        <w:rPr>
          <w:rFonts w:ascii="楷体" w:hAnsi="楷体" w:eastAsia="楷体" w:cs="楷体"/>
          <w:spacing w:val="-2"/>
          <w:sz w:val="28"/>
          <w:szCs w:val="28"/>
          <w:highlight w:val="none"/>
        </w:rPr>
        <w:t>共同成立公司，不得聘请甲方人员或其</w:t>
      </w:r>
      <w:r>
        <w:rPr>
          <w:rFonts w:hint="eastAsia" w:ascii="楷体" w:hAnsi="楷体" w:eastAsia="楷体" w:cs="楷体"/>
          <w:spacing w:val="-2"/>
          <w:sz w:val="28"/>
          <w:szCs w:val="28"/>
          <w:highlight w:val="none"/>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rPr>
        <w:t>和其他特定关系人</w:t>
      </w:r>
      <w:r>
        <w:rPr>
          <w:rFonts w:ascii="楷体" w:hAnsi="楷体" w:eastAsia="楷体" w:cs="楷体"/>
          <w:spacing w:val="-2"/>
          <w:sz w:val="28"/>
          <w:szCs w:val="28"/>
          <w:highlight w:val="none"/>
        </w:rPr>
        <w:t>在乙方或乙方关联企业股东或实际出资人或高管或主要业务人员成立的企业中担任高管或为其</w:t>
      </w:r>
      <w:r>
        <w:rPr>
          <w:rFonts w:hint="eastAsia" w:ascii="楷体" w:hAnsi="楷体" w:eastAsia="楷体" w:cs="楷体"/>
          <w:spacing w:val="-2"/>
          <w:sz w:val="28"/>
          <w:szCs w:val="28"/>
          <w:highlight w:val="none"/>
        </w:rPr>
        <w:t>违规</w:t>
      </w:r>
      <w:r>
        <w:rPr>
          <w:rFonts w:ascii="楷体" w:hAnsi="楷体" w:eastAsia="楷体" w:cs="楷体"/>
          <w:spacing w:val="-2"/>
          <w:sz w:val="28"/>
          <w:szCs w:val="28"/>
          <w:highlight w:val="none"/>
        </w:rPr>
        <w:t>发放薪酬。</w:t>
      </w:r>
      <w:r>
        <w:rPr>
          <w:rFonts w:hint="eastAsia" w:ascii="楷体" w:hAnsi="楷体" w:eastAsia="楷体" w:cs="楷体"/>
          <w:spacing w:val="-2"/>
          <w:sz w:val="28"/>
          <w:szCs w:val="28"/>
          <w:highlight w:val="none"/>
        </w:rPr>
        <w:t>违规发放薪酬包括不实际工作而获取薪酬或者虽实际工作但领取明显超出同职级标准薪酬。</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rPr>
        <w:t>若乙方为甲方</w:t>
      </w:r>
      <w:r>
        <w:rPr>
          <w:rFonts w:ascii="楷体" w:hAnsi="楷体" w:eastAsia="楷体" w:cs="楷体"/>
          <w:spacing w:val="-2"/>
          <w:sz w:val="28"/>
          <w:szCs w:val="28"/>
          <w:highlight w:val="none"/>
        </w:rPr>
        <w:t>新</w:t>
      </w:r>
      <w:r>
        <w:rPr>
          <w:rFonts w:hint="eastAsia" w:ascii="楷体" w:hAnsi="楷体" w:eastAsia="楷体" w:cs="楷体"/>
          <w:spacing w:val="-2"/>
          <w:sz w:val="28"/>
          <w:szCs w:val="28"/>
          <w:highlight w:val="none"/>
        </w:rPr>
        <w:t>合作伙伴</w:t>
      </w:r>
      <w:r>
        <w:rPr>
          <w:rFonts w:ascii="楷体" w:hAnsi="楷体" w:eastAsia="楷体" w:cs="楷体"/>
          <w:spacing w:val="-2"/>
          <w:sz w:val="28"/>
          <w:szCs w:val="28"/>
          <w:highlight w:val="none"/>
        </w:rPr>
        <w:t>，如在本协议签订前乙方存在本条规定情形的，需在本协议签订后30日内，将相关情况报</w:t>
      </w:r>
      <w:r>
        <w:rPr>
          <w:rFonts w:hint="eastAsia" w:ascii="楷体" w:hAnsi="楷体" w:eastAsia="楷体" w:cs="楷体"/>
          <w:spacing w:val="-2"/>
          <w:sz w:val="28"/>
          <w:szCs w:val="28"/>
          <w:highlight w:val="none"/>
        </w:rPr>
        <w:t>甲方所属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rPr>
        <w:t>的</w:t>
      </w:r>
      <w:r>
        <w:rPr>
          <w:rFonts w:ascii="楷体" w:hAnsi="楷体" w:eastAsia="楷体" w:cs="楷体"/>
          <w:spacing w:val="-2"/>
          <w:sz w:val="28"/>
          <w:szCs w:val="28"/>
          <w:highlight w:val="none"/>
        </w:rPr>
        <w:t>纪委监察部</w:t>
      </w:r>
      <w:r>
        <w:rPr>
          <w:rFonts w:hint="eastAsia" w:ascii="楷体" w:hAnsi="楷体" w:eastAsia="楷体" w:cs="楷体"/>
          <w:spacing w:val="-2"/>
          <w:sz w:val="28"/>
          <w:szCs w:val="28"/>
          <w:highlight w:val="none"/>
        </w:rPr>
        <w:t>门</w:t>
      </w:r>
      <w:r>
        <w:rPr>
          <w:rFonts w:ascii="楷体" w:hAnsi="楷体" w:eastAsia="楷体" w:cs="楷体"/>
          <w:spacing w:val="-2"/>
          <w:sz w:val="28"/>
          <w:szCs w:val="28"/>
          <w:highlight w:val="none"/>
        </w:rPr>
        <w:t>备案）。</w:t>
      </w:r>
    </w:p>
    <w:p w14:paraId="3DEA930C">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4.乙方承诺依法开展经营活动，不得有任何形式的商业贿赂行为。乙方一经发现其员工或其</w:t>
      </w:r>
      <w:r>
        <w:rPr>
          <w:rFonts w:hint="eastAsia" w:ascii="楷体" w:hAnsi="楷体" w:eastAsia="楷体" w:cs="楷体"/>
          <w:spacing w:val="-2"/>
          <w:sz w:val="28"/>
          <w:szCs w:val="28"/>
          <w:highlight w:val="none"/>
        </w:rPr>
        <w:t>配偶、子女及其配偶等亲属和其他特定关系人</w:t>
      </w:r>
      <w:r>
        <w:rPr>
          <w:rFonts w:ascii="楷体" w:hAnsi="楷体" w:eastAsia="楷体" w:cs="楷体"/>
          <w:spacing w:val="-2"/>
          <w:sz w:val="28"/>
          <w:szCs w:val="28"/>
          <w:highlight w:val="none"/>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highlight w:val="none"/>
        </w:rPr>
        <w:t>已</w:t>
      </w:r>
      <w:r>
        <w:rPr>
          <w:rFonts w:ascii="楷体" w:hAnsi="楷体" w:eastAsia="楷体" w:cs="楷体"/>
          <w:spacing w:val="-2"/>
          <w:sz w:val="28"/>
          <w:szCs w:val="28"/>
          <w:highlight w:val="none"/>
        </w:rPr>
        <w:t>签订的</w:t>
      </w:r>
      <w:r>
        <w:rPr>
          <w:rFonts w:hint="eastAsia" w:ascii="楷体" w:hAnsi="楷体" w:eastAsia="楷体" w:cs="楷体"/>
          <w:spacing w:val="-2"/>
          <w:sz w:val="28"/>
          <w:szCs w:val="28"/>
          <w:highlight w:val="none"/>
        </w:rPr>
        <w:t>所有合同</w:t>
      </w:r>
      <w:r>
        <w:rPr>
          <w:rFonts w:ascii="楷体" w:hAnsi="楷体" w:eastAsia="楷体" w:cs="楷体"/>
          <w:spacing w:val="-2"/>
          <w:sz w:val="28"/>
          <w:szCs w:val="28"/>
          <w:highlight w:val="none"/>
        </w:rPr>
        <w:t>协议，并要求乙方赔偿。</w:t>
      </w:r>
    </w:p>
    <w:p w14:paraId="1C67182F">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5.乙方承诺不以任何理由为甲方人员及其</w:t>
      </w:r>
      <w:r>
        <w:rPr>
          <w:rFonts w:hint="eastAsia" w:ascii="楷体" w:hAnsi="楷体" w:eastAsia="楷体" w:cs="楷体"/>
          <w:spacing w:val="-2"/>
          <w:sz w:val="28"/>
          <w:szCs w:val="28"/>
          <w:highlight w:val="none"/>
        </w:rPr>
        <w:t>配偶、子女及其配偶等亲属和其他特定关系人提供如下：</w:t>
      </w:r>
    </w:p>
    <w:p w14:paraId="44106D3B">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a)</w:t>
      </w:r>
      <w:r>
        <w:rPr>
          <w:rFonts w:ascii="楷体" w:hAnsi="楷体" w:eastAsia="楷体" w:cs="楷体"/>
          <w:spacing w:val="-2"/>
          <w:sz w:val="28"/>
          <w:szCs w:val="28"/>
          <w:highlight w:val="none"/>
        </w:rPr>
        <w:t>赠送</w:t>
      </w:r>
      <w:r>
        <w:rPr>
          <w:rFonts w:hint="eastAsia" w:ascii="楷体" w:hAnsi="楷体" w:eastAsia="楷体" w:cs="楷体"/>
          <w:spacing w:val="-2"/>
          <w:sz w:val="28"/>
          <w:szCs w:val="28"/>
          <w:highlight w:val="none"/>
        </w:rPr>
        <w:t>礼品、</w:t>
      </w:r>
      <w:r>
        <w:rPr>
          <w:rFonts w:ascii="楷体" w:hAnsi="楷体" w:eastAsia="楷体" w:cs="楷体"/>
          <w:spacing w:val="-2"/>
          <w:sz w:val="28"/>
          <w:szCs w:val="28"/>
          <w:highlight w:val="none"/>
        </w:rPr>
        <w:t>礼金、</w:t>
      </w:r>
      <w:r>
        <w:rPr>
          <w:rFonts w:hint="eastAsia" w:ascii="楷体" w:hAnsi="楷体" w:eastAsia="楷体" w:cs="楷体"/>
          <w:spacing w:val="-2"/>
          <w:sz w:val="28"/>
          <w:szCs w:val="28"/>
          <w:highlight w:val="none"/>
        </w:rPr>
        <w:t>消费卡（券）、</w:t>
      </w:r>
      <w:r>
        <w:rPr>
          <w:rFonts w:ascii="楷体" w:hAnsi="楷体" w:eastAsia="楷体" w:cs="楷体"/>
          <w:spacing w:val="-2"/>
          <w:sz w:val="28"/>
          <w:szCs w:val="28"/>
          <w:highlight w:val="none"/>
        </w:rPr>
        <w:t>购物卡、充值卡、信用卡</w:t>
      </w:r>
      <w:r>
        <w:rPr>
          <w:rFonts w:hint="eastAsia" w:ascii="楷体" w:hAnsi="楷体" w:eastAsia="楷体" w:cs="楷体"/>
          <w:spacing w:val="-2"/>
          <w:sz w:val="28"/>
          <w:szCs w:val="28"/>
          <w:highlight w:val="none"/>
        </w:rPr>
        <w:t>和</w:t>
      </w:r>
      <w:r>
        <w:rPr>
          <w:rFonts w:ascii="楷体" w:hAnsi="楷体" w:eastAsia="楷体" w:cs="楷体"/>
          <w:spacing w:val="-2"/>
          <w:sz w:val="28"/>
          <w:szCs w:val="28"/>
          <w:highlight w:val="none"/>
        </w:rPr>
        <w:t>有价证券</w:t>
      </w:r>
      <w:r>
        <w:rPr>
          <w:rFonts w:hint="eastAsia" w:ascii="楷体" w:hAnsi="楷体" w:eastAsia="楷体" w:cs="楷体"/>
          <w:spacing w:val="-2"/>
          <w:sz w:val="28"/>
          <w:szCs w:val="28"/>
          <w:highlight w:val="none"/>
        </w:rPr>
        <w:t>、股权、其他金融产品等财物</w:t>
      </w:r>
      <w:r>
        <w:rPr>
          <w:rFonts w:ascii="楷体" w:hAnsi="楷体" w:eastAsia="楷体" w:cs="楷体"/>
          <w:spacing w:val="-2"/>
          <w:sz w:val="28"/>
          <w:szCs w:val="28"/>
          <w:highlight w:val="none"/>
        </w:rPr>
        <w:t>和其他贵重物品；</w:t>
      </w:r>
    </w:p>
    <w:p w14:paraId="3323C5BE">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b)</w:t>
      </w:r>
      <w:r>
        <w:rPr>
          <w:rFonts w:ascii="楷体" w:hAnsi="楷体" w:eastAsia="楷体" w:cs="楷体"/>
          <w:spacing w:val="-2"/>
          <w:sz w:val="28"/>
          <w:szCs w:val="28"/>
          <w:highlight w:val="none"/>
        </w:rPr>
        <w:t>报销个人费用</w:t>
      </w:r>
      <w:r>
        <w:rPr>
          <w:rFonts w:hint="eastAsia" w:ascii="楷体" w:hAnsi="楷体" w:eastAsia="楷体" w:cs="楷体"/>
          <w:spacing w:val="-2"/>
          <w:sz w:val="28"/>
          <w:szCs w:val="28"/>
          <w:highlight w:val="none"/>
        </w:rPr>
        <w:t>或以讲课费、课题费、咨询费等名义支付费用</w:t>
      </w:r>
      <w:r>
        <w:rPr>
          <w:rFonts w:ascii="楷体" w:hAnsi="楷体" w:eastAsia="楷体" w:cs="楷体"/>
          <w:spacing w:val="-2"/>
          <w:sz w:val="28"/>
          <w:szCs w:val="28"/>
          <w:highlight w:val="none"/>
        </w:rPr>
        <w:t>；</w:t>
      </w:r>
    </w:p>
    <w:p w14:paraId="0272CF55">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c)</w:t>
      </w:r>
      <w:r>
        <w:rPr>
          <w:rFonts w:ascii="楷体" w:hAnsi="楷体" w:eastAsia="楷体" w:cs="楷体"/>
          <w:spacing w:val="-2"/>
          <w:sz w:val="28"/>
          <w:szCs w:val="28"/>
          <w:highlight w:val="none"/>
        </w:rPr>
        <w:t>以洽谈业务、签订合同等为借口宴请或邀请外出旅游</w:t>
      </w:r>
      <w:r>
        <w:rPr>
          <w:rFonts w:hint="eastAsia" w:ascii="楷体" w:hAnsi="楷体" w:eastAsia="楷体" w:cs="楷体"/>
          <w:spacing w:val="-2"/>
          <w:sz w:val="28"/>
          <w:szCs w:val="28"/>
          <w:highlight w:val="none"/>
        </w:rPr>
        <w:t>、健身、娱乐</w:t>
      </w:r>
      <w:r>
        <w:rPr>
          <w:rFonts w:ascii="楷体" w:hAnsi="楷体" w:eastAsia="楷体" w:cs="楷体"/>
          <w:spacing w:val="-2"/>
          <w:sz w:val="28"/>
          <w:szCs w:val="28"/>
          <w:highlight w:val="none"/>
        </w:rPr>
        <w:t>和进入营业性娱乐场所；</w:t>
      </w:r>
    </w:p>
    <w:p w14:paraId="16750AC2">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d)</w:t>
      </w:r>
      <w:r>
        <w:rPr>
          <w:rFonts w:ascii="楷体" w:hAnsi="楷体" w:eastAsia="楷体" w:cs="楷体"/>
          <w:spacing w:val="-2"/>
          <w:sz w:val="28"/>
          <w:szCs w:val="28"/>
          <w:highlight w:val="none"/>
        </w:rPr>
        <w:t>购置或提供通讯、交通工具</w:t>
      </w:r>
      <w:r>
        <w:rPr>
          <w:rFonts w:hint="eastAsia" w:ascii="楷体" w:hAnsi="楷体" w:eastAsia="楷体" w:cs="楷体"/>
          <w:spacing w:val="-2"/>
          <w:sz w:val="28"/>
          <w:szCs w:val="28"/>
          <w:highlight w:val="none"/>
        </w:rPr>
        <w:t>、钱款、住房、车辆等或提供通过民间借贷等金融助其获得大额回报</w:t>
      </w:r>
      <w:r>
        <w:rPr>
          <w:rFonts w:ascii="楷体" w:hAnsi="楷体" w:eastAsia="楷体" w:cs="楷体"/>
          <w:spacing w:val="-2"/>
          <w:sz w:val="28"/>
          <w:szCs w:val="28"/>
          <w:highlight w:val="none"/>
        </w:rPr>
        <w:t>；</w:t>
      </w:r>
    </w:p>
    <w:p w14:paraId="0CF38E6A">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e)</w:t>
      </w:r>
      <w:r>
        <w:rPr>
          <w:rFonts w:ascii="楷体" w:hAnsi="楷体" w:eastAsia="楷体" w:cs="楷体"/>
          <w:spacing w:val="-2"/>
          <w:sz w:val="28"/>
          <w:szCs w:val="28"/>
          <w:highlight w:val="none"/>
        </w:rPr>
        <w:t>住房装修、婚丧嫁娶、家属和子女的工作安排以及出国等提供任何金钱或非金钱方式的资助或帮助</w:t>
      </w:r>
      <w:r>
        <w:rPr>
          <w:rFonts w:hint="eastAsia" w:ascii="楷体" w:hAnsi="楷体" w:eastAsia="楷体" w:cs="楷体"/>
          <w:spacing w:val="-2"/>
          <w:sz w:val="28"/>
          <w:szCs w:val="28"/>
          <w:highlight w:val="none"/>
        </w:rPr>
        <w:t>；</w:t>
      </w:r>
    </w:p>
    <w:p w14:paraId="3D3D8EB3">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f)吸收存款、推销金融产品、经营名贵特产类资源等提供帮助谋取利益；</w:t>
      </w:r>
    </w:p>
    <w:p w14:paraId="721F4885">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g)其他可能影响甲方人员公平、公正的履行职权或者履行职责的情形</w:t>
      </w:r>
      <w:r>
        <w:rPr>
          <w:rFonts w:ascii="楷体" w:hAnsi="楷体" w:eastAsia="楷体" w:cs="楷体"/>
          <w:spacing w:val="-2"/>
          <w:sz w:val="28"/>
          <w:szCs w:val="28"/>
          <w:highlight w:val="none"/>
        </w:rPr>
        <w:t>。</w:t>
      </w:r>
    </w:p>
    <w:p w14:paraId="66D0EB03">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6.乙方应当通过正常途径开展相关业务，决不为谋取不正当利益诱使甲方人员就</w:t>
      </w:r>
      <w:r>
        <w:rPr>
          <w:rFonts w:hint="eastAsia" w:ascii="楷体" w:hAnsi="楷体" w:eastAsia="楷体" w:cs="楷体"/>
          <w:spacing w:val="-2"/>
          <w:sz w:val="28"/>
          <w:szCs w:val="28"/>
          <w:highlight w:val="none"/>
        </w:rPr>
        <w:t>采购、服务或销售、经销的物项种类</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rPr>
        <w:t>物项</w:t>
      </w:r>
      <w:r>
        <w:rPr>
          <w:rFonts w:ascii="楷体" w:hAnsi="楷体" w:eastAsia="楷体" w:cs="楷体"/>
          <w:spacing w:val="-2"/>
          <w:sz w:val="28"/>
          <w:szCs w:val="28"/>
          <w:highlight w:val="none"/>
        </w:rPr>
        <w:t>数量、价格</w:t>
      </w:r>
      <w:r>
        <w:rPr>
          <w:rFonts w:hint="eastAsia" w:ascii="楷体" w:hAnsi="楷体" w:eastAsia="楷体" w:cs="楷体"/>
          <w:spacing w:val="-2"/>
          <w:sz w:val="28"/>
          <w:szCs w:val="28"/>
          <w:highlight w:val="none"/>
        </w:rPr>
        <w:t>条件</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rPr>
        <w:t>付款条件、</w:t>
      </w:r>
      <w:r>
        <w:rPr>
          <w:rFonts w:ascii="楷体" w:hAnsi="楷体" w:eastAsia="楷体" w:cs="楷体"/>
          <w:spacing w:val="-2"/>
          <w:sz w:val="28"/>
          <w:szCs w:val="28"/>
          <w:highlight w:val="none"/>
        </w:rPr>
        <w:t>质量问题处理等方面私下商谈或达成默契</w:t>
      </w:r>
      <w:r>
        <w:rPr>
          <w:rFonts w:hint="eastAsia" w:ascii="楷体" w:hAnsi="楷体" w:eastAsia="楷体" w:cs="楷体"/>
          <w:spacing w:val="-2"/>
          <w:sz w:val="28"/>
          <w:szCs w:val="28"/>
          <w:highlight w:val="none"/>
        </w:rPr>
        <w:t>；</w:t>
      </w:r>
      <w:r>
        <w:rPr>
          <w:rFonts w:ascii="楷体" w:hAnsi="楷体" w:eastAsia="楷体" w:cs="楷体"/>
          <w:spacing w:val="-2"/>
          <w:sz w:val="28"/>
          <w:szCs w:val="28"/>
          <w:highlight w:val="none"/>
        </w:rPr>
        <w:t>决不以任何方式诱使甲方人员接受或共同编造虚假议价及质量资料、影响交易价格或交易之达成、违背职务、将合同权利义务转让给第三方及其它损害甲方利益的行为。</w:t>
      </w:r>
    </w:p>
    <w:p w14:paraId="4B488DBC">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7.若乙方发现甲方人员或其</w:t>
      </w:r>
      <w:r>
        <w:rPr>
          <w:rFonts w:hint="eastAsia" w:ascii="楷体" w:hAnsi="楷体" w:eastAsia="楷体" w:cs="楷体"/>
          <w:spacing w:val="-2"/>
          <w:sz w:val="28"/>
          <w:szCs w:val="28"/>
          <w:highlight w:val="none"/>
        </w:rPr>
        <w:t>配偶、子女及其配偶等亲属和其他特定关系人</w:t>
      </w:r>
      <w:r>
        <w:rPr>
          <w:rFonts w:ascii="楷体" w:hAnsi="楷体" w:eastAsia="楷体" w:cs="楷体"/>
          <w:spacing w:val="-2"/>
          <w:sz w:val="28"/>
          <w:szCs w:val="28"/>
          <w:highlight w:val="none"/>
        </w:rPr>
        <w:t>有任何形式的索贿受贿行为，乙方有责任向甲方</w:t>
      </w:r>
      <w:r>
        <w:rPr>
          <w:rFonts w:hint="eastAsia" w:ascii="楷体" w:hAnsi="楷体" w:eastAsia="楷体" w:cs="楷体"/>
          <w:spacing w:val="-2"/>
          <w:sz w:val="28"/>
          <w:szCs w:val="28"/>
          <w:highlight w:val="none"/>
        </w:rPr>
        <w:t>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rPr>
        <w:t>的</w:t>
      </w:r>
      <w:r>
        <w:rPr>
          <w:rFonts w:ascii="楷体" w:hAnsi="楷体" w:eastAsia="楷体" w:cs="楷体"/>
          <w:spacing w:val="-2"/>
          <w:sz w:val="28"/>
          <w:szCs w:val="28"/>
          <w:highlight w:val="none"/>
        </w:rPr>
        <w:t>纪委监察部门举报（举报电话：0531-58062233，举报邮箱：jianchabu@sinotruk.com）。甲方不得</w:t>
      </w:r>
      <w:r>
        <w:rPr>
          <w:rFonts w:hint="eastAsia" w:ascii="楷体" w:hAnsi="楷体" w:eastAsia="楷体" w:cs="楷体"/>
          <w:spacing w:val="-2"/>
          <w:sz w:val="28"/>
          <w:szCs w:val="28"/>
          <w:highlight w:val="none"/>
        </w:rPr>
        <w:t>以</w:t>
      </w:r>
      <w:r>
        <w:rPr>
          <w:rFonts w:ascii="楷体" w:hAnsi="楷体" w:eastAsia="楷体" w:cs="楷体"/>
          <w:spacing w:val="-2"/>
          <w:sz w:val="28"/>
          <w:szCs w:val="28"/>
          <w:highlight w:val="none"/>
        </w:rPr>
        <w:t>任何借口对乙方进行报复。对举报属实和严格遵守廉洁协议的乙方，在同等条件下甲方优先考虑与乙方继续合作并给予更优惠的商务合作条件。</w:t>
      </w:r>
    </w:p>
    <w:p w14:paraId="10B38BEE">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8.若乙方知悉其它与甲方合作的供应商</w:t>
      </w:r>
      <w:r>
        <w:rPr>
          <w:rFonts w:hint="eastAsia" w:ascii="楷体" w:hAnsi="楷体" w:eastAsia="楷体" w:cs="楷体"/>
          <w:spacing w:val="-2"/>
          <w:sz w:val="28"/>
          <w:szCs w:val="28"/>
          <w:highlight w:val="none"/>
        </w:rPr>
        <w:t>、服务商或采购商、经销商等合作伙伴</w:t>
      </w:r>
      <w:r>
        <w:rPr>
          <w:rFonts w:ascii="楷体" w:hAnsi="楷体" w:eastAsia="楷体" w:cs="楷体"/>
          <w:spacing w:val="-2"/>
          <w:sz w:val="28"/>
          <w:szCs w:val="28"/>
          <w:highlight w:val="none"/>
        </w:rPr>
        <w:t>存在违反本协议规定之行为，乙方应向甲方</w:t>
      </w:r>
      <w:r>
        <w:rPr>
          <w:rFonts w:hint="eastAsia" w:ascii="楷体" w:hAnsi="楷体" w:eastAsia="楷体" w:cs="楷体"/>
          <w:spacing w:val="-2"/>
          <w:sz w:val="28"/>
          <w:szCs w:val="28"/>
          <w:highlight w:val="none"/>
        </w:rPr>
        <w:t>或</w:t>
      </w:r>
      <w:r>
        <w:rPr>
          <w:rFonts w:ascii="楷体" w:hAnsi="楷体" w:eastAsia="楷体" w:cs="楷体"/>
          <w:spacing w:val="-2"/>
          <w:sz w:val="28"/>
          <w:szCs w:val="28"/>
          <w:highlight w:val="none"/>
        </w:rPr>
        <w:t>甲方</w:t>
      </w:r>
      <w:r>
        <w:rPr>
          <w:rFonts w:hint="eastAsia" w:ascii="楷体" w:hAnsi="楷体" w:eastAsia="楷体" w:cs="楷体"/>
          <w:spacing w:val="-2"/>
          <w:sz w:val="28"/>
          <w:szCs w:val="28"/>
          <w:highlight w:val="none"/>
        </w:rPr>
        <w:t>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rPr>
        <w:t>的</w:t>
      </w:r>
      <w:r>
        <w:rPr>
          <w:rFonts w:ascii="楷体" w:hAnsi="楷体" w:eastAsia="楷体" w:cs="楷体"/>
          <w:spacing w:val="-2"/>
          <w:sz w:val="28"/>
          <w:szCs w:val="28"/>
          <w:highlight w:val="none"/>
        </w:rPr>
        <w:t>纪委监察部门检举并提供证据。</w:t>
      </w:r>
    </w:p>
    <w:p w14:paraId="7EA5D539">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9.乙方承诺在双方业务往来期间，不得对甲方人员采取任何手段使其离开甲方到乙方或乙方关联企业任职，若出现上述情况，则属于乙方违约，应承担给甲方造成的一切损失。</w:t>
      </w:r>
    </w:p>
    <w:p w14:paraId="4CD63F59">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10.乙方承诺不聘任甲方内退领导干部或其他人员在乙方或乙方关联企业工作；乙方承诺不聘任甲方离职或退休三年内的领导干部或其他人员在乙方或乙方关联企业工作。</w:t>
      </w:r>
    </w:p>
    <w:p w14:paraId="273A259C">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7984B4DB">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highlight w:val="none"/>
        </w:rPr>
        <w:t>等</w:t>
      </w:r>
      <w:r>
        <w:rPr>
          <w:rFonts w:ascii="楷体" w:hAnsi="楷体" w:eastAsia="楷体" w:cs="楷体"/>
          <w:spacing w:val="-2"/>
          <w:sz w:val="28"/>
          <w:szCs w:val="28"/>
          <w:highlight w:val="none"/>
        </w:rPr>
        <w:t>能够对其实际支配的企业或单位。</w:t>
      </w:r>
    </w:p>
    <w:p w14:paraId="67313577">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7B9B57B9">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3EC4A284">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39A4092A">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14.本协议作为执行</w:t>
      </w:r>
      <w:r>
        <w:rPr>
          <w:rFonts w:hint="eastAsia" w:ascii="楷体" w:hAnsi="楷体" w:eastAsia="楷体" w:cs="楷体"/>
          <w:spacing w:val="-2"/>
          <w:sz w:val="28"/>
          <w:szCs w:val="28"/>
          <w:highlight w:val="none"/>
        </w:rPr>
        <w:t>甲乙双方</w:t>
      </w:r>
      <w:r>
        <w:rPr>
          <w:rFonts w:ascii="楷体" w:hAnsi="楷体" w:eastAsia="楷体" w:cs="楷体"/>
          <w:spacing w:val="-2"/>
          <w:sz w:val="28"/>
          <w:szCs w:val="28"/>
          <w:highlight w:val="none"/>
        </w:rPr>
        <w:t>采购协议</w:t>
      </w:r>
      <w:r>
        <w:rPr>
          <w:rFonts w:hint="eastAsia" w:ascii="楷体" w:hAnsi="楷体" w:eastAsia="楷体" w:cs="楷体"/>
          <w:spacing w:val="-2"/>
          <w:sz w:val="28"/>
          <w:szCs w:val="28"/>
          <w:highlight w:val="none"/>
        </w:rPr>
        <w:t>或其他合作合同、协议</w:t>
      </w:r>
      <w:r>
        <w:rPr>
          <w:rFonts w:ascii="楷体" w:hAnsi="楷体" w:eastAsia="楷体" w:cs="楷体"/>
          <w:spacing w:val="-2"/>
          <w:sz w:val="28"/>
          <w:szCs w:val="28"/>
          <w:highlight w:val="none"/>
        </w:rPr>
        <w:t>的附件，自双方签署之日起生效，此协议在</w:t>
      </w:r>
      <w:r>
        <w:rPr>
          <w:rFonts w:hint="eastAsia" w:ascii="楷体" w:hAnsi="楷体" w:eastAsia="楷体" w:cs="楷体"/>
          <w:spacing w:val="-2"/>
          <w:sz w:val="28"/>
          <w:szCs w:val="28"/>
          <w:highlight w:val="none"/>
        </w:rPr>
        <w:t>甲乙</w:t>
      </w:r>
      <w:r>
        <w:rPr>
          <w:rFonts w:ascii="楷体" w:hAnsi="楷体" w:eastAsia="楷体" w:cs="楷体"/>
          <w:spacing w:val="-2"/>
          <w:sz w:val="28"/>
          <w:szCs w:val="28"/>
          <w:highlight w:val="none"/>
        </w:rPr>
        <w:t>双方</w:t>
      </w:r>
      <w:r>
        <w:rPr>
          <w:rFonts w:hint="eastAsia" w:ascii="楷体" w:hAnsi="楷体" w:eastAsia="楷体" w:cs="楷体"/>
          <w:spacing w:val="-2"/>
          <w:sz w:val="28"/>
          <w:szCs w:val="28"/>
          <w:highlight w:val="none"/>
        </w:rPr>
        <w:t>业务</w:t>
      </w:r>
      <w:r>
        <w:rPr>
          <w:rFonts w:ascii="楷体" w:hAnsi="楷体" w:eastAsia="楷体" w:cs="楷体"/>
          <w:spacing w:val="-2"/>
          <w:sz w:val="28"/>
          <w:szCs w:val="28"/>
          <w:highlight w:val="none"/>
        </w:rPr>
        <w:t>合作期间有效</w:t>
      </w:r>
      <w:r>
        <w:rPr>
          <w:rFonts w:hint="eastAsia" w:ascii="楷体" w:hAnsi="楷体" w:eastAsia="楷体" w:cs="楷体"/>
          <w:spacing w:val="-2"/>
          <w:sz w:val="28"/>
          <w:szCs w:val="28"/>
          <w:highlight w:val="none"/>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793DF459">
      <w:pPr>
        <w:pStyle w:val="131"/>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w:t>
      </w:r>
      <w:r>
        <w:rPr>
          <w:rFonts w:hint="eastAsia" w:ascii="楷体" w:hAnsi="楷体" w:eastAsia="楷体" w:cs="楷体"/>
          <w:spacing w:val="-2"/>
          <w:sz w:val="28"/>
          <w:szCs w:val="28"/>
          <w:highlight w:val="none"/>
        </w:rPr>
        <w:t>5</w:t>
      </w:r>
      <w:r>
        <w:rPr>
          <w:rFonts w:ascii="楷体" w:hAnsi="楷体" w:eastAsia="楷体" w:cs="楷体"/>
          <w:spacing w:val="-2"/>
          <w:sz w:val="28"/>
          <w:szCs w:val="28"/>
          <w:highlight w:val="none"/>
        </w:rPr>
        <w:t>.本协议一式二份，双方各执一份，具有同等法律效力。若产生争议，双方协商解决，协商不成的在甲方所在地有管辖权的法院诉讼解决。</w:t>
      </w:r>
    </w:p>
    <w:p w14:paraId="69A30349">
      <w:pPr>
        <w:pStyle w:val="13"/>
        <w:spacing w:before="9" w:after="156"/>
        <w:rPr>
          <w:rFonts w:ascii="楷体" w:hAnsi="楷体" w:eastAsia="楷体" w:cs="楷体"/>
          <w:sz w:val="40"/>
          <w:szCs w:val="28"/>
          <w:highlight w:val="none"/>
        </w:rPr>
      </w:pPr>
    </w:p>
    <w:p w14:paraId="476DFA94">
      <w:pPr>
        <w:tabs>
          <w:tab w:val="left" w:pos="5457"/>
        </w:tabs>
        <w:spacing w:before="1"/>
        <w:ind w:left="117"/>
        <w:rPr>
          <w:rFonts w:ascii="楷体" w:hAnsi="楷体" w:eastAsia="楷体" w:cs="楷体"/>
          <w:b/>
          <w:sz w:val="24"/>
          <w:szCs w:val="21"/>
          <w:highlight w:val="none"/>
        </w:rPr>
      </w:pPr>
      <w:r>
        <w:rPr>
          <w:rFonts w:hint="eastAsia" w:ascii="楷体" w:hAnsi="楷体" w:eastAsia="楷体" w:cs="楷体"/>
          <w:b/>
          <w:spacing w:val="-1"/>
          <w:w w:val="99"/>
          <w:sz w:val="24"/>
          <w:szCs w:val="21"/>
          <w:highlight w:val="none"/>
        </w:rPr>
        <w:t>甲方（盖章</w:t>
      </w:r>
      <w:r>
        <w:rPr>
          <w:rFonts w:hint="eastAsia" w:ascii="楷体" w:hAnsi="楷体" w:eastAsia="楷体" w:cs="楷体"/>
          <w:b/>
          <w:spacing w:val="-140"/>
          <w:w w:val="99"/>
          <w:sz w:val="24"/>
          <w:szCs w:val="21"/>
          <w:highlight w:val="none"/>
        </w:rPr>
        <w:t>）</w:t>
      </w:r>
      <w:r>
        <w:rPr>
          <w:rFonts w:hint="eastAsia" w:ascii="楷体" w:hAnsi="楷体" w:eastAsia="楷体" w:cs="楷体"/>
          <w:b/>
          <w:w w:val="99"/>
          <w:sz w:val="24"/>
          <w:szCs w:val="21"/>
          <w:highlight w:val="none"/>
        </w:rPr>
        <w:t>：</w:t>
      </w:r>
      <w:r>
        <w:rPr>
          <w:rFonts w:hint="eastAsia" w:ascii="楷体" w:hAnsi="楷体" w:eastAsia="楷体" w:cs="楷体"/>
          <w:b/>
          <w:sz w:val="24"/>
          <w:szCs w:val="21"/>
          <w:highlight w:val="none"/>
        </w:rPr>
        <w:tab/>
      </w:r>
      <w:r>
        <w:rPr>
          <w:rFonts w:hint="eastAsia" w:ascii="楷体" w:hAnsi="楷体" w:eastAsia="楷体" w:cs="楷体"/>
          <w:b/>
          <w:spacing w:val="-1"/>
          <w:w w:val="99"/>
          <w:sz w:val="24"/>
          <w:szCs w:val="21"/>
          <w:highlight w:val="none"/>
        </w:rPr>
        <w:t>乙方（盖</w:t>
      </w:r>
      <w:r>
        <w:rPr>
          <w:rFonts w:hint="eastAsia" w:ascii="楷体" w:hAnsi="楷体" w:eastAsia="楷体" w:cs="楷体"/>
          <w:b/>
          <w:spacing w:val="2"/>
          <w:w w:val="99"/>
          <w:sz w:val="24"/>
          <w:szCs w:val="21"/>
          <w:highlight w:val="none"/>
        </w:rPr>
        <w:t>章</w:t>
      </w:r>
      <w:r>
        <w:rPr>
          <w:rFonts w:hint="eastAsia" w:ascii="楷体" w:hAnsi="楷体" w:eastAsia="楷体" w:cs="楷体"/>
          <w:b/>
          <w:spacing w:val="-142"/>
          <w:w w:val="99"/>
          <w:sz w:val="24"/>
          <w:szCs w:val="21"/>
          <w:highlight w:val="none"/>
        </w:rPr>
        <w:t>）</w:t>
      </w:r>
      <w:r>
        <w:rPr>
          <w:rFonts w:hint="eastAsia" w:ascii="楷体" w:hAnsi="楷体" w:eastAsia="楷体" w:cs="楷体"/>
          <w:b/>
          <w:w w:val="99"/>
          <w:sz w:val="24"/>
          <w:szCs w:val="21"/>
          <w:highlight w:val="none"/>
        </w:rPr>
        <w:t>：</w:t>
      </w:r>
    </w:p>
    <w:p w14:paraId="230C8FA1">
      <w:pPr>
        <w:pStyle w:val="13"/>
        <w:spacing w:after="156"/>
        <w:rPr>
          <w:rFonts w:ascii="楷体" w:hAnsi="楷体" w:eastAsia="楷体" w:cs="楷体"/>
          <w:b/>
          <w:sz w:val="24"/>
          <w:szCs w:val="28"/>
          <w:highlight w:val="none"/>
        </w:rPr>
      </w:pPr>
    </w:p>
    <w:p w14:paraId="70A2B65A">
      <w:pPr>
        <w:pStyle w:val="13"/>
        <w:spacing w:before="1" w:after="156"/>
        <w:rPr>
          <w:rFonts w:ascii="楷体" w:hAnsi="楷体" w:eastAsia="楷体" w:cs="楷体"/>
          <w:b/>
          <w:sz w:val="24"/>
          <w:szCs w:val="28"/>
          <w:highlight w:val="none"/>
        </w:rPr>
      </w:pPr>
    </w:p>
    <w:p w14:paraId="7D48E754">
      <w:pPr>
        <w:tabs>
          <w:tab w:val="left" w:pos="5457"/>
        </w:tabs>
        <w:ind w:left="117"/>
        <w:rPr>
          <w:rFonts w:ascii="楷体" w:hAnsi="楷体" w:eastAsia="楷体" w:cs="楷体"/>
          <w:b/>
          <w:sz w:val="24"/>
          <w:szCs w:val="21"/>
          <w:highlight w:val="none"/>
        </w:rPr>
      </w:pPr>
      <w:r>
        <w:rPr>
          <w:rFonts w:hint="eastAsia" w:ascii="楷体" w:hAnsi="楷体" w:eastAsia="楷体" w:cs="楷体"/>
          <w:b/>
          <w:sz w:val="24"/>
          <w:szCs w:val="21"/>
          <w:highlight w:val="none"/>
        </w:rPr>
        <w:t>法定代表/授权代表</w:t>
      </w:r>
      <w:r>
        <w:rPr>
          <w:rFonts w:hint="eastAsia" w:ascii="楷体" w:hAnsi="楷体" w:eastAsia="楷体" w:cs="楷体"/>
          <w:b/>
          <w:sz w:val="24"/>
          <w:szCs w:val="21"/>
          <w:highlight w:val="none"/>
        </w:rPr>
        <w:tab/>
      </w:r>
      <w:r>
        <w:rPr>
          <w:rFonts w:hint="eastAsia" w:ascii="楷体" w:hAnsi="楷体" w:eastAsia="楷体" w:cs="楷体"/>
          <w:b/>
          <w:sz w:val="24"/>
          <w:szCs w:val="21"/>
          <w:highlight w:val="none"/>
        </w:rPr>
        <w:t>法定代表/授权代表</w:t>
      </w:r>
    </w:p>
    <w:p w14:paraId="10C0CC81">
      <w:pPr>
        <w:pStyle w:val="13"/>
        <w:spacing w:after="156"/>
        <w:rPr>
          <w:rFonts w:ascii="楷体" w:hAnsi="楷体" w:eastAsia="楷体" w:cs="楷体"/>
          <w:b/>
          <w:sz w:val="24"/>
          <w:szCs w:val="28"/>
          <w:highlight w:val="none"/>
        </w:rPr>
      </w:pPr>
    </w:p>
    <w:p w14:paraId="59210F84">
      <w:pPr>
        <w:pStyle w:val="13"/>
        <w:spacing w:before="4" w:after="156"/>
        <w:rPr>
          <w:rFonts w:ascii="楷体" w:hAnsi="楷体" w:eastAsia="楷体" w:cs="楷体"/>
          <w:b/>
          <w:sz w:val="24"/>
          <w:szCs w:val="28"/>
          <w:highlight w:val="none"/>
        </w:rPr>
      </w:pPr>
    </w:p>
    <w:p w14:paraId="52CAD35C">
      <w:pPr>
        <w:tabs>
          <w:tab w:val="left" w:pos="5457"/>
        </w:tabs>
        <w:ind w:left="117"/>
        <w:rPr>
          <w:rFonts w:ascii="楷体" w:hAnsi="楷体" w:eastAsia="楷体" w:cs="楷体"/>
          <w:b/>
          <w:sz w:val="24"/>
          <w:szCs w:val="21"/>
          <w:highlight w:val="none"/>
        </w:rPr>
      </w:pPr>
      <w:r>
        <w:rPr>
          <w:rFonts w:hint="eastAsia" w:ascii="楷体" w:hAnsi="楷体" w:eastAsia="楷体" w:cs="楷体"/>
          <w:b/>
          <w:sz w:val="24"/>
          <w:szCs w:val="21"/>
          <w:highlight w:val="none"/>
        </w:rPr>
        <w:t>日</w:t>
      </w:r>
      <w:r>
        <w:rPr>
          <w:rFonts w:hint="eastAsia" w:ascii="楷体" w:hAnsi="楷体" w:eastAsia="楷体" w:cs="楷体"/>
          <w:b/>
          <w:spacing w:val="-4"/>
          <w:sz w:val="24"/>
          <w:szCs w:val="21"/>
          <w:highlight w:val="none"/>
        </w:rPr>
        <w:t xml:space="preserve"> </w:t>
      </w:r>
      <w:r>
        <w:rPr>
          <w:rFonts w:hint="eastAsia" w:ascii="楷体" w:hAnsi="楷体" w:eastAsia="楷体" w:cs="楷体"/>
          <w:b/>
          <w:sz w:val="24"/>
          <w:szCs w:val="21"/>
          <w:highlight w:val="none"/>
        </w:rPr>
        <w:t>期:</w:t>
      </w:r>
      <w:r>
        <w:rPr>
          <w:rFonts w:hint="eastAsia" w:ascii="楷体" w:hAnsi="楷体" w:eastAsia="楷体" w:cs="楷体"/>
          <w:b/>
          <w:sz w:val="24"/>
          <w:szCs w:val="21"/>
          <w:highlight w:val="none"/>
        </w:rPr>
        <w:tab/>
      </w:r>
      <w:r>
        <w:rPr>
          <w:rFonts w:hint="eastAsia" w:ascii="楷体" w:hAnsi="楷体" w:eastAsia="楷体" w:cs="楷体"/>
          <w:b/>
          <w:sz w:val="24"/>
          <w:szCs w:val="21"/>
          <w:highlight w:val="none"/>
        </w:rPr>
        <w:t>日 期:</w:t>
      </w:r>
    </w:p>
    <w:p w14:paraId="65987344">
      <w:pPr>
        <w:tabs>
          <w:tab w:val="left" w:pos="5457"/>
        </w:tabs>
        <w:ind w:left="117"/>
        <w:rPr>
          <w:rFonts w:ascii="楷体" w:hAnsi="楷体" w:eastAsia="楷体" w:cs="楷体"/>
          <w:b/>
          <w:sz w:val="24"/>
          <w:szCs w:val="21"/>
          <w:highlight w:val="none"/>
        </w:rPr>
      </w:pPr>
    </w:p>
    <w:p w14:paraId="08F63487">
      <w:pPr>
        <w:keepNext/>
        <w:keepLines/>
        <w:jc w:val="center"/>
        <w:outlineLvl w:val="0"/>
        <w:rPr>
          <w:rFonts w:ascii="Calibri" w:hAnsi="Calibri" w:eastAsia="宋体" w:cs="Times New Roman"/>
          <w:b/>
          <w:bCs/>
          <w:kern w:val="44"/>
          <w:sz w:val="36"/>
          <w:szCs w:val="44"/>
          <w:highlight w:val="none"/>
        </w:rPr>
        <w:sectPr>
          <w:footerReference r:id="rId17" w:type="first"/>
          <w:headerReference r:id="rId15" w:type="default"/>
          <w:footerReference r:id="rId16" w:type="default"/>
          <w:pgSz w:w="11906" w:h="16838"/>
          <w:pgMar w:top="1588" w:right="1418" w:bottom="1134" w:left="1418" w:header="851" w:footer="992" w:gutter="0"/>
          <w:pgNumType w:fmt="decimal"/>
          <w:cols w:space="720" w:num="1"/>
          <w:titlePg/>
          <w:docGrid w:type="lines" w:linePitch="312" w:charSpace="0"/>
        </w:sectPr>
      </w:pPr>
    </w:p>
    <w:p w14:paraId="108CFF7E">
      <w:pPr>
        <w:keepNext/>
        <w:keepLines/>
        <w:jc w:val="center"/>
        <w:outlineLvl w:val="0"/>
        <w:rPr>
          <w:rFonts w:ascii="Calibri" w:hAnsi="Calibri" w:eastAsia="宋体" w:cs="Times New Roman"/>
          <w:b/>
          <w:bCs/>
          <w:kern w:val="44"/>
          <w:sz w:val="36"/>
          <w:szCs w:val="44"/>
          <w:highlight w:val="none"/>
        </w:rPr>
      </w:pPr>
      <w:r>
        <w:rPr>
          <w:rFonts w:hint="eastAsia" w:ascii="Calibri" w:hAnsi="Calibri" w:eastAsia="宋体" w:cs="Times New Roman"/>
          <w:b/>
          <w:bCs/>
          <w:kern w:val="44"/>
          <w:sz w:val="36"/>
          <w:szCs w:val="44"/>
          <w:highlight w:val="none"/>
        </w:rPr>
        <w:t>第六部分</w:t>
      </w:r>
      <w:r>
        <w:rPr>
          <w:rFonts w:ascii="Calibri" w:hAnsi="Calibri" w:eastAsia="宋体" w:cs="Times New Roman"/>
          <w:b/>
          <w:bCs/>
          <w:kern w:val="44"/>
          <w:sz w:val="36"/>
          <w:szCs w:val="44"/>
          <w:highlight w:val="none"/>
        </w:rPr>
        <w:t xml:space="preserve"> </w:t>
      </w:r>
      <w:r>
        <w:rPr>
          <w:rFonts w:hint="eastAsia" w:ascii="Calibri" w:hAnsi="Calibri" w:eastAsia="宋体" w:cs="Times New Roman"/>
          <w:b/>
          <w:bCs/>
          <w:kern w:val="44"/>
          <w:sz w:val="36"/>
          <w:szCs w:val="44"/>
          <w:highlight w:val="none"/>
        </w:rPr>
        <w:t>投标文件附件</w:t>
      </w:r>
      <w:bookmarkEnd w:id="41"/>
    </w:p>
    <w:p w14:paraId="1795A4F3">
      <w:pPr>
        <w:keepNext/>
        <w:keepLines/>
        <w:rPr>
          <w:rFonts w:ascii="Times New Roman" w:hAnsi="Times New Roman" w:eastAsia="宋体" w:cs="Times New Roman"/>
          <w:b/>
          <w:bCs/>
          <w:color w:val="000000"/>
          <w:sz w:val="24"/>
          <w:szCs w:val="24"/>
          <w:highlight w:val="none"/>
        </w:rPr>
      </w:pPr>
    </w:p>
    <w:p w14:paraId="56AF07BF">
      <w:pPr>
        <w:pStyle w:val="17"/>
        <w:rPr>
          <w:rFonts w:ascii="Times New Roman" w:hAnsi="Times New Roman" w:eastAsia="宋体" w:cs="Times New Roman"/>
          <w:b/>
          <w:bCs/>
          <w:color w:val="000000"/>
          <w:sz w:val="24"/>
          <w:szCs w:val="24"/>
          <w:highlight w:val="none"/>
        </w:rPr>
      </w:pPr>
    </w:p>
    <w:p w14:paraId="48C3D5BF">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说明：</w:t>
      </w:r>
    </w:p>
    <w:p w14:paraId="183D334F">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1.投标人须认真填写和提交本部分中的附件文件；</w:t>
      </w:r>
    </w:p>
    <w:p w14:paraId="24562937">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2.对附件文件中所要求的内容应给予明确的答复；</w:t>
      </w:r>
    </w:p>
    <w:p w14:paraId="41D53AAD">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3.附件文件的签字人应保证其对一切问题的答复、所做的声明及出具的资格资质文件、资料等具有真实性和准确性；</w:t>
      </w:r>
    </w:p>
    <w:p w14:paraId="512CE704">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4.招标人将对投标人提交的文件、资料等内容予以保密，但不退还；</w:t>
      </w:r>
    </w:p>
    <w:p w14:paraId="27D8211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5.所有附件文件应以中文书写，作为投标文件的组成部分。</w:t>
      </w:r>
    </w:p>
    <w:p w14:paraId="7A53A130">
      <w:pPr>
        <w:pStyle w:val="17"/>
        <w:rPr>
          <w:rFonts w:ascii="Times New Roman" w:hAnsi="Times New Roman" w:eastAsia="宋体" w:cs="Times New Roman"/>
          <w:b/>
          <w:bCs/>
          <w:color w:val="000000"/>
          <w:sz w:val="24"/>
          <w:szCs w:val="24"/>
          <w:highlight w:val="none"/>
        </w:rPr>
        <w:sectPr>
          <w:footerReference r:id="rId20" w:type="first"/>
          <w:headerReference r:id="rId18" w:type="default"/>
          <w:footerReference r:id="rId19" w:type="default"/>
          <w:pgSz w:w="11906" w:h="16838"/>
          <w:pgMar w:top="1588" w:right="1418" w:bottom="1134" w:left="1418" w:header="851" w:footer="992" w:gutter="0"/>
          <w:pgNumType w:fmt="decimal"/>
          <w:cols w:space="720" w:num="1"/>
          <w:titlePg/>
          <w:docGrid w:type="lines" w:linePitch="312" w:charSpace="0"/>
        </w:sectPr>
      </w:pPr>
    </w:p>
    <w:p w14:paraId="1EA8B111">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w:t>
      </w:r>
      <w:r>
        <w:rPr>
          <w:rFonts w:ascii="Times New Roman" w:hAnsi="Times New Roman" w:eastAsia="宋体" w:cs="Times New Roman"/>
          <w:b/>
          <w:bCs/>
          <w:color w:val="000000"/>
          <w:sz w:val="24"/>
          <w:szCs w:val="24"/>
          <w:highlight w:val="none"/>
        </w:rPr>
        <w:t>1</w:t>
      </w:r>
      <w:bookmarkStart w:id="47" w:name="_Toc25811"/>
      <w:bookmarkStart w:id="48" w:name="_Toc639004"/>
      <w:bookmarkStart w:id="49" w:name="_Toc212369550"/>
      <w:bookmarkStart w:id="50" w:name="_Toc353881012"/>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投标函</w:t>
      </w:r>
      <w:bookmarkEnd w:id="47"/>
      <w:bookmarkEnd w:id="48"/>
      <w:bookmarkEnd w:id="49"/>
      <w:bookmarkEnd w:id="50"/>
    </w:p>
    <w:p w14:paraId="1815D75B">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致：</w:t>
      </w:r>
      <w:r>
        <w:rPr>
          <w:rFonts w:hint="eastAsia" w:ascii="宋体" w:hAnsi="宋体" w:eastAsia="宋体" w:cs="Times New Roman"/>
          <w:color w:val="000000"/>
          <w:sz w:val="24"/>
          <w:szCs w:val="24"/>
          <w:highlight w:val="none"/>
          <w:lang w:eastAsia="zh-CN"/>
        </w:rPr>
        <w:t>中国重汽集团杭州发动机有限公司</w:t>
      </w:r>
      <w:r>
        <w:rPr>
          <w:rFonts w:hint="eastAsia" w:ascii="宋体" w:hAnsi="宋体" w:eastAsia="宋体" w:cs="Times New Roman"/>
          <w:color w:val="000000"/>
          <w:sz w:val="24"/>
          <w:szCs w:val="24"/>
          <w:highlight w:val="none"/>
        </w:rPr>
        <w:t>：</w:t>
      </w:r>
    </w:p>
    <w:p w14:paraId="4132E55B">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根据贵方</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u w:val="single"/>
        </w:rPr>
        <w:t>项目</w:t>
      </w:r>
      <w:r>
        <w:rPr>
          <w:rFonts w:hint="eastAsia" w:ascii="宋体" w:hAnsi="宋体" w:eastAsia="宋体" w:cs="Times New Roman"/>
          <w:bCs/>
          <w:snapToGrid w:val="0"/>
          <w:color w:val="000000"/>
          <w:kern w:val="0"/>
          <w:sz w:val="24"/>
          <w:szCs w:val="24"/>
          <w:highlight w:val="none"/>
        </w:rPr>
        <w:t>招标公告</w:t>
      </w:r>
      <w:r>
        <w:rPr>
          <w:rFonts w:hint="eastAsia" w:ascii="宋体" w:hAnsi="宋体" w:eastAsia="宋体" w:cs="Times New Roman"/>
          <w:color w:val="000000"/>
          <w:sz w:val="24"/>
          <w:szCs w:val="24"/>
          <w:highlight w:val="none"/>
        </w:rPr>
        <w:t>，</w:t>
      </w:r>
      <w:r>
        <w:rPr>
          <w:rFonts w:ascii="宋体" w:hAnsi="宋体" w:eastAsia="宋体" w:cs="Times New Roman"/>
          <w:b/>
          <w:color w:val="000000"/>
          <w:sz w:val="24"/>
          <w:szCs w:val="24"/>
          <w:highlight w:val="none"/>
          <w:u w:val="single"/>
        </w:rPr>
        <w:t xml:space="preserve">            </w:t>
      </w:r>
      <w:r>
        <w:rPr>
          <w:rFonts w:hint="eastAsia" w:ascii="宋体" w:hAnsi="宋体" w:eastAsia="宋体" w:cs="Times New Roman"/>
          <w:color w:val="000000"/>
          <w:sz w:val="24"/>
          <w:szCs w:val="24"/>
          <w:highlight w:val="none"/>
        </w:rPr>
        <w:t>投标公司，</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法人代表人为</w:t>
      </w:r>
      <w:r>
        <w:rPr>
          <w:rFonts w:ascii="宋体" w:hAnsi="宋体" w:eastAsia="宋体" w:cs="Times New Roman"/>
          <w:color w:val="000000"/>
          <w:sz w:val="24"/>
          <w:szCs w:val="24"/>
          <w:highlight w:val="none"/>
          <w:u w:val="single"/>
        </w:rPr>
        <w:t xml:space="preserve">         </w:t>
      </w:r>
      <w:r>
        <w:rPr>
          <w:rFonts w:hint="eastAsia" w:ascii="宋体" w:hAnsi="宋体" w:eastAsia="宋体" w:cs="Times New Roman"/>
          <w:color w:val="000000"/>
          <w:sz w:val="24"/>
          <w:szCs w:val="24"/>
          <w:highlight w:val="none"/>
        </w:rPr>
        <w:t>，正式授权</w:t>
      </w:r>
      <w:r>
        <w:rPr>
          <w:rFonts w:ascii="宋体" w:hAnsi="宋体" w:eastAsia="宋体" w:cs="Times New Roman"/>
          <w:color w:val="000000"/>
          <w:sz w:val="24"/>
          <w:szCs w:val="24"/>
          <w:highlight w:val="none"/>
          <w:u w:val="single"/>
        </w:rPr>
        <w:t xml:space="preserve">           </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提交纸质投标文件：资质证明文件、商务文件和技术文件正本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份；电子版投标文件一份。</w:t>
      </w:r>
    </w:p>
    <w:p w14:paraId="5C8ABB0E">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据此函，签字代表宣布同意如下：</w:t>
      </w:r>
    </w:p>
    <w:p w14:paraId="28305B63">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1</w:t>
      </w:r>
      <w:r>
        <w:rPr>
          <w:rFonts w:hint="eastAsia" w:ascii="宋体" w:hAnsi="宋体" w:eastAsia="宋体" w:cs="Times New Roman"/>
          <w:color w:val="000000"/>
          <w:sz w:val="24"/>
          <w:szCs w:val="24"/>
          <w:highlight w:val="none"/>
        </w:rPr>
        <w:t>.投标人已详细审查全部“招标文件”，包括修改文件（如有的话）以及全部参考资料和有关附件，已经了解我方对于招标文件、采购过程、采购结果有依法进行询问、质疑、投诉的权利及相关渠道和要求。</w:t>
      </w:r>
    </w:p>
    <w:p w14:paraId="09BC7F48">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2</w:t>
      </w:r>
      <w:r>
        <w:rPr>
          <w:rFonts w:hint="eastAsia" w:ascii="宋体" w:hAnsi="宋体" w:eastAsia="宋体" w:cs="Times New Roman"/>
          <w:color w:val="000000"/>
          <w:sz w:val="24"/>
          <w:szCs w:val="24"/>
          <w:highlight w:val="none"/>
        </w:rPr>
        <w:t>.投标人在投标之前已经与贵方进行了充分的沟通，完全理解并接受招标文件的各项规定和要求，对招标文件的合理性、合法性不再有异议。</w:t>
      </w:r>
    </w:p>
    <w:p w14:paraId="7F8A8710">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3</w:t>
      </w:r>
      <w:r>
        <w:rPr>
          <w:rFonts w:hint="eastAsia" w:ascii="宋体" w:hAnsi="宋体" w:eastAsia="宋体" w:cs="Times New Roman"/>
          <w:color w:val="000000"/>
          <w:sz w:val="24"/>
          <w:szCs w:val="24"/>
          <w:highlight w:val="none"/>
        </w:rPr>
        <w:t>.本投标有效期自开标日起</w:t>
      </w:r>
      <w:r>
        <w:rPr>
          <w:rFonts w:ascii="宋体" w:hAnsi="宋体" w:eastAsia="宋体" w:cs="Times New Roman"/>
          <w:bCs/>
          <w:color w:val="000000"/>
          <w:sz w:val="24"/>
          <w:szCs w:val="24"/>
          <w:highlight w:val="none"/>
          <w:u w:val="single"/>
        </w:rPr>
        <w:t xml:space="preserve"> 90</w:t>
      </w:r>
      <w:r>
        <w:rPr>
          <w:rFonts w:hint="eastAsia" w:ascii="宋体" w:hAnsi="宋体" w:eastAsia="宋体" w:cs="Times New Roman"/>
          <w:color w:val="000000"/>
          <w:sz w:val="24"/>
          <w:szCs w:val="24"/>
          <w:highlight w:val="none"/>
        </w:rPr>
        <w:t>个日历日。</w:t>
      </w:r>
    </w:p>
    <w:p w14:paraId="63E71CB3">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4</w:t>
      </w:r>
      <w:r>
        <w:rPr>
          <w:rFonts w:hint="eastAsia" w:ascii="宋体" w:hAnsi="宋体" w:eastAsia="宋体" w:cs="Times New Roman"/>
          <w:color w:val="000000"/>
          <w:sz w:val="24"/>
          <w:szCs w:val="24"/>
          <w:highlight w:val="none"/>
        </w:rPr>
        <w:t>.如中标，本投标文件至本项目合同履行完毕止均保持有效，本投标人将按“招标文件”及政府采购法律、法规的规定履行合同责任和义务。</w:t>
      </w:r>
    </w:p>
    <w:p w14:paraId="04590A73">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5</w:t>
      </w:r>
      <w:r>
        <w:rPr>
          <w:rFonts w:hint="eastAsia" w:ascii="宋体" w:hAnsi="宋体" w:eastAsia="宋体" w:cs="Times New Roman"/>
          <w:color w:val="000000"/>
          <w:sz w:val="24"/>
          <w:szCs w:val="24"/>
          <w:highlight w:val="none"/>
        </w:rPr>
        <w:t>.投标人同意按照贵方要求提供与投标有关的一切数据或资料。</w:t>
      </w:r>
    </w:p>
    <w:p w14:paraId="57406330">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6</w:t>
      </w:r>
      <w:r>
        <w:rPr>
          <w:rFonts w:hint="eastAsia" w:ascii="宋体" w:hAnsi="宋体" w:eastAsia="宋体" w:cs="Times New Roman"/>
          <w:color w:val="000000"/>
          <w:sz w:val="24"/>
          <w:szCs w:val="24"/>
          <w:highlight w:val="none"/>
        </w:rPr>
        <w:t>.与本投标有关的一切正式往来信函请寄：</w:t>
      </w:r>
    </w:p>
    <w:p w14:paraId="0949981C">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地址：</w:t>
      </w:r>
      <w:r>
        <w:rPr>
          <w:rFonts w:ascii="宋体" w:hAnsi="宋体" w:eastAsia="宋体" w:cs="Times New Roman"/>
          <w:color w:val="000000"/>
          <w:sz w:val="24"/>
          <w:szCs w:val="24"/>
          <w:highlight w:val="none"/>
        </w:rPr>
        <w:t xml:space="preserve">                             </w:t>
      </w:r>
    </w:p>
    <w:p w14:paraId="17ACBA42">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邮编：</w:t>
      </w:r>
      <w:r>
        <w:rPr>
          <w:rFonts w:ascii="宋体" w:hAnsi="宋体" w:eastAsia="宋体" w:cs="Times New Roman"/>
          <w:color w:val="000000"/>
          <w:sz w:val="24"/>
          <w:szCs w:val="24"/>
          <w:highlight w:val="none"/>
        </w:rPr>
        <w:t xml:space="preserve">        </w:t>
      </w:r>
    </w:p>
    <w:p w14:paraId="4C19D33D">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电话：</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传真：</w:t>
      </w:r>
      <w:r>
        <w:rPr>
          <w:rFonts w:ascii="宋体" w:hAnsi="宋体" w:eastAsia="宋体" w:cs="Times New Roman"/>
          <w:color w:val="000000"/>
          <w:sz w:val="24"/>
          <w:szCs w:val="24"/>
          <w:highlight w:val="none"/>
        </w:rPr>
        <w:t xml:space="preserve">                   </w:t>
      </w:r>
    </w:p>
    <w:p w14:paraId="7D548A34">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投标人代表姓名：</w:t>
      </w:r>
      <w:r>
        <w:rPr>
          <w:rFonts w:hint="eastAsia" w:ascii="宋体" w:hAnsi="宋体" w:eastAsia="宋体" w:cs="Times New Roman"/>
          <w:color w:val="000000"/>
          <w:sz w:val="24"/>
          <w:szCs w:val="24"/>
          <w:highlight w:val="none"/>
          <w:u w:val="single"/>
        </w:rPr>
        <w:t xml:space="preserve">         </w:t>
      </w:r>
      <w:r>
        <w:rPr>
          <w:rFonts w:hint="eastAsia" w:ascii="宋体" w:hAnsi="宋体" w:eastAsia="宋体" w:cs="Times New Roman"/>
          <w:color w:val="000000"/>
          <w:sz w:val="24"/>
          <w:szCs w:val="24"/>
          <w:highlight w:val="none"/>
        </w:rPr>
        <w:t>职务：</w:t>
      </w:r>
      <w:r>
        <w:rPr>
          <w:rFonts w:ascii="宋体" w:hAnsi="宋体" w:eastAsia="宋体" w:cs="Times New Roman"/>
          <w:color w:val="000000"/>
          <w:sz w:val="24"/>
          <w:szCs w:val="24"/>
          <w:highlight w:val="none"/>
        </w:rPr>
        <w:t xml:space="preserve">          </w:t>
      </w:r>
    </w:p>
    <w:p w14:paraId="7F7FA2CA">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开户银行：</w:t>
      </w:r>
      <w:r>
        <w:rPr>
          <w:rFonts w:ascii="宋体" w:hAnsi="宋体" w:eastAsia="宋体" w:cs="Times New Roman"/>
          <w:color w:val="000000"/>
          <w:sz w:val="24"/>
          <w:szCs w:val="24"/>
          <w:highlight w:val="none"/>
        </w:rPr>
        <w:t xml:space="preserve">                   </w:t>
      </w:r>
    </w:p>
    <w:p w14:paraId="6FD4BFD2">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银行帐号：</w:t>
      </w:r>
      <w:r>
        <w:rPr>
          <w:rFonts w:ascii="宋体" w:hAnsi="宋体" w:eastAsia="宋体" w:cs="Times New Roman"/>
          <w:color w:val="000000"/>
          <w:sz w:val="24"/>
          <w:szCs w:val="24"/>
          <w:highlight w:val="none"/>
        </w:rPr>
        <w:t xml:space="preserve">                   </w:t>
      </w:r>
    </w:p>
    <w:p w14:paraId="4ACA62FA">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 xml:space="preserve">联行号：                     </w:t>
      </w:r>
    </w:p>
    <w:p w14:paraId="6C1ACABD">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w:t>
      </w:r>
      <w:r>
        <w:rPr>
          <w:rFonts w:hint="eastAsia" w:ascii="宋体" w:hAnsi="宋体" w:eastAsia="宋体" w:cs="Times New Roman"/>
          <w:bCs/>
          <w:color w:val="000000"/>
          <w:sz w:val="24"/>
          <w:szCs w:val="24"/>
          <w:highlight w:val="none"/>
        </w:rPr>
        <w:t>盖章）</w:t>
      </w:r>
      <w:r>
        <w:rPr>
          <w:rFonts w:ascii="宋体" w:hAnsi="宋体" w:eastAsia="宋体" w:cs="Times New Roman"/>
          <w:color w:val="000000"/>
          <w:sz w:val="24"/>
          <w:szCs w:val="24"/>
          <w:highlight w:val="none"/>
        </w:rPr>
        <w:t xml:space="preserve">: </w:t>
      </w:r>
    </w:p>
    <w:p w14:paraId="3F4A212F">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授权代表签字</w:t>
      </w:r>
      <w:r>
        <w:rPr>
          <w:rFonts w:hint="eastAsia" w:ascii="宋体" w:hAnsi="宋体" w:eastAsia="宋体" w:cs="Times New Roman"/>
          <w:bCs/>
          <w:color w:val="000000"/>
          <w:sz w:val="24"/>
          <w:szCs w:val="24"/>
          <w:highlight w:val="none"/>
        </w:rPr>
        <w:t>：</w:t>
      </w:r>
    </w:p>
    <w:p w14:paraId="4533A00D">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日期：</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月</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w:t>
      </w:r>
    </w:p>
    <w:p w14:paraId="3A5BE3A8">
      <w:pPr>
        <w:rPr>
          <w:rFonts w:ascii="黑体" w:hAnsi="Calibri" w:eastAsia="黑体" w:cs="Times New Roman"/>
          <w:color w:val="000000"/>
          <w:sz w:val="24"/>
          <w:szCs w:val="24"/>
          <w:highlight w:val="none"/>
        </w:rPr>
      </w:pPr>
    </w:p>
    <w:p w14:paraId="4AD137D1">
      <w:pPr>
        <w:rPr>
          <w:rFonts w:ascii="黑体" w:hAnsi="Calibri" w:eastAsia="黑体" w:cs="Times New Roman"/>
          <w:color w:val="000000"/>
          <w:sz w:val="24"/>
          <w:szCs w:val="24"/>
          <w:highlight w:val="none"/>
        </w:rPr>
      </w:pPr>
    </w:p>
    <w:p w14:paraId="109672F4">
      <w:pPr>
        <w:pStyle w:val="17"/>
        <w:rPr>
          <w:rFonts w:ascii="黑体" w:hAnsi="Calibri" w:eastAsia="黑体" w:cs="Times New Roman"/>
          <w:color w:val="000000"/>
          <w:sz w:val="24"/>
          <w:szCs w:val="24"/>
          <w:highlight w:val="none"/>
        </w:rPr>
      </w:pPr>
    </w:p>
    <w:p w14:paraId="20263E9E">
      <w:pPr>
        <w:pStyle w:val="17"/>
        <w:rPr>
          <w:rFonts w:ascii="黑体" w:hAnsi="Calibri" w:eastAsia="黑体" w:cs="Times New Roman"/>
          <w:color w:val="000000"/>
          <w:sz w:val="24"/>
          <w:szCs w:val="24"/>
          <w:highlight w:val="none"/>
        </w:rPr>
      </w:pPr>
    </w:p>
    <w:p w14:paraId="4757C674">
      <w:pPr>
        <w:pStyle w:val="17"/>
        <w:rPr>
          <w:rFonts w:ascii="黑体" w:hAnsi="Calibri" w:eastAsia="黑体" w:cs="Times New Roman"/>
          <w:color w:val="000000"/>
          <w:sz w:val="24"/>
          <w:szCs w:val="24"/>
          <w:highlight w:val="none"/>
        </w:rPr>
      </w:pPr>
    </w:p>
    <w:p w14:paraId="7AC1BD39">
      <w:pPr>
        <w:pStyle w:val="17"/>
        <w:rPr>
          <w:rFonts w:ascii="黑体" w:hAnsi="Calibri" w:eastAsia="黑体" w:cs="Times New Roman"/>
          <w:color w:val="000000"/>
          <w:sz w:val="24"/>
          <w:szCs w:val="24"/>
          <w:highlight w:val="none"/>
        </w:rPr>
      </w:pPr>
    </w:p>
    <w:p w14:paraId="5A8DC731">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w:t>
      </w:r>
      <w:r>
        <w:rPr>
          <w:rFonts w:ascii="Times New Roman" w:hAnsi="Times New Roman" w:eastAsia="宋体" w:cs="Times New Roman"/>
          <w:b/>
          <w:bCs/>
          <w:color w:val="000000"/>
          <w:sz w:val="24"/>
          <w:szCs w:val="24"/>
          <w:highlight w:val="none"/>
        </w:rPr>
        <w:t xml:space="preserve">2 </w:t>
      </w:r>
      <w:r>
        <w:rPr>
          <w:rFonts w:hint="eastAsia" w:ascii="Times New Roman" w:hAnsi="Times New Roman" w:eastAsia="宋体" w:cs="Times New Roman"/>
          <w:b/>
          <w:bCs/>
          <w:color w:val="000000"/>
          <w:sz w:val="24"/>
          <w:szCs w:val="24"/>
          <w:highlight w:val="none"/>
        </w:rPr>
        <w:t>法定代表人授权委托书</w:t>
      </w:r>
    </w:p>
    <w:p w14:paraId="14C8D24C">
      <w:pPr>
        <w:adjustRightInd w:val="0"/>
        <w:snapToGrid w:val="0"/>
        <w:spacing w:before="93" w:beforeLines="30" w:line="240" w:lineRule="exact"/>
        <w:jc w:val="center"/>
        <w:rPr>
          <w:rFonts w:ascii="宋体" w:hAnsi="Calibri" w:eastAsia="宋体" w:cs="Times New Roman"/>
          <w:sz w:val="24"/>
          <w:szCs w:val="20"/>
          <w:highlight w:val="none"/>
        </w:rPr>
      </w:pPr>
    </w:p>
    <w:p w14:paraId="75055A93">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本授权委托书声明：我＿＿＿＿＿＿＿（姓名）系＿＿＿＿＿＿＿＿＿＿＿＿＿＿＿＿＿＿＿＿＿＿＿＿＿＿＿＿（投标人全称）的法定代表人，就</w:t>
      </w:r>
      <w:r>
        <w:rPr>
          <w:rFonts w:ascii="宋体" w:hAnsi="宋体" w:eastAsia="宋体" w:cs="Times New Roman"/>
          <w:b/>
          <w:bCs/>
          <w:color w:val="000000"/>
          <w:sz w:val="24"/>
          <w:szCs w:val="24"/>
          <w:highlight w:val="none"/>
          <w:u w:val="single"/>
        </w:rPr>
        <w:t xml:space="preserve"> </w:t>
      </w:r>
      <w:r>
        <w:rPr>
          <w:rFonts w:hint="eastAsia" w:ascii="宋体" w:hAnsi="宋体" w:eastAsia="宋体" w:cs="Times New Roman"/>
          <w:b/>
          <w:bCs/>
          <w:color w:val="000000"/>
          <w:sz w:val="24"/>
          <w:szCs w:val="24"/>
          <w:highlight w:val="none"/>
          <w:u w:val="single"/>
          <w:lang w:val="en-US" w:eastAsia="zh-CN"/>
        </w:rPr>
        <w:t xml:space="preserve">                </w:t>
      </w:r>
      <w:r>
        <w:rPr>
          <w:rFonts w:hint="eastAsia" w:ascii="宋体" w:hAnsi="宋体" w:eastAsia="宋体" w:cs="Times New Roman"/>
          <w:b/>
          <w:bCs/>
          <w:color w:val="000000"/>
          <w:sz w:val="24"/>
          <w:szCs w:val="24"/>
          <w:highlight w:val="none"/>
          <w:u w:val="single"/>
        </w:rPr>
        <w:t>项目</w:t>
      </w:r>
      <w:r>
        <w:rPr>
          <w:rFonts w:ascii="宋体" w:hAnsi="宋体" w:eastAsia="宋体" w:cs="Times New Roman"/>
          <w:b/>
          <w:bCs/>
          <w:color w:val="000000"/>
          <w:sz w:val="24"/>
          <w:szCs w:val="24"/>
          <w:highlight w:val="non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现授权委托＿＿＿＿＿＿＿＿＿＿＿＿＿＿＿＿＿＿＿＿＿＿＿＿＿＿＿＿（单位名称）的＿＿＿＿＿＿＿＿（姓名、职务）为我公司全权代表，全权代表在投标文件、评标过程中的书面承诺、合同等所签署的一切文件和处理与之有关的一切事务，我均予以承认。</w:t>
      </w:r>
    </w:p>
    <w:p w14:paraId="79D7EF0D">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全权代表无转委权。特此委托。</w:t>
      </w:r>
    </w:p>
    <w:tbl>
      <w:tblPr>
        <w:tblStyle w:val="36"/>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6FE8CB4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1F989C3F">
            <w:pPr>
              <w:adjustRightInd w:val="0"/>
              <w:snapToGrid w:val="0"/>
              <w:spacing w:before="93" w:beforeLines="30" w:line="312" w:lineRule="auto"/>
              <w:jc w:val="center"/>
              <w:rPr>
                <w:rFonts w:ascii="宋体" w:hAnsi="Calibri" w:eastAsia="宋体" w:cs="Times New Roman"/>
                <w:sz w:val="24"/>
                <w:szCs w:val="20"/>
                <w:highlight w:val="none"/>
              </w:rPr>
            </w:pPr>
            <w:r>
              <w:rPr>
                <w:rFonts w:hint="eastAsia" w:ascii="宋体" w:hAnsi="宋体" w:eastAsia="宋体" w:cs="Times New Roman"/>
                <w:sz w:val="24"/>
                <w:szCs w:val="20"/>
                <w:highlight w:val="none"/>
              </w:rPr>
              <w:t>附法人身份证明复印件（</w:t>
            </w:r>
            <w:r>
              <w:rPr>
                <w:rFonts w:hint="eastAsia" w:ascii="宋体" w:hAnsi="宋体" w:eastAsia="宋体" w:cs="Times New Roman"/>
                <w:color w:val="000000" w:themeColor="text1"/>
                <w:sz w:val="24"/>
                <w:szCs w:val="20"/>
                <w:highlight w:val="none"/>
                <w14:textFill>
                  <w14:solidFill>
                    <w14:schemeClr w14:val="tx1"/>
                  </w14:solidFill>
                </w14:textFill>
              </w:rPr>
              <w:t>正反面）</w:t>
            </w:r>
          </w:p>
          <w:p w14:paraId="0AD86E19">
            <w:pPr>
              <w:adjustRightInd w:val="0"/>
              <w:snapToGrid w:val="0"/>
              <w:spacing w:before="93" w:beforeLines="30" w:line="312" w:lineRule="auto"/>
              <w:jc w:val="center"/>
              <w:rPr>
                <w:rFonts w:ascii="宋体" w:hAnsi="Calibri" w:eastAsia="宋体" w:cs="Times New Roman"/>
                <w:sz w:val="24"/>
                <w:szCs w:val="20"/>
                <w:highlight w:val="none"/>
              </w:rPr>
            </w:pPr>
            <w:r>
              <w:rPr>
                <w:rFonts w:hint="eastAsia" w:ascii="宋体" w:hAnsi="宋体" w:eastAsia="宋体" w:cs="Times New Roman"/>
                <w:sz w:val="24"/>
                <w:szCs w:val="20"/>
                <w:highlight w:val="none"/>
              </w:rPr>
              <w:t>附授权代理人身份证明复印件（正反面）</w:t>
            </w:r>
          </w:p>
        </w:tc>
      </w:tr>
    </w:tbl>
    <w:p w14:paraId="1538F23B">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全权代表姓名：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性别：</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年龄：</w:t>
      </w:r>
    </w:p>
    <w:p w14:paraId="0F9EB3CD">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单位：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部门：</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职务：</w:t>
      </w:r>
    </w:p>
    <w:p w14:paraId="4FAB5133">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法定代表人签字或盖章</w:t>
      </w:r>
      <w:r>
        <w:rPr>
          <w:rFonts w:ascii="宋体" w:hAnsi="宋体" w:eastAsia="宋体" w:cs="Times New Roman"/>
          <w:color w:val="000000"/>
          <w:sz w:val="24"/>
          <w:szCs w:val="24"/>
          <w:highlight w:val="none"/>
        </w:rPr>
        <w:t xml:space="preserve">                          </w:t>
      </w:r>
    </w:p>
    <w:p w14:paraId="3ED9E187">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被授权人签字</w:t>
      </w:r>
      <w:r>
        <w:rPr>
          <w:rFonts w:ascii="宋体" w:hAnsi="宋体" w:eastAsia="宋体" w:cs="Times New Roman"/>
          <w:color w:val="000000"/>
          <w:sz w:val="24"/>
          <w:szCs w:val="24"/>
          <w:highlight w:val="none"/>
        </w:rPr>
        <w:t xml:space="preserve">  </w:t>
      </w:r>
    </w:p>
    <w:p w14:paraId="02E5F14D">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被授权人电话：</w:t>
      </w:r>
      <w:r>
        <w:rPr>
          <w:rFonts w:ascii="宋体" w:hAnsi="宋体" w:eastAsia="宋体" w:cs="Times New Roman"/>
          <w:color w:val="000000"/>
          <w:sz w:val="24"/>
          <w:szCs w:val="24"/>
          <w:highlight w:val="none"/>
        </w:rPr>
        <w:t xml:space="preserve">                          </w:t>
      </w:r>
    </w:p>
    <w:p w14:paraId="0C4E49DB">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投标人名称（公章）</w:t>
      </w:r>
      <w:r>
        <w:rPr>
          <w:rFonts w:ascii="宋体" w:hAnsi="宋体" w:eastAsia="宋体" w:cs="Times New Roman"/>
          <w:color w:val="000000"/>
          <w:sz w:val="24"/>
          <w:szCs w:val="24"/>
          <w:highlight w:val="none"/>
        </w:rPr>
        <w:t xml:space="preserve">                       </w:t>
      </w:r>
    </w:p>
    <w:p w14:paraId="28081483">
      <w:pPr>
        <w:spacing w:line="460" w:lineRule="exact"/>
        <w:ind w:firstLine="5520" w:firstLineChars="2300"/>
        <w:rPr>
          <w:rFonts w:ascii="宋体" w:hAnsi="Calibri" w:eastAsia="宋体" w:cs="Times New Roman"/>
          <w:sz w:val="24"/>
          <w:szCs w:val="20"/>
          <w:highlight w:val="none"/>
          <w:u w:val="single"/>
        </w:rPr>
      </w:pP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4B36A05A">
      <w:pPr>
        <w:rPr>
          <w:rFonts w:ascii="Calibri" w:hAnsi="Calibri" w:eastAsia="黑体" w:cs="Times New Roman"/>
          <w:b/>
          <w:bCs/>
          <w:color w:val="000000"/>
          <w:sz w:val="28"/>
          <w:szCs w:val="20"/>
          <w:highlight w:val="none"/>
        </w:rPr>
      </w:pPr>
    </w:p>
    <w:p w14:paraId="4A2A8C75">
      <w:pPr>
        <w:pStyle w:val="17"/>
        <w:rPr>
          <w:rFonts w:ascii="Calibri" w:hAnsi="Calibri" w:eastAsia="黑体" w:cs="Times New Roman"/>
          <w:b/>
          <w:bCs/>
          <w:color w:val="000000"/>
          <w:sz w:val="28"/>
          <w:szCs w:val="20"/>
          <w:highlight w:val="none"/>
        </w:rPr>
        <w:sectPr>
          <w:pgSz w:w="11906" w:h="16838"/>
          <w:pgMar w:top="1588" w:right="1418" w:bottom="1134" w:left="1418" w:header="851" w:footer="992" w:gutter="0"/>
          <w:pgNumType w:fmt="decimal"/>
          <w:cols w:space="720" w:num="1"/>
          <w:titlePg/>
          <w:docGrid w:type="lines" w:linePitch="312" w:charSpace="0"/>
        </w:sectPr>
      </w:pPr>
    </w:p>
    <w:p w14:paraId="4C949377">
      <w:pPr>
        <w:keepNext/>
        <w:keepLines/>
        <w:outlineLvl w:val="2"/>
        <w:rPr>
          <w:rFonts w:ascii="宋体" w:hAnsi="宋体" w:eastAsia="宋体" w:cs="宋体"/>
          <w:spacing w:val="-9"/>
          <w:sz w:val="24"/>
          <w:szCs w:val="24"/>
          <w:highlight w:val="none"/>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highlight w:val="none"/>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highlight w:val="none"/>
          <w14:textOutline w14:w="4356" w14:cap="sq" w14:cmpd="sng" w14:algn="ctr">
            <w14:solidFill>
              <w14:srgbClr w14:val="000000"/>
            </w14:solidFill>
            <w14:prstDash w14:val="solid"/>
            <w14:bevel/>
          </w14:textOutline>
        </w:rPr>
        <w:t>件</w:t>
      </w:r>
      <w:r>
        <w:rPr>
          <w:rFonts w:ascii="宋体" w:hAnsi="宋体" w:eastAsia="宋体" w:cs="宋体"/>
          <w:spacing w:val="-17"/>
          <w:sz w:val="24"/>
          <w:szCs w:val="24"/>
          <w:highlight w:val="none"/>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highlight w:val="none"/>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highlight w:val="none"/>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highlight w:val="none"/>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highlight w:val="none"/>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highlight w:val="none"/>
          <w14:textOutline w14:w="4356" w14:cap="sq" w14:cmpd="sng" w14:algn="ctr">
            <w14:solidFill>
              <w14:srgbClr w14:val="000000"/>
            </w14:solidFill>
            <w14:prstDash w14:val="solid"/>
            <w14:bevel/>
          </w14:textOutline>
        </w:rPr>
        <w:t>表</w:t>
      </w:r>
    </w:p>
    <w:p w14:paraId="347CE925">
      <w:pPr>
        <w:keepNext/>
        <w:keepLines/>
        <w:outlineLvl w:val="3"/>
        <w:rPr>
          <w:rFonts w:ascii="Times New Roman" w:hAnsi="Times New Roman" w:eastAsia="宋体" w:cs="Times New Roman"/>
          <w:b/>
          <w:bCs/>
          <w:color w:val="000000"/>
          <w:sz w:val="24"/>
          <w:szCs w:val="24"/>
          <w:highlight w:val="none"/>
        </w:rPr>
      </w:pPr>
      <w:r>
        <w:rPr>
          <w:rFonts w:ascii="宋体" w:hAnsi="宋体" w:eastAsia="宋体" w:cs="宋体"/>
          <w:spacing w:val="-9"/>
          <w:sz w:val="24"/>
          <w:szCs w:val="24"/>
          <w:highlight w:val="none"/>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highlight w:val="none"/>
        </w:rPr>
        <w:t xml:space="preserve"> </w:t>
      </w:r>
      <w:r>
        <w:rPr>
          <w:rFonts w:ascii="宋体" w:hAnsi="宋体" w:eastAsia="宋体" w:cs="宋体"/>
          <w:spacing w:val="-7"/>
          <w:sz w:val="24"/>
          <w:szCs w:val="24"/>
          <w:highlight w:val="none"/>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highlight w:val="none"/>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highlight w:val="none"/>
        </w:rPr>
        <w:t>投标人基本情况表(格式)</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64BE4F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64B8BEAD">
            <w:pPr>
              <w:pStyle w:val="135"/>
              <w:spacing w:before="114"/>
              <w:ind w:left="720"/>
              <w:rPr>
                <w:highlight w:val="none"/>
              </w:rPr>
            </w:pPr>
            <w:r>
              <w:rPr>
                <w:highlight w:val="none"/>
              </w:rPr>
              <w:t xml:space="preserve">企业名称 </w:t>
            </w:r>
          </w:p>
        </w:tc>
        <w:tc>
          <w:tcPr>
            <w:tcW w:w="4680" w:type="dxa"/>
            <w:gridSpan w:val="4"/>
            <w:vAlign w:val="center"/>
          </w:tcPr>
          <w:p w14:paraId="107EC130">
            <w:pPr>
              <w:widowControl/>
              <w:jc w:val="center"/>
              <w:textAlignment w:val="center"/>
              <w:rPr>
                <w:rFonts w:ascii="宋体" w:hAnsi="宋体" w:eastAsia="宋体" w:cs="宋体"/>
                <w:color w:val="000000" w:themeColor="text1"/>
                <w:highlight w:val="none"/>
                <w14:textFill>
                  <w14:solidFill>
                    <w14:schemeClr w14:val="tx1"/>
                  </w14:solidFill>
                </w14:textFill>
              </w:rPr>
            </w:pPr>
          </w:p>
        </w:tc>
        <w:tc>
          <w:tcPr>
            <w:tcW w:w="1310" w:type="dxa"/>
          </w:tcPr>
          <w:p w14:paraId="1ED69E07">
            <w:pPr>
              <w:pStyle w:val="135"/>
              <w:spacing w:before="106"/>
              <w:ind w:left="154" w:right="26"/>
              <w:jc w:val="cente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 xml:space="preserve">联系人 </w:t>
            </w:r>
          </w:p>
        </w:tc>
        <w:tc>
          <w:tcPr>
            <w:tcW w:w="1510" w:type="dxa"/>
            <w:vAlign w:val="center"/>
          </w:tcPr>
          <w:p w14:paraId="102205D7">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22BB6C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079405D4">
            <w:pPr>
              <w:pStyle w:val="135"/>
              <w:spacing w:before="114"/>
              <w:ind w:left="720"/>
              <w:rPr>
                <w:highlight w:val="none"/>
              </w:rPr>
            </w:pPr>
            <w:r>
              <w:rPr>
                <w:highlight w:val="none"/>
              </w:rPr>
              <w:t xml:space="preserve">企业地址 </w:t>
            </w:r>
          </w:p>
        </w:tc>
        <w:tc>
          <w:tcPr>
            <w:tcW w:w="4680" w:type="dxa"/>
            <w:gridSpan w:val="4"/>
            <w:vAlign w:val="center"/>
          </w:tcPr>
          <w:p w14:paraId="2EB732CF">
            <w:pPr>
              <w:widowControl/>
              <w:jc w:val="center"/>
              <w:textAlignment w:val="center"/>
              <w:rPr>
                <w:rFonts w:ascii="宋体" w:hAnsi="宋体" w:eastAsia="宋体" w:cs="宋体"/>
                <w:color w:val="000000" w:themeColor="text1"/>
                <w:highlight w:val="none"/>
                <w14:textFill>
                  <w14:solidFill>
                    <w14:schemeClr w14:val="tx1"/>
                  </w14:solidFill>
                </w14:textFill>
              </w:rPr>
            </w:pPr>
          </w:p>
        </w:tc>
        <w:tc>
          <w:tcPr>
            <w:tcW w:w="1310" w:type="dxa"/>
          </w:tcPr>
          <w:p w14:paraId="4D2C5D5D">
            <w:pPr>
              <w:pStyle w:val="135"/>
              <w:spacing w:before="106"/>
              <w:ind w:left="154" w:right="26"/>
              <w:jc w:val="cente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 xml:space="preserve">联系人电话 </w:t>
            </w:r>
          </w:p>
        </w:tc>
        <w:tc>
          <w:tcPr>
            <w:tcW w:w="1510" w:type="dxa"/>
            <w:vAlign w:val="center"/>
          </w:tcPr>
          <w:p w14:paraId="65415051">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45557C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18CAB57F">
            <w:pPr>
              <w:pStyle w:val="135"/>
              <w:spacing w:before="111"/>
              <w:ind w:left="720"/>
              <w:rPr>
                <w:highlight w:val="none"/>
              </w:rPr>
            </w:pPr>
            <w:r>
              <w:rPr>
                <w:highlight w:val="none"/>
              </w:rPr>
              <w:t xml:space="preserve">企业性质 </w:t>
            </w:r>
          </w:p>
        </w:tc>
        <w:tc>
          <w:tcPr>
            <w:tcW w:w="4680" w:type="dxa"/>
            <w:gridSpan w:val="4"/>
            <w:vAlign w:val="center"/>
          </w:tcPr>
          <w:p w14:paraId="0FF15FB2">
            <w:pPr>
              <w:widowControl/>
              <w:jc w:val="center"/>
              <w:textAlignment w:val="center"/>
              <w:rPr>
                <w:rFonts w:ascii="宋体" w:hAnsi="宋体" w:eastAsia="宋体" w:cs="宋体"/>
                <w:color w:val="000000" w:themeColor="text1"/>
                <w:highlight w:val="none"/>
                <w14:textFill>
                  <w14:solidFill>
                    <w14:schemeClr w14:val="tx1"/>
                  </w14:solidFill>
                </w14:textFill>
              </w:rPr>
            </w:pPr>
          </w:p>
        </w:tc>
        <w:tc>
          <w:tcPr>
            <w:tcW w:w="1310" w:type="dxa"/>
          </w:tcPr>
          <w:p w14:paraId="06981D5F">
            <w:pPr>
              <w:pStyle w:val="135"/>
              <w:spacing w:before="103"/>
              <w:ind w:left="154" w:right="26"/>
              <w:jc w:val="center"/>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注册时间</w:t>
            </w:r>
            <w:r>
              <w:rPr>
                <w:color w:val="000000" w:themeColor="text1"/>
                <w:highlight w:val="none"/>
                <w14:textFill>
                  <w14:solidFill>
                    <w14:schemeClr w14:val="tx1"/>
                  </w14:solidFill>
                </w14:textFill>
              </w:rPr>
              <w:t xml:space="preserve"> </w:t>
            </w:r>
          </w:p>
        </w:tc>
        <w:tc>
          <w:tcPr>
            <w:tcW w:w="1510" w:type="dxa"/>
            <w:vAlign w:val="center"/>
          </w:tcPr>
          <w:p w14:paraId="4B4219AF">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047EF0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6026B342">
            <w:pPr>
              <w:pStyle w:val="135"/>
              <w:spacing w:before="111"/>
              <w:ind w:left="509"/>
              <w:rPr>
                <w:highlight w:val="none"/>
              </w:rPr>
            </w:pPr>
            <w:r>
              <w:rPr>
                <w:highlight w:val="none"/>
              </w:rPr>
              <w:t xml:space="preserve">企业法人代表  </w:t>
            </w:r>
          </w:p>
        </w:tc>
        <w:tc>
          <w:tcPr>
            <w:tcW w:w="4680" w:type="dxa"/>
            <w:gridSpan w:val="4"/>
          </w:tcPr>
          <w:p w14:paraId="0282667B">
            <w:pPr>
              <w:pStyle w:val="5"/>
              <w:keepNext w:val="0"/>
              <w:keepLines w:val="0"/>
              <w:widowControl/>
              <w:shd w:val="clear" w:color="auto" w:fill="FFFFFF"/>
              <w:spacing w:before="0" w:after="0" w:line="450" w:lineRule="atLeast"/>
              <w:rPr>
                <w:rFonts w:ascii="宋体" w:hAnsi="宋体" w:cs="宋体"/>
                <w:color w:val="000000" w:themeColor="text1"/>
                <w:highlight w:val="none"/>
                <w14:textFill>
                  <w14:solidFill>
                    <w14:schemeClr w14:val="tx1"/>
                  </w14:solidFill>
                </w14:textFill>
              </w:rPr>
            </w:pPr>
          </w:p>
        </w:tc>
        <w:tc>
          <w:tcPr>
            <w:tcW w:w="1310" w:type="dxa"/>
          </w:tcPr>
          <w:p w14:paraId="1BAD9927">
            <w:pPr>
              <w:pStyle w:val="135"/>
              <w:spacing w:before="103"/>
              <w:ind w:right="26"/>
              <w:jc w:val="cente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企业资质</w:t>
            </w:r>
          </w:p>
        </w:tc>
        <w:tc>
          <w:tcPr>
            <w:tcW w:w="1510" w:type="dxa"/>
            <w:vAlign w:val="center"/>
          </w:tcPr>
          <w:p w14:paraId="37FBA6F7">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55BE13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7DDA991">
            <w:pPr>
              <w:pStyle w:val="135"/>
              <w:spacing w:before="114"/>
              <w:ind w:left="720"/>
              <w:rPr>
                <w:highlight w:val="none"/>
              </w:rPr>
            </w:pPr>
            <w:r>
              <w:rPr>
                <w:highlight w:val="none"/>
              </w:rPr>
              <w:t xml:space="preserve">品牌区分 </w:t>
            </w:r>
          </w:p>
        </w:tc>
        <w:tc>
          <w:tcPr>
            <w:tcW w:w="7500" w:type="dxa"/>
            <w:gridSpan w:val="6"/>
          </w:tcPr>
          <w:p w14:paraId="2CAF2D46">
            <w:pPr>
              <w:pStyle w:val="135"/>
              <w:spacing w:before="106"/>
              <w:ind w:left="401"/>
              <w:rPr>
                <w:highlight w:val="none"/>
              </w:rPr>
            </w:pPr>
            <w:r>
              <w:rPr>
                <w:highlight w:val="none"/>
              </w:rPr>
              <w:t xml:space="preserve"> </w:t>
            </w:r>
            <w:r>
              <w:rPr>
                <w:highlight w:val="none"/>
              </w:rPr>
              <w:sym w:font="Wingdings 2" w:char="00A3"/>
            </w:r>
            <w:r>
              <w:rPr>
                <w:highlight w:val="none"/>
              </w:rPr>
              <w:t xml:space="preserve">自产 </w:t>
            </w:r>
            <w:r>
              <w:rPr>
                <w:highlight w:val="none"/>
              </w:rPr>
              <w:sym w:font="Wingdings 2" w:char="00A3"/>
            </w:r>
            <w:r>
              <w:rPr>
                <w:highlight w:val="none"/>
              </w:rPr>
              <w:t xml:space="preserve">总代理 </w:t>
            </w:r>
            <w:r>
              <w:rPr>
                <w:highlight w:val="none"/>
              </w:rPr>
              <w:sym w:font="Wingdings 2" w:char="00A3"/>
            </w:r>
            <w:r>
              <w:rPr>
                <w:highlight w:val="none"/>
              </w:rPr>
              <w:t xml:space="preserve">代理  </w:t>
            </w:r>
            <w:r>
              <w:rPr>
                <w:highlight w:val="none"/>
              </w:rPr>
              <w:sym w:font="Wingdings 2" w:char="00A3"/>
            </w:r>
            <w:r>
              <w:rPr>
                <w:highlight w:val="none"/>
              </w:rPr>
              <w:t xml:space="preserve">经销 </w:t>
            </w:r>
          </w:p>
        </w:tc>
      </w:tr>
      <w:tr w14:paraId="54AD7B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255F4BBF">
            <w:pPr>
              <w:pStyle w:val="135"/>
              <w:spacing w:before="178"/>
              <w:ind w:left="720"/>
              <w:rPr>
                <w:highlight w:val="none"/>
              </w:rPr>
            </w:pPr>
            <w:r>
              <w:rPr>
                <w:highlight w:val="none"/>
              </w:rPr>
              <w:t xml:space="preserve">品牌名称 </w:t>
            </w:r>
          </w:p>
        </w:tc>
        <w:tc>
          <w:tcPr>
            <w:tcW w:w="3583" w:type="dxa"/>
            <w:gridSpan w:val="3"/>
            <w:vAlign w:val="center"/>
          </w:tcPr>
          <w:p w14:paraId="1D19F032">
            <w:pPr>
              <w:widowControl/>
              <w:rPr>
                <w:rFonts w:ascii="宋体" w:hAnsi="宋体" w:eastAsia="仿宋_GB2312"/>
                <w:kern w:val="0"/>
                <w:szCs w:val="21"/>
                <w:highlight w:val="none"/>
                <w:lang w:bidi="ar"/>
              </w:rPr>
            </w:pPr>
          </w:p>
        </w:tc>
        <w:tc>
          <w:tcPr>
            <w:tcW w:w="1097" w:type="dxa"/>
          </w:tcPr>
          <w:p w14:paraId="1BFBB3CB">
            <w:pPr>
              <w:pStyle w:val="135"/>
              <w:spacing w:before="15"/>
              <w:ind w:left="279"/>
              <w:rPr>
                <w:highlight w:val="none"/>
              </w:rPr>
            </w:pPr>
            <w:r>
              <w:rPr>
                <w:spacing w:val="-2"/>
                <w:highlight w:val="none"/>
              </w:rPr>
              <w:t>质量</w:t>
            </w:r>
            <w:r>
              <w:rPr>
                <w:highlight w:val="none"/>
              </w:rPr>
              <w:t xml:space="preserve"> </w:t>
            </w:r>
          </w:p>
          <w:p w14:paraId="581AD4F9">
            <w:pPr>
              <w:pStyle w:val="135"/>
              <w:spacing w:before="30" w:line="277" w:lineRule="exact"/>
              <w:ind w:left="279"/>
              <w:rPr>
                <w:highlight w:val="none"/>
              </w:rPr>
            </w:pPr>
            <w:r>
              <w:rPr>
                <w:rFonts w:hint="eastAsia"/>
                <w:highlight w:val="none"/>
              </w:rPr>
              <w:t>体系</w:t>
            </w:r>
          </w:p>
        </w:tc>
        <w:tc>
          <w:tcPr>
            <w:tcW w:w="2820" w:type="dxa"/>
            <w:gridSpan w:val="2"/>
          </w:tcPr>
          <w:p w14:paraId="000C9531">
            <w:pPr>
              <w:pStyle w:val="135"/>
              <w:spacing w:before="158"/>
              <w:jc w:val="center"/>
              <w:rPr>
                <w:sz w:val="24"/>
                <w:highlight w:val="none"/>
              </w:rPr>
            </w:pPr>
            <w:r>
              <w:rPr>
                <w:rFonts w:hint="eastAsia"/>
                <w:kern w:val="0"/>
                <w:szCs w:val="21"/>
                <w:highlight w:val="none"/>
                <w:lang w:bidi="ar"/>
              </w:rPr>
              <w:t>/</w:t>
            </w:r>
          </w:p>
        </w:tc>
      </w:tr>
      <w:tr w14:paraId="73802F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14F3A8F6">
            <w:pPr>
              <w:pStyle w:val="135"/>
              <w:spacing w:before="149"/>
              <w:ind w:left="3345" w:right="3223"/>
              <w:jc w:val="center"/>
              <w:rPr>
                <w:highlight w:val="none"/>
              </w:rPr>
            </w:pPr>
            <w:r>
              <w:rPr>
                <w:rFonts w:hint="eastAsia"/>
                <w:szCs w:val="21"/>
                <w:highlight w:val="none"/>
              </w:rPr>
              <w:t>单位概况</w:t>
            </w:r>
          </w:p>
        </w:tc>
      </w:tr>
      <w:tr w14:paraId="141700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61AD3D7A">
            <w:pPr>
              <w:widowControl/>
              <w:jc w:val="center"/>
              <w:textAlignment w:val="center"/>
              <w:rPr>
                <w:rFonts w:ascii="宋体" w:hAnsi="宋体" w:eastAsia="宋体" w:cs="宋体"/>
                <w:szCs w:val="21"/>
                <w:highlight w:val="none"/>
              </w:rPr>
            </w:pPr>
            <w:r>
              <w:rPr>
                <w:rFonts w:hint="eastAsia" w:ascii="宋体" w:hAnsi="宋体" w:eastAsia="宋体" w:cs="宋体"/>
                <w:spacing w:val="-2"/>
                <w:szCs w:val="21"/>
                <w:highlight w:val="none"/>
              </w:rPr>
              <w:t>参保</w:t>
            </w:r>
            <w:r>
              <w:rPr>
                <w:rFonts w:ascii="宋体" w:hAnsi="宋体" w:eastAsia="宋体" w:cs="宋体"/>
                <w:spacing w:val="-2"/>
                <w:szCs w:val="21"/>
                <w:highlight w:val="none"/>
              </w:rPr>
              <w:t>职工总人</w:t>
            </w:r>
            <w:r>
              <w:rPr>
                <w:rFonts w:ascii="宋体" w:hAnsi="宋体" w:eastAsia="宋体" w:cs="宋体"/>
                <w:spacing w:val="-1"/>
                <w:szCs w:val="21"/>
                <w:highlight w:val="none"/>
              </w:rPr>
              <w:t>数</w:t>
            </w:r>
          </w:p>
        </w:tc>
        <w:tc>
          <w:tcPr>
            <w:tcW w:w="990" w:type="dxa"/>
            <w:vAlign w:val="center"/>
          </w:tcPr>
          <w:p w14:paraId="416C183A">
            <w:pPr>
              <w:widowControl/>
              <w:textAlignment w:val="center"/>
              <w:rPr>
                <w:rFonts w:ascii="宋体" w:hAnsi="宋体" w:eastAsia="宋体" w:cs="宋体"/>
                <w:szCs w:val="21"/>
                <w:highlight w:val="none"/>
              </w:rPr>
            </w:pPr>
          </w:p>
        </w:tc>
        <w:tc>
          <w:tcPr>
            <w:tcW w:w="1530" w:type="dxa"/>
            <w:vAlign w:val="center"/>
          </w:tcPr>
          <w:p w14:paraId="3B46BD32">
            <w:pPr>
              <w:widowControl/>
              <w:jc w:val="center"/>
              <w:textAlignment w:val="center"/>
              <w:rPr>
                <w:rFonts w:ascii="宋体" w:hAnsi="宋体" w:eastAsia="宋体" w:cs="宋体"/>
                <w:szCs w:val="21"/>
                <w:highlight w:val="none"/>
              </w:rPr>
            </w:pPr>
            <w:r>
              <w:rPr>
                <w:rFonts w:ascii="宋体" w:hAnsi="宋体" w:eastAsia="宋体" w:cs="宋体"/>
                <w:spacing w:val="-2"/>
                <w:szCs w:val="21"/>
                <w:highlight w:val="none"/>
              </w:rPr>
              <w:t>工程技术人</w:t>
            </w:r>
            <w:r>
              <w:rPr>
                <w:rFonts w:ascii="宋体" w:hAnsi="宋体" w:eastAsia="宋体" w:cs="宋体"/>
                <w:spacing w:val="-1"/>
                <w:szCs w:val="21"/>
                <w:highlight w:val="none"/>
              </w:rPr>
              <w:t>员</w:t>
            </w:r>
          </w:p>
        </w:tc>
        <w:tc>
          <w:tcPr>
            <w:tcW w:w="1063" w:type="dxa"/>
            <w:vAlign w:val="center"/>
          </w:tcPr>
          <w:p w14:paraId="6D119409">
            <w:pPr>
              <w:widowControl/>
              <w:jc w:val="center"/>
              <w:textAlignment w:val="center"/>
              <w:rPr>
                <w:rFonts w:ascii="宋体" w:hAnsi="宋体" w:eastAsia="宋体" w:cs="宋体"/>
                <w:szCs w:val="21"/>
                <w:highlight w:val="none"/>
              </w:rPr>
            </w:pPr>
          </w:p>
        </w:tc>
        <w:tc>
          <w:tcPr>
            <w:tcW w:w="1097" w:type="dxa"/>
            <w:vAlign w:val="center"/>
          </w:tcPr>
          <w:p w14:paraId="388DF3C3">
            <w:pPr>
              <w:widowControl/>
              <w:textAlignment w:val="center"/>
              <w:rPr>
                <w:rFonts w:ascii="宋体" w:hAnsi="宋体" w:eastAsia="宋体" w:cs="宋体"/>
                <w:szCs w:val="21"/>
                <w:highlight w:val="none"/>
              </w:rPr>
            </w:pPr>
            <w:r>
              <w:rPr>
                <w:rFonts w:ascii="宋体" w:hAnsi="宋体" w:eastAsia="宋体" w:cs="宋体"/>
                <w:spacing w:val="-3"/>
                <w:szCs w:val="21"/>
                <w:highlight w:val="none"/>
              </w:rPr>
              <w:t>生</w:t>
            </w:r>
            <w:r>
              <w:rPr>
                <w:rFonts w:ascii="宋体" w:hAnsi="宋体" w:eastAsia="宋体" w:cs="宋体"/>
                <w:spacing w:val="-2"/>
                <w:szCs w:val="21"/>
                <w:highlight w:val="none"/>
              </w:rPr>
              <w:t>产</w:t>
            </w:r>
            <w:r>
              <w:rPr>
                <w:rFonts w:hint="eastAsia" w:ascii="宋体" w:hAnsi="宋体" w:eastAsia="宋体" w:cs="宋体"/>
                <w:spacing w:val="-2"/>
                <w:szCs w:val="21"/>
                <w:highlight w:val="none"/>
              </w:rPr>
              <w:t>、销售人员</w:t>
            </w:r>
          </w:p>
        </w:tc>
        <w:tc>
          <w:tcPr>
            <w:tcW w:w="2820" w:type="dxa"/>
            <w:gridSpan w:val="2"/>
            <w:vAlign w:val="center"/>
          </w:tcPr>
          <w:p w14:paraId="3678DFFE">
            <w:pPr>
              <w:widowControl/>
              <w:jc w:val="center"/>
              <w:textAlignment w:val="center"/>
              <w:rPr>
                <w:rFonts w:ascii="宋体" w:hAnsi="宋体" w:eastAsia="宋体" w:cs="宋体"/>
                <w:szCs w:val="21"/>
                <w:highlight w:val="none"/>
              </w:rPr>
            </w:pPr>
          </w:p>
        </w:tc>
      </w:tr>
      <w:tr w14:paraId="64BE7C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4CC21E73">
            <w:pPr>
              <w:widowControl/>
              <w:jc w:val="center"/>
              <w:textAlignment w:val="center"/>
              <w:rPr>
                <w:rFonts w:ascii="宋体" w:hAnsi="宋体" w:eastAsia="宋体" w:cs="宋体"/>
                <w:szCs w:val="21"/>
                <w:highlight w:val="none"/>
              </w:rPr>
            </w:pPr>
            <w:r>
              <w:rPr>
                <w:rFonts w:hint="eastAsia" w:ascii="宋体" w:hAnsi="宋体" w:eastAsia="宋体" w:cs="宋体"/>
                <w:kern w:val="0"/>
                <w:szCs w:val="21"/>
                <w:highlight w:val="none"/>
                <w:lang w:bidi="ar"/>
              </w:rPr>
              <w:t>企业优势、关键产品特点</w:t>
            </w:r>
          </w:p>
        </w:tc>
        <w:tc>
          <w:tcPr>
            <w:tcW w:w="7500" w:type="dxa"/>
            <w:gridSpan w:val="6"/>
            <w:vAlign w:val="center"/>
          </w:tcPr>
          <w:p w14:paraId="7B87A838">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430248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312FBA97">
            <w:pPr>
              <w:widowControl/>
              <w:jc w:val="center"/>
              <w:textAlignment w:val="center"/>
              <w:rPr>
                <w:rFonts w:ascii="宋体" w:hAnsi="宋体" w:eastAsia="宋体" w:cs="宋体"/>
                <w:szCs w:val="21"/>
                <w:highlight w:val="none"/>
              </w:rPr>
            </w:pPr>
            <w:r>
              <w:rPr>
                <w:rFonts w:hint="eastAsia" w:ascii="宋体" w:hAnsi="宋体" w:eastAsia="宋体" w:cs="宋体"/>
                <w:color w:val="000000"/>
                <w:kern w:val="0"/>
                <w:szCs w:val="21"/>
                <w:highlight w:val="none"/>
                <w:lang w:bidi="ar"/>
              </w:rPr>
              <w:t>企业行业水平及行业口碑</w:t>
            </w:r>
          </w:p>
        </w:tc>
        <w:tc>
          <w:tcPr>
            <w:tcW w:w="7500" w:type="dxa"/>
            <w:gridSpan w:val="6"/>
            <w:vAlign w:val="center"/>
          </w:tcPr>
          <w:p w14:paraId="0E201E30">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613E2B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31F93843">
            <w:pPr>
              <w:widowControl/>
              <w:jc w:val="center"/>
              <w:textAlignment w:val="center"/>
              <w:rPr>
                <w:rFonts w:ascii="宋体" w:hAnsi="宋体" w:eastAsia="宋体" w:cs="宋体"/>
                <w:szCs w:val="21"/>
                <w:highlight w:val="none"/>
              </w:rPr>
            </w:pPr>
            <w:r>
              <w:rPr>
                <w:rFonts w:ascii="宋体" w:hAnsi="宋体" w:eastAsia="宋体" w:cs="宋体"/>
                <w:spacing w:val="-10"/>
                <w:szCs w:val="21"/>
                <w:highlight w:val="none"/>
              </w:rPr>
              <w:t>公</w:t>
            </w:r>
            <w:r>
              <w:rPr>
                <w:rFonts w:ascii="宋体" w:hAnsi="宋体" w:eastAsia="宋体" w:cs="宋体"/>
                <w:spacing w:val="-7"/>
                <w:szCs w:val="21"/>
                <w:highlight w:val="none"/>
              </w:rPr>
              <w:t>司</w:t>
            </w:r>
            <w:r>
              <w:rPr>
                <w:rFonts w:ascii="宋体" w:hAnsi="宋体" w:eastAsia="宋体" w:cs="宋体"/>
                <w:spacing w:val="-5"/>
                <w:szCs w:val="21"/>
                <w:highlight w:val="none"/>
              </w:rPr>
              <w:t>现有主要研发、</w:t>
            </w:r>
            <w:r>
              <w:rPr>
                <w:rFonts w:ascii="宋体" w:hAnsi="宋体" w:eastAsia="宋体" w:cs="宋体"/>
                <w:szCs w:val="21"/>
                <w:highlight w:val="none"/>
              </w:rPr>
              <w:t xml:space="preserve"> </w:t>
            </w:r>
            <w:r>
              <w:rPr>
                <w:rFonts w:ascii="宋体" w:hAnsi="宋体" w:eastAsia="宋体" w:cs="宋体"/>
                <w:spacing w:val="-4"/>
                <w:szCs w:val="21"/>
                <w:highlight w:val="none"/>
              </w:rPr>
              <w:t>实</w:t>
            </w:r>
            <w:r>
              <w:rPr>
                <w:rFonts w:ascii="宋体" w:hAnsi="宋体" w:eastAsia="宋体" w:cs="宋体"/>
                <w:spacing w:val="-2"/>
                <w:szCs w:val="21"/>
                <w:highlight w:val="none"/>
              </w:rPr>
              <w:t>验、生产设备</w:t>
            </w:r>
          </w:p>
        </w:tc>
        <w:tc>
          <w:tcPr>
            <w:tcW w:w="7500" w:type="dxa"/>
            <w:gridSpan w:val="6"/>
            <w:vAlign w:val="center"/>
          </w:tcPr>
          <w:p w14:paraId="2ACAF3CD">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55EE1A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4CF0AEBA">
            <w:pPr>
              <w:widowControl/>
              <w:jc w:val="center"/>
              <w:textAlignment w:val="center"/>
              <w:rPr>
                <w:rFonts w:ascii="宋体" w:hAnsi="宋体" w:eastAsia="宋体" w:cs="宋体"/>
                <w:szCs w:val="21"/>
                <w:highlight w:val="none"/>
              </w:rPr>
            </w:pPr>
            <w:r>
              <w:rPr>
                <w:rFonts w:hint="eastAsia" w:ascii="宋体" w:hAnsi="宋体" w:eastAsia="宋体" w:cs="宋体"/>
                <w:kern w:val="0"/>
                <w:szCs w:val="21"/>
                <w:highlight w:val="none"/>
                <w:lang w:bidi="ar"/>
              </w:rPr>
              <w:t>近三或五年企业类似业绩及履约情况</w:t>
            </w:r>
          </w:p>
        </w:tc>
        <w:tc>
          <w:tcPr>
            <w:tcW w:w="7500" w:type="dxa"/>
            <w:gridSpan w:val="6"/>
            <w:vAlign w:val="center"/>
          </w:tcPr>
          <w:p w14:paraId="60AC7F39">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6C97AD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6590AD9D">
            <w:pPr>
              <w:widowControl/>
              <w:jc w:val="center"/>
              <w:textAlignment w:val="center"/>
              <w:rPr>
                <w:rFonts w:ascii="宋体" w:hAnsi="宋体" w:eastAsia="宋体" w:cs="宋体"/>
                <w:szCs w:val="21"/>
                <w:highlight w:val="none"/>
              </w:rPr>
            </w:pPr>
            <w:r>
              <w:rPr>
                <w:rFonts w:hint="eastAsia" w:ascii="宋体" w:hAnsi="宋体" w:eastAsia="宋体" w:cs="宋体"/>
                <w:kern w:val="0"/>
                <w:szCs w:val="21"/>
                <w:highlight w:val="none"/>
                <w:lang w:bidi="ar"/>
              </w:rPr>
              <w:t>售后服务及质量</w:t>
            </w:r>
          </w:p>
        </w:tc>
        <w:tc>
          <w:tcPr>
            <w:tcW w:w="7500" w:type="dxa"/>
            <w:gridSpan w:val="6"/>
            <w:vAlign w:val="center"/>
          </w:tcPr>
          <w:p w14:paraId="22C55C03">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31F73B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01A0C15">
            <w:pPr>
              <w:widowControl/>
              <w:textAlignment w:val="center"/>
              <w:rPr>
                <w:rFonts w:ascii="宋体" w:hAnsi="宋体" w:eastAsia="宋体" w:cs="宋体"/>
                <w:kern w:val="0"/>
                <w:szCs w:val="21"/>
                <w:highlight w:val="none"/>
                <w:lang w:bidi="ar"/>
              </w:rPr>
            </w:pPr>
            <w:r>
              <w:rPr>
                <w:rFonts w:ascii="宋体" w:hAnsi="宋体" w:eastAsia="宋体" w:cs="宋体"/>
                <w:spacing w:val="-4"/>
                <w:szCs w:val="21"/>
                <w:highlight w:val="none"/>
              </w:rPr>
              <w:t>对本项目在设计、制造、进度、财务等方面采取的组织措施和相</w:t>
            </w:r>
            <w:r>
              <w:rPr>
                <w:rFonts w:ascii="宋体" w:hAnsi="宋体" w:eastAsia="宋体" w:cs="宋体"/>
                <w:spacing w:val="-2"/>
                <w:szCs w:val="21"/>
                <w:highlight w:val="none"/>
              </w:rPr>
              <w:t>关</w:t>
            </w:r>
            <w:r>
              <w:rPr>
                <w:rFonts w:ascii="宋体" w:hAnsi="宋体" w:eastAsia="宋体" w:cs="宋体"/>
                <w:spacing w:val="-3"/>
                <w:szCs w:val="21"/>
                <w:highlight w:val="none"/>
              </w:rPr>
              <w:t>人</w:t>
            </w:r>
            <w:r>
              <w:rPr>
                <w:rFonts w:ascii="宋体" w:hAnsi="宋体" w:eastAsia="宋体" w:cs="宋体"/>
                <w:spacing w:val="-2"/>
                <w:szCs w:val="21"/>
                <w:highlight w:val="none"/>
              </w:rPr>
              <w:t>员简介</w:t>
            </w:r>
          </w:p>
        </w:tc>
        <w:tc>
          <w:tcPr>
            <w:tcW w:w="7500" w:type="dxa"/>
            <w:gridSpan w:val="6"/>
            <w:vAlign w:val="center"/>
          </w:tcPr>
          <w:p w14:paraId="1359C43B">
            <w:pPr>
              <w:widowControl/>
              <w:jc w:val="left"/>
              <w:rPr>
                <w:rFonts w:ascii="宋体" w:hAnsi="宋体" w:eastAsia="宋体" w:cs="宋体"/>
                <w:kern w:val="0"/>
                <w:szCs w:val="21"/>
                <w:highlight w:val="none"/>
                <w:lang w:bidi="ar"/>
              </w:rPr>
            </w:pPr>
          </w:p>
        </w:tc>
      </w:tr>
    </w:tbl>
    <w:p w14:paraId="74AA5E31">
      <w:pPr>
        <w:pStyle w:val="17"/>
        <w:rPr>
          <w:rFonts w:ascii="Times New Roman" w:hAnsi="Times New Roman" w:eastAsia="宋体" w:cs="Times New Roman"/>
          <w:b/>
          <w:bCs/>
          <w:color w:val="000000"/>
          <w:sz w:val="24"/>
          <w:szCs w:val="24"/>
          <w:highlight w:val="none"/>
        </w:rPr>
      </w:pPr>
    </w:p>
    <w:p w14:paraId="67ADD725">
      <w:pPr>
        <w:pStyle w:val="17"/>
        <w:rPr>
          <w:rFonts w:ascii="Times New Roman" w:hAnsi="Times New Roman" w:eastAsia="宋体" w:cs="Times New Roman"/>
          <w:b/>
          <w:bCs/>
          <w:color w:val="000000"/>
          <w:sz w:val="24"/>
          <w:szCs w:val="24"/>
          <w:highlight w:val="none"/>
        </w:rPr>
      </w:pPr>
    </w:p>
    <w:p w14:paraId="08A2E74E">
      <w:pPr>
        <w:pStyle w:val="17"/>
        <w:rPr>
          <w:rFonts w:ascii="Times New Roman" w:hAnsi="Times New Roman" w:eastAsia="宋体" w:cs="Times New Roman"/>
          <w:b/>
          <w:bCs/>
          <w:color w:val="000000"/>
          <w:sz w:val="24"/>
          <w:szCs w:val="24"/>
          <w:highlight w:val="none"/>
        </w:rPr>
      </w:pPr>
    </w:p>
    <w:p w14:paraId="60E73A41">
      <w:pPr>
        <w:pStyle w:val="17"/>
        <w:rPr>
          <w:rFonts w:ascii="Times New Roman" w:hAnsi="Times New Roman" w:eastAsia="宋体" w:cs="Times New Roman"/>
          <w:b/>
          <w:bCs/>
          <w:color w:val="000000"/>
          <w:sz w:val="24"/>
          <w:szCs w:val="24"/>
          <w:highlight w:val="none"/>
        </w:rPr>
      </w:pPr>
    </w:p>
    <w:p w14:paraId="51CC4160">
      <w:pPr>
        <w:pStyle w:val="17"/>
        <w:rPr>
          <w:rFonts w:ascii="Times New Roman" w:hAnsi="Times New Roman" w:eastAsia="宋体" w:cs="Times New Roman"/>
          <w:b/>
          <w:bCs/>
          <w:color w:val="000000"/>
          <w:sz w:val="24"/>
          <w:szCs w:val="24"/>
          <w:highlight w:val="none"/>
        </w:rPr>
      </w:pPr>
    </w:p>
    <w:p w14:paraId="340ACBE2">
      <w:pPr>
        <w:pStyle w:val="17"/>
        <w:rPr>
          <w:rFonts w:ascii="Times New Roman" w:hAnsi="Times New Roman" w:eastAsia="宋体" w:cs="Times New Roman"/>
          <w:b/>
          <w:bCs/>
          <w:color w:val="000000"/>
          <w:sz w:val="24"/>
          <w:szCs w:val="24"/>
          <w:highlight w:val="none"/>
        </w:rPr>
      </w:pPr>
    </w:p>
    <w:p w14:paraId="06BC74A4">
      <w:pPr>
        <w:pStyle w:val="17"/>
        <w:rPr>
          <w:rFonts w:ascii="Times New Roman" w:hAnsi="Times New Roman" w:eastAsia="宋体" w:cs="Times New Roman"/>
          <w:b/>
          <w:bCs/>
          <w:color w:val="000000"/>
          <w:sz w:val="24"/>
          <w:szCs w:val="24"/>
          <w:highlight w:val="none"/>
        </w:rPr>
      </w:pPr>
    </w:p>
    <w:p w14:paraId="7A76B2FE">
      <w:pPr>
        <w:pStyle w:val="17"/>
        <w:rPr>
          <w:rFonts w:ascii="Times New Roman" w:hAnsi="Times New Roman" w:eastAsia="宋体" w:cs="Times New Roman"/>
          <w:b/>
          <w:bCs/>
          <w:color w:val="000000"/>
          <w:sz w:val="24"/>
          <w:szCs w:val="24"/>
          <w:highlight w:val="none"/>
        </w:rPr>
      </w:pPr>
    </w:p>
    <w:p w14:paraId="56EACDA2">
      <w:pPr>
        <w:pStyle w:val="17"/>
        <w:outlineLvl w:val="3"/>
        <w:rPr>
          <w:rFonts w:ascii="Times New Roman" w:hAnsi="Times New Roman" w:eastAsia="宋体" w:cs="Times New Roman"/>
          <w:b/>
          <w:bCs/>
          <w:color w:val="000000"/>
          <w:sz w:val="24"/>
          <w:szCs w:val="24"/>
          <w:highlight w:val="none"/>
        </w:rPr>
      </w:pPr>
      <w:r>
        <w:rPr>
          <w:rFonts w:hAnsi="宋体" w:eastAsia="宋体" w:cs="宋体"/>
          <w:spacing w:val="-9"/>
          <w:sz w:val="24"/>
          <w:szCs w:val="24"/>
          <w:highlight w:val="none"/>
          <w14:textOutline w14:w="4356" w14:cap="flat" w14:cmpd="sng" w14:algn="ctr">
            <w14:solidFill>
              <w14:srgbClr w14:val="000000"/>
            </w14:solidFill>
            <w14:prstDash w14:val="solid"/>
            <w14:miter w14:val="0"/>
          </w14:textOutline>
        </w:rPr>
        <w:t>表</w:t>
      </w:r>
      <w:r>
        <w:rPr>
          <w:rFonts w:hAnsi="宋体" w:eastAsia="宋体" w:cs="宋体"/>
          <w:spacing w:val="-7"/>
          <w:sz w:val="24"/>
          <w:szCs w:val="24"/>
          <w:highlight w:val="none"/>
        </w:rPr>
        <w:t xml:space="preserve"> </w:t>
      </w:r>
      <w:r>
        <w:rPr>
          <w:rFonts w:hAnsi="宋体" w:eastAsia="宋体" w:cs="宋体"/>
          <w:spacing w:val="-7"/>
          <w:sz w:val="24"/>
          <w:szCs w:val="24"/>
          <w:highlight w:val="none"/>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highlight w:val="none"/>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highlight w:val="none"/>
        </w:rPr>
        <w:t>资产情况汇总表</w:t>
      </w:r>
    </w:p>
    <w:p w14:paraId="6818766C">
      <w:pPr>
        <w:pStyle w:val="17"/>
        <w:rPr>
          <w:rFonts w:ascii="Times New Roman" w:hAnsi="Times New Roman" w:eastAsia="宋体" w:cs="Times New Roman"/>
          <w:b/>
          <w:bCs/>
          <w:color w:val="000000"/>
          <w:sz w:val="24"/>
          <w:szCs w:val="24"/>
          <w:highlight w:val="none"/>
        </w:rPr>
      </w:pP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17B91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04E6DFD9">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01DF8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EEDF4D1">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27190223">
            <w:pPr>
              <w:spacing w:line="440" w:lineRule="exact"/>
              <w:jc w:val="center"/>
              <w:rPr>
                <w:rFonts w:ascii="宋体" w:hAnsi="宋体"/>
                <w:color w:val="000000"/>
                <w:sz w:val="24"/>
                <w:szCs w:val="24"/>
                <w:highlight w:val="none"/>
              </w:rPr>
            </w:pPr>
          </w:p>
        </w:tc>
      </w:tr>
      <w:tr w14:paraId="66082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7DDDA9C">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1BC4BD61">
            <w:pPr>
              <w:spacing w:line="440" w:lineRule="exact"/>
              <w:jc w:val="center"/>
              <w:rPr>
                <w:rFonts w:ascii="宋体" w:hAnsi="宋体"/>
                <w:color w:val="000000"/>
                <w:sz w:val="24"/>
                <w:szCs w:val="24"/>
                <w:highlight w:val="none"/>
              </w:rPr>
            </w:pPr>
          </w:p>
        </w:tc>
      </w:tr>
      <w:tr w14:paraId="63B3D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9FD9BE1">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3333CE8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72CB8A9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4DFFD1E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6543B6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6863873">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20CB749C">
            <w:pPr>
              <w:spacing w:line="440" w:lineRule="exact"/>
              <w:jc w:val="center"/>
              <w:rPr>
                <w:rFonts w:ascii="宋体" w:hAnsi="宋体"/>
                <w:color w:val="000000"/>
                <w:sz w:val="24"/>
                <w:szCs w:val="24"/>
                <w:highlight w:val="none"/>
              </w:rPr>
            </w:pPr>
          </w:p>
        </w:tc>
        <w:tc>
          <w:tcPr>
            <w:tcW w:w="1288" w:type="dxa"/>
          </w:tcPr>
          <w:p w14:paraId="59DA7647">
            <w:pPr>
              <w:spacing w:line="440" w:lineRule="exact"/>
              <w:jc w:val="center"/>
              <w:rPr>
                <w:rFonts w:ascii="宋体" w:hAnsi="宋体"/>
                <w:color w:val="000000"/>
                <w:sz w:val="24"/>
                <w:szCs w:val="24"/>
                <w:highlight w:val="none"/>
              </w:rPr>
            </w:pPr>
          </w:p>
        </w:tc>
        <w:tc>
          <w:tcPr>
            <w:tcW w:w="1288" w:type="dxa"/>
          </w:tcPr>
          <w:p w14:paraId="59455B89">
            <w:pPr>
              <w:spacing w:line="440" w:lineRule="exact"/>
              <w:jc w:val="center"/>
              <w:rPr>
                <w:rFonts w:ascii="宋体" w:hAnsi="宋体"/>
                <w:color w:val="000000"/>
                <w:sz w:val="24"/>
                <w:szCs w:val="24"/>
                <w:highlight w:val="none"/>
              </w:rPr>
            </w:pPr>
          </w:p>
        </w:tc>
      </w:tr>
      <w:tr w14:paraId="6DF99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718CD8B">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69B82347">
            <w:pPr>
              <w:spacing w:line="440" w:lineRule="exact"/>
              <w:jc w:val="center"/>
              <w:rPr>
                <w:rFonts w:ascii="宋体" w:hAnsi="宋体"/>
                <w:color w:val="000000"/>
                <w:sz w:val="24"/>
                <w:szCs w:val="24"/>
                <w:highlight w:val="none"/>
              </w:rPr>
            </w:pPr>
          </w:p>
        </w:tc>
        <w:tc>
          <w:tcPr>
            <w:tcW w:w="1288" w:type="dxa"/>
          </w:tcPr>
          <w:p w14:paraId="5396AC26">
            <w:pPr>
              <w:spacing w:line="440" w:lineRule="exact"/>
              <w:jc w:val="center"/>
              <w:rPr>
                <w:rFonts w:ascii="宋体" w:hAnsi="宋体"/>
                <w:color w:val="000000"/>
                <w:sz w:val="24"/>
                <w:szCs w:val="24"/>
                <w:highlight w:val="none"/>
              </w:rPr>
            </w:pPr>
          </w:p>
        </w:tc>
        <w:tc>
          <w:tcPr>
            <w:tcW w:w="1288" w:type="dxa"/>
          </w:tcPr>
          <w:p w14:paraId="17A36A9C">
            <w:pPr>
              <w:spacing w:line="440" w:lineRule="exact"/>
              <w:jc w:val="center"/>
              <w:rPr>
                <w:rFonts w:ascii="宋体" w:hAnsi="宋体"/>
                <w:color w:val="000000"/>
                <w:sz w:val="24"/>
                <w:szCs w:val="24"/>
                <w:highlight w:val="none"/>
              </w:rPr>
            </w:pPr>
          </w:p>
        </w:tc>
      </w:tr>
      <w:tr w14:paraId="6F58F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BCFA07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2C76980B">
            <w:pPr>
              <w:spacing w:line="440" w:lineRule="exact"/>
              <w:jc w:val="center"/>
              <w:rPr>
                <w:rFonts w:ascii="宋体" w:hAnsi="宋体"/>
                <w:color w:val="000000"/>
                <w:sz w:val="24"/>
                <w:szCs w:val="24"/>
                <w:highlight w:val="none"/>
              </w:rPr>
            </w:pPr>
          </w:p>
        </w:tc>
        <w:tc>
          <w:tcPr>
            <w:tcW w:w="1288" w:type="dxa"/>
          </w:tcPr>
          <w:p w14:paraId="57F1DC37">
            <w:pPr>
              <w:spacing w:line="440" w:lineRule="exact"/>
              <w:jc w:val="center"/>
              <w:rPr>
                <w:rFonts w:ascii="宋体" w:hAnsi="宋体"/>
                <w:color w:val="000000"/>
                <w:sz w:val="24"/>
                <w:szCs w:val="24"/>
                <w:highlight w:val="none"/>
              </w:rPr>
            </w:pPr>
          </w:p>
        </w:tc>
        <w:tc>
          <w:tcPr>
            <w:tcW w:w="1288" w:type="dxa"/>
          </w:tcPr>
          <w:p w14:paraId="65649552">
            <w:pPr>
              <w:spacing w:line="440" w:lineRule="exact"/>
              <w:jc w:val="center"/>
              <w:rPr>
                <w:rFonts w:ascii="宋体" w:hAnsi="宋体"/>
                <w:color w:val="000000"/>
                <w:sz w:val="24"/>
                <w:szCs w:val="24"/>
                <w:highlight w:val="none"/>
              </w:rPr>
            </w:pPr>
          </w:p>
        </w:tc>
      </w:tr>
      <w:tr w14:paraId="38B46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AC8F22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776B80DC">
            <w:pPr>
              <w:spacing w:line="440" w:lineRule="exact"/>
              <w:jc w:val="center"/>
              <w:rPr>
                <w:rFonts w:ascii="宋体" w:hAnsi="宋体"/>
                <w:color w:val="000000"/>
                <w:sz w:val="24"/>
                <w:szCs w:val="24"/>
                <w:highlight w:val="none"/>
              </w:rPr>
            </w:pPr>
          </w:p>
        </w:tc>
        <w:tc>
          <w:tcPr>
            <w:tcW w:w="1288" w:type="dxa"/>
          </w:tcPr>
          <w:p w14:paraId="6AEAF888">
            <w:pPr>
              <w:spacing w:line="440" w:lineRule="exact"/>
              <w:jc w:val="center"/>
              <w:rPr>
                <w:rFonts w:ascii="宋体" w:hAnsi="宋体"/>
                <w:color w:val="000000"/>
                <w:sz w:val="24"/>
                <w:szCs w:val="24"/>
                <w:highlight w:val="none"/>
              </w:rPr>
            </w:pPr>
          </w:p>
        </w:tc>
        <w:tc>
          <w:tcPr>
            <w:tcW w:w="1288" w:type="dxa"/>
          </w:tcPr>
          <w:p w14:paraId="17557944">
            <w:pPr>
              <w:spacing w:line="440" w:lineRule="exact"/>
              <w:jc w:val="center"/>
              <w:rPr>
                <w:rFonts w:ascii="宋体" w:hAnsi="宋体"/>
                <w:color w:val="000000"/>
                <w:sz w:val="24"/>
                <w:szCs w:val="24"/>
                <w:highlight w:val="none"/>
              </w:rPr>
            </w:pPr>
          </w:p>
        </w:tc>
      </w:tr>
      <w:tr w14:paraId="5ECBE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1E7EF7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79208109">
            <w:pPr>
              <w:spacing w:line="440" w:lineRule="exact"/>
              <w:jc w:val="center"/>
              <w:rPr>
                <w:rFonts w:ascii="宋体" w:hAnsi="宋体"/>
                <w:color w:val="000000"/>
                <w:sz w:val="24"/>
                <w:szCs w:val="24"/>
                <w:highlight w:val="none"/>
              </w:rPr>
            </w:pPr>
          </w:p>
        </w:tc>
        <w:tc>
          <w:tcPr>
            <w:tcW w:w="1288" w:type="dxa"/>
          </w:tcPr>
          <w:p w14:paraId="277AF901">
            <w:pPr>
              <w:spacing w:line="440" w:lineRule="exact"/>
              <w:jc w:val="center"/>
              <w:rPr>
                <w:rFonts w:ascii="宋体" w:hAnsi="宋体"/>
                <w:color w:val="000000"/>
                <w:sz w:val="24"/>
                <w:szCs w:val="24"/>
                <w:highlight w:val="none"/>
              </w:rPr>
            </w:pPr>
          </w:p>
        </w:tc>
        <w:tc>
          <w:tcPr>
            <w:tcW w:w="1288" w:type="dxa"/>
          </w:tcPr>
          <w:p w14:paraId="04B4DA78">
            <w:pPr>
              <w:spacing w:line="440" w:lineRule="exact"/>
              <w:jc w:val="center"/>
              <w:rPr>
                <w:rFonts w:ascii="宋体" w:hAnsi="宋体"/>
                <w:color w:val="000000"/>
                <w:sz w:val="24"/>
                <w:szCs w:val="24"/>
                <w:highlight w:val="none"/>
              </w:rPr>
            </w:pPr>
          </w:p>
        </w:tc>
      </w:tr>
      <w:tr w14:paraId="0EF7E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0E77B92">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6F6C1105">
            <w:pPr>
              <w:spacing w:line="440" w:lineRule="exact"/>
              <w:jc w:val="center"/>
              <w:rPr>
                <w:rFonts w:ascii="宋体" w:hAnsi="宋体"/>
                <w:color w:val="000000"/>
                <w:sz w:val="24"/>
                <w:szCs w:val="24"/>
                <w:highlight w:val="none"/>
              </w:rPr>
            </w:pPr>
          </w:p>
        </w:tc>
        <w:tc>
          <w:tcPr>
            <w:tcW w:w="1288" w:type="dxa"/>
          </w:tcPr>
          <w:p w14:paraId="1FC1CDE0">
            <w:pPr>
              <w:spacing w:line="440" w:lineRule="exact"/>
              <w:jc w:val="center"/>
              <w:rPr>
                <w:rFonts w:ascii="宋体" w:hAnsi="宋体"/>
                <w:color w:val="000000"/>
                <w:sz w:val="24"/>
                <w:szCs w:val="24"/>
                <w:highlight w:val="none"/>
              </w:rPr>
            </w:pPr>
          </w:p>
        </w:tc>
        <w:tc>
          <w:tcPr>
            <w:tcW w:w="1288" w:type="dxa"/>
          </w:tcPr>
          <w:p w14:paraId="3916D0A0">
            <w:pPr>
              <w:spacing w:line="440" w:lineRule="exact"/>
              <w:jc w:val="center"/>
              <w:rPr>
                <w:rFonts w:ascii="宋体" w:hAnsi="宋体"/>
                <w:color w:val="000000"/>
                <w:sz w:val="24"/>
                <w:szCs w:val="24"/>
                <w:highlight w:val="none"/>
              </w:rPr>
            </w:pPr>
          </w:p>
        </w:tc>
      </w:tr>
      <w:tr w14:paraId="3FF08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F8A88C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068F26ED">
            <w:pPr>
              <w:spacing w:line="440" w:lineRule="exact"/>
              <w:jc w:val="center"/>
              <w:rPr>
                <w:rFonts w:ascii="宋体" w:hAnsi="宋体"/>
                <w:color w:val="000000"/>
                <w:sz w:val="24"/>
                <w:szCs w:val="24"/>
                <w:highlight w:val="none"/>
              </w:rPr>
            </w:pPr>
          </w:p>
        </w:tc>
        <w:tc>
          <w:tcPr>
            <w:tcW w:w="1288" w:type="dxa"/>
          </w:tcPr>
          <w:p w14:paraId="48D1EA04">
            <w:pPr>
              <w:spacing w:line="440" w:lineRule="exact"/>
              <w:jc w:val="center"/>
              <w:rPr>
                <w:rFonts w:ascii="宋体" w:hAnsi="宋体"/>
                <w:color w:val="000000"/>
                <w:sz w:val="24"/>
                <w:szCs w:val="24"/>
                <w:highlight w:val="none"/>
              </w:rPr>
            </w:pPr>
          </w:p>
        </w:tc>
        <w:tc>
          <w:tcPr>
            <w:tcW w:w="1288" w:type="dxa"/>
          </w:tcPr>
          <w:p w14:paraId="3D181F07">
            <w:pPr>
              <w:spacing w:line="440" w:lineRule="exact"/>
              <w:jc w:val="center"/>
              <w:rPr>
                <w:rFonts w:ascii="宋体" w:hAnsi="宋体"/>
                <w:color w:val="000000"/>
                <w:sz w:val="24"/>
                <w:szCs w:val="24"/>
                <w:highlight w:val="none"/>
              </w:rPr>
            </w:pPr>
          </w:p>
        </w:tc>
      </w:tr>
      <w:tr w14:paraId="68D46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35F831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1CA13F5E">
            <w:pPr>
              <w:spacing w:line="440" w:lineRule="exact"/>
              <w:jc w:val="center"/>
              <w:rPr>
                <w:rFonts w:ascii="宋体" w:hAnsi="宋体"/>
                <w:color w:val="000000"/>
                <w:sz w:val="24"/>
                <w:szCs w:val="24"/>
                <w:highlight w:val="none"/>
              </w:rPr>
            </w:pPr>
          </w:p>
        </w:tc>
        <w:tc>
          <w:tcPr>
            <w:tcW w:w="1288" w:type="dxa"/>
          </w:tcPr>
          <w:p w14:paraId="4B14735B">
            <w:pPr>
              <w:spacing w:line="440" w:lineRule="exact"/>
              <w:jc w:val="center"/>
              <w:rPr>
                <w:rFonts w:ascii="宋体" w:hAnsi="宋体"/>
                <w:color w:val="000000"/>
                <w:sz w:val="24"/>
                <w:szCs w:val="24"/>
                <w:highlight w:val="none"/>
              </w:rPr>
            </w:pPr>
          </w:p>
        </w:tc>
        <w:tc>
          <w:tcPr>
            <w:tcW w:w="1288" w:type="dxa"/>
          </w:tcPr>
          <w:p w14:paraId="32214FA7">
            <w:pPr>
              <w:spacing w:line="440" w:lineRule="exact"/>
              <w:jc w:val="center"/>
              <w:rPr>
                <w:rFonts w:ascii="宋体" w:hAnsi="宋体"/>
                <w:color w:val="000000"/>
                <w:sz w:val="24"/>
                <w:szCs w:val="24"/>
                <w:highlight w:val="none"/>
              </w:rPr>
            </w:pPr>
          </w:p>
        </w:tc>
      </w:tr>
      <w:tr w14:paraId="305E3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65CFA5B">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01991D34">
            <w:pPr>
              <w:spacing w:line="440" w:lineRule="exact"/>
              <w:jc w:val="center"/>
              <w:rPr>
                <w:rFonts w:ascii="宋体" w:hAnsi="宋体"/>
                <w:color w:val="000000"/>
                <w:sz w:val="24"/>
                <w:szCs w:val="24"/>
                <w:highlight w:val="none"/>
              </w:rPr>
            </w:pPr>
          </w:p>
        </w:tc>
        <w:tc>
          <w:tcPr>
            <w:tcW w:w="1288" w:type="dxa"/>
          </w:tcPr>
          <w:p w14:paraId="48650BCB">
            <w:pPr>
              <w:spacing w:line="440" w:lineRule="exact"/>
              <w:jc w:val="center"/>
              <w:rPr>
                <w:rFonts w:ascii="宋体" w:hAnsi="宋体"/>
                <w:color w:val="000000"/>
                <w:sz w:val="24"/>
                <w:szCs w:val="24"/>
                <w:highlight w:val="none"/>
              </w:rPr>
            </w:pPr>
          </w:p>
        </w:tc>
        <w:tc>
          <w:tcPr>
            <w:tcW w:w="1288" w:type="dxa"/>
          </w:tcPr>
          <w:p w14:paraId="278033D9">
            <w:pPr>
              <w:spacing w:line="440" w:lineRule="exact"/>
              <w:jc w:val="center"/>
              <w:rPr>
                <w:rFonts w:ascii="宋体" w:hAnsi="宋体"/>
                <w:color w:val="000000"/>
                <w:sz w:val="24"/>
                <w:szCs w:val="24"/>
                <w:highlight w:val="none"/>
              </w:rPr>
            </w:pPr>
          </w:p>
        </w:tc>
      </w:tr>
      <w:tr w14:paraId="145D9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69E412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52991A7E">
            <w:pPr>
              <w:spacing w:line="440" w:lineRule="exact"/>
              <w:jc w:val="center"/>
              <w:rPr>
                <w:rFonts w:ascii="宋体" w:hAnsi="宋体"/>
                <w:color w:val="000000"/>
                <w:sz w:val="24"/>
                <w:szCs w:val="24"/>
                <w:highlight w:val="none"/>
              </w:rPr>
            </w:pPr>
          </w:p>
        </w:tc>
        <w:tc>
          <w:tcPr>
            <w:tcW w:w="1288" w:type="dxa"/>
          </w:tcPr>
          <w:p w14:paraId="54154B57">
            <w:pPr>
              <w:spacing w:line="440" w:lineRule="exact"/>
              <w:jc w:val="center"/>
              <w:rPr>
                <w:rFonts w:ascii="宋体" w:hAnsi="宋体"/>
                <w:color w:val="000000"/>
                <w:sz w:val="24"/>
                <w:szCs w:val="24"/>
                <w:highlight w:val="none"/>
              </w:rPr>
            </w:pPr>
          </w:p>
        </w:tc>
        <w:tc>
          <w:tcPr>
            <w:tcW w:w="1288" w:type="dxa"/>
          </w:tcPr>
          <w:p w14:paraId="71203D26">
            <w:pPr>
              <w:spacing w:line="440" w:lineRule="exact"/>
              <w:jc w:val="center"/>
              <w:rPr>
                <w:rFonts w:ascii="宋体" w:hAnsi="宋体"/>
                <w:color w:val="000000"/>
                <w:sz w:val="24"/>
                <w:szCs w:val="24"/>
                <w:highlight w:val="none"/>
              </w:rPr>
            </w:pPr>
          </w:p>
        </w:tc>
      </w:tr>
    </w:tbl>
    <w:p w14:paraId="7FB6F6C7">
      <w:pPr>
        <w:spacing w:line="660" w:lineRule="exact"/>
        <w:ind w:firstLine="240" w:firstLineChars="100"/>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730F08F8">
      <w:pPr>
        <w:spacing w:line="660" w:lineRule="exact"/>
        <w:ind w:firstLine="240" w:firstLineChars="100"/>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1B7B0F8F">
      <w:pPr>
        <w:spacing w:line="660" w:lineRule="exact"/>
        <w:ind w:firstLine="240" w:firstLineChars="100"/>
        <w:rPr>
          <w:rFonts w:ascii="宋体" w:hAnsi="Calibri" w:eastAsia="宋体" w:cs="Times New Roman"/>
          <w:sz w:val="24"/>
          <w:szCs w:val="20"/>
          <w:highlight w:val="none"/>
        </w:rPr>
      </w:pP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73B1A21C">
      <w:pPr>
        <w:rPr>
          <w:rFonts w:ascii="宋体" w:hAnsi="Calibri" w:eastAsia="宋体" w:cs="宋体"/>
          <w:b/>
          <w:bCs/>
          <w:color w:val="000000"/>
          <w:sz w:val="28"/>
          <w:szCs w:val="20"/>
          <w:highlight w:val="none"/>
        </w:rPr>
        <w:sectPr>
          <w:footerReference r:id="rId22" w:type="first"/>
          <w:footerReference r:id="rId21" w:type="default"/>
          <w:pgSz w:w="11906" w:h="16838"/>
          <w:pgMar w:top="1588" w:right="1418" w:bottom="1134" w:left="1418" w:header="851" w:footer="992" w:gutter="0"/>
          <w:pgNumType w:fmt="decimal"/>
          <w:cols w:space="720" w:num="1"/>
          <w:titlePg/>
          <w:docGrid w:type="lines" w:linePitch="312" w:charSpace="0"/>
        </w:sectPr>
      </w:pPr>
    </w:p>
    <w:p w14:paraId="22F70F7F">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附件4</w:t>
      </w:r>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保密承诺函</w:t>
      </w:r>
    </w:p>
    <w:p w14:paraId="5B241518">
      <w:pPr>
        <w:spacing w:line="240" w:lineRule="exact"/>
        <w:jc w:val="center"/>
        <w:rPr>
          <w:rFonts w:ascii="宋体" w:hAnsi="Calibri" w:eastAsia="宋体" w:cs="Times New Roman"/>
          <w:b/>
          <w:bCs/>
          <w:sz w:val="36"/>
          <w:szCs w:val="20"/>
          <w:highlight w:val="none"/>
        </w:rPr>
      </w:pPr>
    </w:p>
    <w:p w14:paraId="48A3F535">
      <w:pPr>
        <w:spacing w:line="360" w:lineRule="auto"/>
        <w:rPr>
          <w:rFonts w:ascii="宋体" w:hAnsi="Calibri" w:eastAsia="宋体" w:cs="Times New Roman"/>
          <w:sz w:val="24"/>
          <w:szCs w:val="20"/>
          <w:highlight w:val="none"/>
          <w:u w:val="single"/>
        </w:rPr>
      </w:pPr>
      <w:r>
        <w:rPr>
          <w:rFonts w:hint="eastAsia" w:ascii="宋体" w:hAnsi="宋体" w:eastAsia="宋体" w:cs="Times New Roman"/>
          <w:sz w:val="24"/>
          <w:szCs w:val="20"/>
          <w:highlight w:val="none"/>
        </w:rPr>
        <w:t>项目名称：</w:t>
      </w:r>
      <w:r>
        <w:rPr>
          <w:rFonts w:hint="eastAsia" w:ascii="宋体" w:hAnsi="宋体" w:eastAsia="宋体" w:cs="Times New Roman"/>
          <w:sz w:val="24"/>
          <w:szCs w:val="20"/>
          <w:highlight w:val="none"/>
          <w:u w:val="single"/>
          <w:lang w:val="en-US" w:eastAsia="zh-CN"/>
        </w:rPr>
        <w:t xml:space="preserve">                      </w:t>
      </w:r>
      <w:r>
        <w:rPr>
          <w:rFonts w:hint="eastAsia" w:ascii="宋体" w:hAnsi="宋体" w:eastAsia="宋体" w:cs="Times New Roman"/>
          <w:sz w:val="24"/>
          <w:szCs w:val="20"/>
          <w:highlight w:val="none"/>
          <w:u w:val="single"/>
        </w:rPr>
        <w:t>项目</w:t>
      </w:r>
    </w:p>
    <w:p w14:paraId="36037848">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lang w:eastAsia="zh-CN"/>
        </w:rPr>
        <w:t>中国重汽集团杭州发动机有限公司</w:t>
      </w:r>
      <w:r>
        <w:rPr>
          <w:rFonts w:hint="eastAsia" w:ascii="宋体" w:hAnsi="宋体" w:eastAsia="宋体" w:cs="Times New Roman"/>
          <w:b/>
          <w:bCs/>
          <w:sz w:val="24"/>
          <w:szCs w:val="20"/>
          <w:highlight w:val="none"/>
        </w:rPr>
        <w:t>：</w:t>
      </w:r>
    </w:p>
    <w:p w14:paraId="265EA7D3">
      <w:pPr>
        <w:spacing w:line="360" w:lineRule="auto"/>
        <w:ind w:firstLine="480"/>
        <w:rPr>
          <w:rFonts w:ascii="宋体" w:hAnsi="Calibri" w:eastAsia="宋体" w:cs="Times New Roman"/>
          <w:sz w:val="24"/>
          <w:szCs w:val="20"/>
          <w:highlight w:val="none"/>
        </w:rPr>
      </w:pPr>
      <w:r>
        <w:rPr>
          <w:rFonts w:hint="eastAsia" w:ascii="宋体" w:hAnsi="宋体" w:eastAsia="宋体" w:cs="Times New Roman"/>
          <w:sz w:val="24"/>
          <w:szCs w:val="20"/>
          <w:highlight w:val="none"/>
        </w:rPr>
        <w:t>我代表（投标人名称）对招标人的商业秘密作如下承诺：</w:t>
      </w:r>
    </w:p>
    <w:p w14:paraId="5BA6B485">
      <w:pPr>
        <w:spacing w:line="360" w:lineRule="auto"/>
        <w:ind w:left="479" w:leftChars="228"/>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highlight w:val="none"/>
          <w:u w:val="single"/>
        </w:rPr>
        <w:t xml:space="preserve">                                                                 </w:t>
      </w:r>
    </w:p>
    <w:p w14:paraId="07A7AFC1">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7CE02DA">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3A1CF78">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12AE1BA">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7D8C84D">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48BCBCF">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20BCE18">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B4791F3">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4DC080A">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D09A999">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FD7DEC2">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99DE535">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37F3A4F">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EB6B402">
      <w:pPr>
        <w:spacing w:line="360" w:lineRule="auto"/>
        <w:ind w:firstLine="480" w:firstLineChars="200"/>
        <w:rPr>
          <w:rFonts w:ascii="宋体" w:hAnsi="宋体" w:eastAsia="宋体" w:cs="Times New Roman"/>
          <w:sz w:val="24"/>
          <w:szCs w:val="20"/>
          <w:highlight w:val="none"/>
          <w:u w:val="single"/>
        </w:rPr>
      </w:pPr>
    </w:p>
    <w:p w14:paraId="552CBB07">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投标人：（盖章）</w:t>
      </w:r>
    </w:p>
    <w:p w14:paraId="0726E793">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法定代表人（委托代理人）：（签字）</w:t>
      </w:r>
    </w:p>
    <w:p w14:paraId="3C050A4E">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日</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期：</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月</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w:t>
      </w:r>
    </w:p>
    <w:p w14:paraId="1B3A3311">
      <w:pPr>
        <w:rPr>
          <w:rFonts w:ascii="宋体" w:hAnsi="Calibri" w:eastAsia="宋体" w:cs="宋体"/>
          <w:b/>
          <w:bCs/>
          <w:color w:val="000000"/>
          <w:sz w:val="28"/>
          <w:szCs w:val="20"/>
          <w:highlight w:val="none"/>
        </w:rPr>
        <w:sectPr>
          <w:footerReference r:id="rId24" w:type="first"/>
          <w:footerReference r:id="rId23" w:type="default"/>
          <w:pgSz w:w="11906" w:h="16838"/>
          <w:pgMar w:top="1588" w:right="1418" w:bottom="1134" w:left="1418" w:header="851" w:footer="992" w:gutter="0"/>
          <w:pgNumType w:fmt="decimal"/>
          <w:cols w:space="720" w:num="1"/>
          <w:titlePg/>
          <w:docGrid w:type="lines" w:linePitch="312" w:charSpace="0"/>
        </w:sectPr>
      </w:pPr>
    </w:p>
    <w:p w14:paraId="32F2630B">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宋体"/>
          <w:b/>
          <w:bCs/>
          <w:color w:val="000000"/>
          <w:sz w:val="24"/>
          <w:szCs w:val="24"/>
          <w:highlight w:val="none"/>
        </w:rPr>
        <w:t>附件5-1</w:t>
      </w:r>
      <w:r>
        <w:rPr>
          <w:rFonts w:ascii="Times New Roman" w:hAnsi="Times New Roman" w:eastAsia="宋体" w:cs="宋体"/>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技术规格偏离表</w:t>
      </w:r>
    </w:p>
    <w:p w14:paraId="253E1643">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项目名称：</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u w:val="single"/>
        </w:rPr>
        <w:t>项目</w:t>
      </w:r>
      <w:r>
        <w:rPr>
          <w:rFonts w:ascii="宋体" w:hAnsi="宋体" w:eastAsia="宋体" w:cs="Times New Roman"/>
          <w:color w:val="000000"/>
          <w:sz w:val="24"/>
          <w:szCs w:val="24"/>
          <w:highlight w:val="none"/>
        </w:rPr>
        <w:t xml:space="preserve">                                                          </w:t>
      </w:r>
    </w:p>
    <w:tbl>
      <w:tblPr>
        <w:tblStyle w:val="36"/>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55525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5252D1E7">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序号</w:t>
            </w:r>
          </w:p>
        </w:tc>
        <w:tc>
          <w:tcPr>
            <w:tcW w:w="3449" w:type="dxa"/>
            <w:vAlign w:val="center"/>
          </w:tcPr>
          <w:p w14:paraId="3BD4E564">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招标要求</w:t>
            </w:r>
          </w:p>
        </w:tc>
        <w:tc>
          <w:tcPr>
            <w:tcW w:w="2414" w:type="dxa"/>
            <w:vAlign w:val="center"/>
          </w:tcPr>
          <w:p w14:paraId="60D974EB">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响应规格</w:t>
            </w:r>
          </w:p>
        </w:tc>
        <w:tc>
          <w:tcPr>
            <w:tcW w:w="1608" w:type="dxa"/>
            <w:vAlign w:val="center"/>
          </w:tcPr>
          <w:p w14:paraId="3C8EACC3">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是否偏离</w:t>
            </w:r>
          </w:p>
        </w:tc>
      </w:tr>
      <w:tr w14:paraId="6C239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9C68087">
            <w:pPr>
              <w:jc w:val="center"/>
              <w:rPr>
                <w:rFonts w:ascii="Times New Roman" w:hAnsi="Times New Roman" w:eastAsia="宋体" w:cs="Times New Roman"/>
                <w:b/>
                <w:sz w:val="24"/>
                <w:szCs w:val="20"/>
                <w:highlight w:val="none"/>
              </w:rPr>
            </w:pPr>
          </w:p>
        </w:tc>
        <w:tc>
          <w:tcPr>
            <w:tcW w:w="3449" w:type="dxa"/>
          </w:tcPr>
          <w:p w14:paraId="7E115418">
            <w:pPr>
              <w:jc w:val="center"/>
              <w:rPr>
                <w:rFonts w:ascii="Times New Roman" w:hAnsi="Times New Roman" w:eastAsia="宋体" w:cs="Times New Roman"/>
                <w:b/>
                <w:sz w:val="24"/>
                <w:szCs w:val="20"/>
                <w:highlight w:val="none"/>
              </w:rPr>
            </w:pPr>
          </w:p>
        </w:tc>
        <w:tc>
          <w:tcPr>
            <w:tcW w:w="2414" w:type="dxa"/>
          </w:tcPr>
          <w:p w14:paraId="6B32A250">
            <w:pPr>
              <w:jc w:val="center"/>
              <w:rPr>
                <w:rFonts w:ascii="Times New Roman" w:hAnsi="Times New Roman" w:eastAsia="宋体" w:cs="Times New Roman"/>
                <w:b/>
                <w:sz w:val="24"/>
                <w:szCs w:val="20"/>
                <w:highlight w:val="none"/>
              </w:rPr>
            </w:pPr>
          </w:p>
        </w:tc>
        <w:tc>
          <w:tcPr>
            <w:tcW w:w="1608" w:type="dxa"/>
          </w:tcPr>
          <w:p w14:paraId="20AC36A4">
            <w:pPr>
              <w:jc w:val="center"/>
              <w:rPr>
                <w:rFonts w:ascii="Times New Roman" w:hAnsi="Times New Roman" w:eastAsia="宋体" w:cs="Times New Roman"/>
                <w:b/>
                <w:sz w:val="24"/>
                <w:szCs w:val="20"/>
                <w:highlight w:val="none"/>
              </w:rPr>
            </w:pPr>
          </w:p>
        </w:tc>
      </w:tr>
      <w:tr w14:paraId="77580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152C1A41">
            <w:pPr>
              <w:jc w:val="center"/>
              <w:rPr>
                <w:rFonts w:ascii="Times New Roman" w:hAnsi="Times New Roman" w:eastAsia="宋体" w:cs="Times New Roman"/>
                <w:b/>
                <w:sz w:val="24"/>
                <w:szCs w:val="20"/>
                <w:highlight w:val="none"/>
              </w:rPr>
            </w:pPr>
          </w:p>
        </w:tc>
        <w:tc>
          <w:tcPr>
            <w:tcW w:w="3449" w:type="dxa"/>
          </w:tcPr>
          <w:p w14:paraId="48DDBB39">
            <w:pPr>
              <w:jc w:val="center"/>
              <w:rPr>
                <w:rFonts w:ascii="Times New Roman" w:hAnsi="Times New Roman" w:eastAsia="宋体" w:cs="Times New Roman"/>
                <w:b/>
                <w:sz w:val="24"/>
                <w:szCs w:val="20"/>
                <w:highlight w:val="none"/>
              </w:rPr>
            </w:pPr>
          </w:p>
        </w:tc>
        <w:tc>
          <w:tcPr>
            <w:tcW w:w="2414" w:type="dxa"/>
          </w:tcPr>
          <w:p w14:paraId="0EAC5C22">
            <w:pPr>
              <w:jc w:val="center"/>
              <w:rPr>
                <w:rFonts w:ascii="Times New Roman" w:hAnsi="Times New Roman" w:eastAsia="宋体" w:cs="Times New Roman"/>
                <w:b/>
                <w:sz w:val="24"/>
                <w:szCs w:val="20"/>
                <w:highlight w:val="none"/>
              </w:rPr>
            </w:pPr>
          </w:p>
        </w:tc>
        <w:tc>
          <w:tcPr>
            <w:tcW w:w="1608" w:type="dxa"/>
          </w:tcPr>
          <w:p w14:paraId="7CCCE52B">
            <w:pPr>
              <w:jc w:val="center"/>
              <w:rPr>
                <w:rFonts w:ascii="Times New Roman" w:hAnsi="Times New Roman" w:eastAsia="宋体" w:cs="Times New Roman"/>
                <w:b/>
                <w:sz w:val="24"/>
                <w:szCs w:val="20"/>
                <w:highlight w:val="none"/>
              </w:rPr>
            </w:pPr>
          </w:p>
        </w:tc>
      </w:tr>
      <w:tr w14:paraId="20232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3F90344">
            <w:pPr>
              <w:jc w:val="center"/>
              <w:rPr>
                <w:rFonts w:ascii="Times New Roman" w:hAnsi="Times New Roman" w:eastAsia="宋体" w:cs="Times New Roman"/>
                <w:b/>
                <w:sz w:val="24"/>
                <w:szCs w:val="20"/>
                <w:highlight w:val="none"/>
              </w:rPr>
            </w:pPr>
          </w:p>
        </w:tc>
        <w:tc>
          <w:tcPr>
            <w:tcW w:w="3449" w:type="dxa"/>
          </w:tcPr>
          <w:p w14:paraId="14425F61">
            <w:pPr>
              <w:jc w:val="center"/>
              <w:rPr>
                <w:rFonts w:ascii="Times New Roman" w:hAnsi="Times New Roman" w:eastAsia="宋体" w:cs="Times New Roman"/>
                <w:b/>
                <w:sz w:val="24"/>
                <w:szCs w:val="20"/>
                <w:highlight w:val="none"/>
              </w:rPr>
            </w:pPr>
          </w:p>
        </w:tc>
        <w:tc>
          <w:tcPr>
            <w:tcW w:w="2414" w:type="dxa"/>
          </w:tcPr>
          <w:p w14:paraId="08DF50FD">
            <w:pPr>
              <w:jc w:val="center"/>
              <w:rPr>
                <w:rFonts w:ascii="Times New Roman" w:hAnsi="Times New Roman" w:eastAsia="宋体" w:cs="Times New Roman"/>
                <w:b/>
                <w:sz w:val="24"/>
                <w:szCs w:val="20"/>
                <w:highlight w:val="none"/>
              </w:rPr>
            </w:pPr>
          </w:p>
        </w:tc>
        <w:tc>
          <w:tcPr>
            <w:tcW w:w="1608" w:type="dxa"/>
          </w:tcPr>
          <w:p w14:paraId="164D8FC5">
            <w:pPr>
              <w:jc w:val="center"/>
              <w:rPr>
                <w:rFonts w:ascii="Times New Roman" w:hAnsi="Times New Roman" w:eastAsia="宋体" w:cs="Times New Roman"/>
                <w:b/>
                <w:sz w:val="24"/>
                <w:szCs w:val="20"/>
                <w:highlight w:val="none"/>
              </w:rPr>
            </w:pPr>
          </w:p>
        </w:tc>
      </w:tr>
      <w:tr w14:paraId="1C5C6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1979C73F">
            <w:pPr>
              <w:jc w:val="center"/>
              <w:rPr>
                <w:rFonts w:ascii="Times New Roman" w:hAnsi="Times New Roman" w:eastAsia="宋体" w:cs="Times New Roman"/>
                <w:b/>
                <w:sz w:val="24"/>
                <w:szCs w:val="20"/>
                <w:highlight w:val="none"/>
              </w:rPr>
            </w:pPr>
          </w:p>
        </w:tc>
        <w:tc>
          <w:tcPr>
            <w:tcW w:w="3449" w:type="dxa"/>
          </w:tcPr>
          <w:p w14:paraId="11C76C3F">
            <w:pPr>
              <w:jc w:val="center"/>
              <w:rPr>
                <w:rFonts w:ascii="Times New Roman" w:hAnsi="Times New Roman" w:eastAsia="宋体" w:cs="Times New Roman"/>
                <w:b/>
                <w:sz w:val="24"/>
                <w:szCs w:val="20"/>
                <w:highlight w:val="none"/>
              </w:rPr>
            </w:pPr>
          </w:p>
        </w:tc>
        <w:tc>
          <w:tcPr>
            <w:tcW w:w="2414" w:type="dxa"/>
          </w:tcPr>
          <w:p w14:paraId="3C922B09">
            <w:pPr>
              <w:jc w:val="center"/>
              <w:rPr>
                <w:rFonts w:ascii="Times New Roman" w:hAnsi="Times New Roman" w:eastAsia="宋体" w:cs="Times New Roman"/>
                <w:b/>
                <w:sz w:val="24"/>
                <w:szCs w:val="20"/>
                <w:highlight w:val="none"/>
              </w:rPr>
            </w:pPr>
          </w:p>
        </w:tc>
        <w:tc>
          <w:tcPr>
            <w:tcW w:w="1608" w:type="dxa"/>
          </w:tcPr>
          <w:p w14:paraId="752246A3">
            <w:pPr>
              <w:jc w:val="center"/>
              <w:rPr>
                <w:rFonts w:ascii="Times New Roman" w:hAnsi="Times New Roman" w:eastAsia="宋体" w:cs="Times New Roman"/>
                <w:b/>
                <w:sz w:val="24"/>
                <w:szCs w:val="20"/>
                <w:highlight w:val="none"/>
              </w:rPr>
            </w:pPr>
          </w:p>
        </w:tc>
      </w:tr>
      <w:tr w14:paraId="04050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AAEDB4B">
            <w:pPr>
              <w:jc w:val="center"/>
              <w:rPr>
                <w:rFonts w:ascii="Times New Roman" w:hAnsi="Times New Roman" w:eastAsia="宋体" w:cs="Times New Roman"/>
                <w:b/>
                <w:sz w:val="24"/>
                <w:szCs w:val="20"/>
                <w:highlight w:val="none"/>
              </w:rPr>
            </w:pPr>
          </w:p>
        </w:tc>
        <w:tc>
          <w:tcPr>
            <w:tcW w:w="3449" w:type="dxa"/>
          </w:tcPr>
          <w:p w14:paraId="0B213CC4">
            <w:pPr>
              <w:jc w:val="center"/>
              <w:rPr>
                <w:rFonts w:ascii="Times New Roman" w:hAnsi="Times New Roman" w:eastAsia="宋体" w:cs="Times New Roman"/>
                <w:b/>
                <w:sz w:val="24"/>
                <w:szCs w:val="20"/>
                <w:highlight w:val="none"/>
              </w:rPr>
            </w:pPr>
          </w:p>
        </w:tc>
        <w:tc>
          <w:tcPr>
            <w:tcW w:w="2414" w:type="dxa"/>
          </w:tcPr>
          <w:p w14:paraId="4877E55B">
            <w:pPr>
              <w:jc w:val="center"/>
              <w:rPr>
                <w:rFonts w:ascii="Times New Roman" w:hAnsi="Times New Roman" w:eastAsia="宋体" w:cs="Times New Roman"/>
                <w:b/>
                <w:sz w:val="24"/>
                <w:szCs w:val="20"/>
                <w:highlight w:val="none"/>
              </w:rPr>
            </w:pPr>
          </w:p>
        </w:tc>
        <w:tc>
          <w:tcPr>
            <w:tcW w:w="1608" w:type="dxa"/>
          </w:tcPr>
          <w:p w14:paraId="4CBDE3DF">
            <w:pPr>
              <w:jc w:val="center"/>
              <w:rPr>
                <w:rFonts w:ascii="Times New Roman" w:hAnsi="Times New Roman" w:eastAsia="宋体" w:cs="Times New Roman"/>
                <w:b/>
                <w:sz w:val="24"/>
                <w:szCs w:val="20"/>
                <w:highlight w:val="none"/>
              </w:rPr>
            </w:pPr>
          </w:p>
        </w:tc>
      </w:tr>
      <w:tr w14:paraId="5BA513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053640C0">
            <w:pPr>
              <w:jc w:val="center"/>
              <w:rPr>
                <w:rFonts w:ascii="Times New Roman" w:hAnsi="Times New Roman" w:eastAsia="宋体" w:cs="Times New Roman"/>
                <w:b/>
                <w:sz w:val="24"/>
                <w:szCs w:val="20"/>
                <w:highlight w:val="none"/>
              </w:rPr>
            </w:pPr>
          </w:p>
        </w:tc>
        <w:tc>
          <w:tcPr>
            <w:tcW w:w="3449" w:type="dxa"/>
          </w:tcPr>
          <w:p w14:paraId="3F393204">
            <w:pPr>
              <w:jc w:val="center"/>
              <w:rPr>
                <w:rFonts w:ascii="Times New Roman" w:hAnsi="Times New Roman" w:eastAsia="宋体" w:cs="Times New Roman"/>
                <w:b/>
                <w:sz w:val="24"/>
                <w:szCs w:val="20"/>
                <w:highlight w:val="none"/>
              </w:rPr>
            </w:pPr>
          </w:p>
        </w:tc>
        <w:tc>
          <w:tcPr>
            <w:tcW w:w="2414" w:type="dxa"/>
          </w:tcPr>
          <w:p w14:paraId="4EA1050D">
            <w:pPr>
              <w:jc w:val="center"/>
              <w:rPr>
                <w:rFonts w:ascii="Times New Roman" w:hAnsi="Times New Roman" w:eastAsia="宋体" w:cs="Times New Roman"/>
                <w:b/>
                <w:sz w:val="24"/>
                <w:szCs w:val="20"/>
                <w:highlight w:val="none"/>
              </w:rPr>
            </w:pPr>
          </w:p>
        </w:tc>
        <w:tc>
          <w:tcPr>
            <w:tcW w:w="1608" w:type="dxa"/>
          </w:tcPr>
          <w:p w14:paraId="585E63AD">
            <w:pPr>
              <w:jc w:val="center"/>
              <w:rPr>
                <w:rFonts w:ascii="Times New Roman" w:hAnsi="Times New Roman" w:eastAsia="宋体" w:cs="Times New Roman"/>
                <w:b/>
                <w:sz w:val="24"/>
                <w:szCs w:val="20"/>
                <w:highlight w:val="none"/>
              </w:rPr>
            </w:pPr>
          </w:p>
        </w:tc>
      </w:tr>
      <w:tr w14:paraId="7E4C9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CAB952D">
            <w:pPr>
              <w:jc w:val="center"/>
              <w:rPr>
                <w:rFonts w:ascii="Times New Roman" w:hAnsi="Times New Roman" w:eastAsia="宋体" w:cs="Times New Roman"/>
                <w:b/>
                <w:sz w:val="24"/>
                <w:szCs w:val="20"/>
                <w:highlight w:val="none"/>
              </w:rPr>
            </w:pPr>
          </w:p>
        </w:tc>
        <w:tc>
          <w:tcPr>
            <w:tcW w:w="3449" w:type="dxa"/>
          </w:tcPr>
          <w:p w14:paraId="3C984B09">
            <w:pPr>
              <w:jc w:val="center"/>
              <w:rPr>
                <w:rFonts w:ascii="Times New Roman" w:hAnsi="Times New Roman" w:eastAsia="宋体" w:cs="Times New Roman"/>
                <w:b/>
                <w:sz w:val="24"/>
                <w:szCs w:val="20"/>
                <w:highlight w:val="none"/>
              </w:rPr>
            </w:pPr>
          </w:p>
        </w:tc>
        <w:tc>
          <w:tcPr>
            <w:tcW w:w="2414" w:type="dxa"/>
          </w:tcPr>
          <w:p w14:paraId="15F70E98">
            <w:pPr>
              <w:jc w:val="center"/>
              <w:rPr>
                <w:rFonts w:ascii="Times New Roman" w:hAnsi="Times New Roman" w:eastAsia="宋体" w:cs="Times New Roman"/>
                <w:b/>
                <w:sz w:val="24"/>
                <w:szCs w:val="20"/>
                <w:highlight w:val="none"/>
              </w:rPr>
            </w:pPr>
          </w:p>
        </w:tc>
        <w:tc>
          <w:tcPr>
            <w:tcW w:w="1608" w:type="dxa"/>
          </w:tcPr>
          <w:p w14:paraId="330CE2E4">
            <w:pPr>
              <w:jc w:val="center"/>
              <w:rPr>
                <w:rFonts w:ascii="Times New Roman" w:hAnsi="Times New Roman" w:eastAsia="宋体" w:cs="Times New Roman"/>
                <w:b/>
                <w:sz w:val="24"/>
                <w:szCs w:val="20"/>
                <w:highlight w:val="none"/>
              </w:rPr>
            </w:pPr>
          </w:p>
        </w:tc>
      </w:tr>
      <w:tr w14:paraId="177DF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4797D84F">
            <w:pPr>
              <w:jc w:val="center"/>
              <w:rPr>
                <w:rFonts w:ascii="Times New Roman" w:hAnsi="Times New Roman" w:eastAsia="宋体" w:cs="Times New Roman"/>
                <w:b/>
                <w:sz w:val="24"/>
                <w:szCs w:val="20"/>
                <w:highlight w:val="none"/>
              </w:rPr>
            </w:pPr>
          </w:p>
        </w:tc>
        <w:tc>
          <w:tcPr>
            <w:tcW w:w="3449" w:type="dxa"/>
          </w:tcPr>
          <w:p w14:paraId="125AC06B">
            <w:pPr>
              <w:jc w:val="center"/>
              <w:rPr>
                <w:rFonts w:ascii="Times New Roman" w:hAnsi="Times New Roman" w:eastAsia="宋体" w:cs="Times New Roman"/>
                <w:b/>
                <w:sz w:val="24"/>
                <w:szCs w:val="20"/>
                <w:highlight w:val="none"/>
              </w:rPr>
            </w:pPr>
          </w:p>
        </w:tc>
        <w:tc>
          <w:tcPr>
            <w:tcW w:w="2414" w:type="dxa"/>
          </w:tcPr>
          <w:p w14:paraId="1CFC1978">
            <w:pPr>
              <w:jc w:val="center"/>
              <w:rPr>
                <w:rFonts w:ascii="Times New Roman" w:hAnsi="Times New Roman" w:eastAsia="宋体" w:cs="Times New Roman"/>
                <w:b/>
                <w:sz w:val="24"/>
                <w:szCs w:val="20"/>
                <w:highlight w:val="none"/>
              </w:rPr>
            </w:pPr>
          </w:p>
        </w:tc>
        <w:tc>
          <w:tcPr>
            <w:tcW w:w="1608" w:type="dxa"/>
          </w:tcPr>
          <w:p w14:paraId="6E14AD67">
            <w:pPr>
              <w:jc w:val="center"/>
              <w:rPr>
                <w:rFonts w:ascii="Times New Roman" w:hAnsi="Times New Roman" w:eastAsia="宋体" w:cs="Times New Roman"/>
                <w:b/>
                <w:sz w:val="24"/>
                <w:szCs w:val="20"/>
                <w:highlight w:val="none"/>
              </w:rPr>
            </w:pPr>
          </w:p>
        </w:tc>
      </w:tr>
      <w:tr w14:paraId="6F848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1AA591F">
            <w:pPr>
              <w:jc w:val="center"/>
              <w:rPr>
                <w:rFonts w:ascii="Times New Roman" w:hAnsi="Times New Roman" w:eastAsia="宋体" w:cs="Times New Roman"/>
                <w:b/>
                <w:sz w:val="24"/>
                <w:szCs w:val="20"/>
                <w:highlight w:val="none"/>
              </w:rPr>
            </w:pPr>
          </w:p>
        </w:tc>
        <w:tc>
          <w:tcPr>
            <w:tcW w:w="3449" w:type="dxa"/>
          </w:tcPr>
          <w:p w14:paraId="379C24AB">
            <w:pPr>
              <w:jc w:val="center"/>
              <w:rPr>
                <w:rFonts w:ascii="Times New Roman" w:hAnsi="Times New Roman" w:eastAsia="宋体" w:cs="Times New Roman"/>
                <w:b/>
                <w:sz w:val="24"/>
                <w:szCs w:val="20"/>
                <w:highlight w:val="none"/>
              </w:rPr>
            </w:pPr>
          </w:p>
        </w:tc>
        <w:tc>
          <w:tcPr>
            <w:tcW w:w="2414" w:type="dxa"/>
          </w:tcPr>
          <w:p w14:paraId="45D439D5">
            <w:pPr>
              <w:jc w:val="center"/>
              <w:rPr>
                <w:rFonts w:ascii="Times New Roman" w:hAnsi="Times New Roman" w:eastAsia="宋体" w:cs="Times New Roman"/>
                <w:b/>
                <w:sz w:val="24"/>
                <w:szCs w:val="20"/>
                <w:highlight w:val="none"/>
              </w:rPr>
            </w:pPr>
          </w:p>
        </w:tc>
        <w:tc>
          <w:tcPr>
            <w:tcW w:w="1608" w:type="dxa"/>
          </w:tcPr>
          <w:p w14:paraId="2CFE321E">
            <w:pPr>
              <w:jc w:val="center"/>
              <w:rPr>
                <w:rFonts w:ascii="Times New Roman" w:hAnsi="Times New Roman" w:eastAsia="宋体" w:cs="Times New Roman"/>
                <w:b/>
                <w:sz w:val="24"/>
                <w:szCs w:val="20"/>
                <w:highlight w:val="none"/>
              </w:rPr>
            </w:pPr>
          </w:p>
        </w:tc>
      </w:tr>
      <w:tr w14:paraId="28437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498F4152">
            <w:pPr>
              <w:jc w:val="center"/>
              <w:rPr>
                <w:rFonts w:ascii="Times New Roman" w:hAnsi="Times New Roman" w:eastAsia="宋体" w:cs="Times New Roman"/>
                <w:b/>
                <w:sz w:val="24"/>
                <w:szCs w:val="20"/>
                <w:highlight w:val="none"/>
              </w:rPr>
            </w:pPr>
          </w:p>
        </w:tc>
        <w:tc>
          <w:tcPr>
            <w:tcW w:w="3449" w:type="dxa"/>
          </w:tcPr>
          <w:p w14:paraId="1E62F858">
            <w:pPr>
              <w:jc w:val="center"/>
              <w:rPr>
                <w:rFonts w:ascii="Times New Roman" w:hAnsi="Times New Roman" w:eastAsia="宋体" w:cs="Times New Roman"/>
                <w:b/>
                <w:sz w:val="24"/>
                <w:szCs w:val="20"/>
                <w:highlight w:val="none"/>
              </w:rPr>
            </w:pPr>
          </w:p>
        </w:tc>
        <w:tc>
          <w:tcPr>
            <w:tcW w:w="2414" w:type="dxa"/>
          </w:tcPr>
          <w:p w14:paraId="47E2BDA7">
            <w:pPr>
              <w:jc w:val="center"/>
              <w:rPr>
                <w:rFonts w:ascii="Times New Roman" w:hAnsi="Times New Roman" w:eastAsia="宋体" w:cs="Times New Roman"/>
                <w:b/>
                <w:sz w:val="24"/>
                <w:szCs w:val="20"/>
                <w:highlight w:val="none"/>
              </w:rPr>
            </w:pPr>
          </w:p>
        </w:tc>
        <w:tc>
          <w:tcPr>
            <w:tcW w:w="1608" w:type="dxa"/>
          </w:tcPr>
          <w:p w14:paraId="7C94852D">
            <w:pPr>
              <w:jc w:val="center"/>
              <w:rPr>
                <w:rFonts w:ascii="Times New Roman" w:hAnsi="Times New Roman" w:eastAsia="宋体" w:cs="Times New Roman"/>
                <w:b/>
                <w:sz w:val="24"/>
                <w:szCs w:val="20"/>
                <w:highlight w:val="none"/>
              </w:rPr>
            </w:pPr>
          </w:p>
        </w:tc>
      </w:tr>
      <w:tr w14:paraId="14C19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E786D7D">
            <w:pPr>
              <w:jc w:val="center"/>
              <w:rPr>
                <w:rFonts w:ascii="Times New Roman" w:hAnsi="Times New Roman" w:eastAsia="宋体" w:cs="Times New Roman"/>
                <w:b/>
                <w:sz w:val="24"/>
                <w:szCs w:val="20"/>
                <w:highlight w:val="none"/>
              </w:rPr>
            </w:pPr>
          </w:p>
        </w:tc>
        <w:tc>
          <w:tcPr>
            <w:tcW w:w="3449" w:type="dxa"/>
          </w:tcPr>
          <w:p w14:paraId="4F936A5D">
            <w:pPr>
              <w:jc w:val="center"/>
              <w:rPr>
                <w:rFonts w:ascii="Times New Roman" w:hAnsi="Times New Roman" w:eastAsia="宋体" w:cs="Times New Roman"/>
                <w:b/>
                <w:sz w:val="24"/>
                <w:szCs w:val="20"/>
                <w:highlight w:val="none"/>
              </w:rPr>
            </w:pPr>
          </w:p>
        </w:tc>
        <w:tc>
          <w:tcPr>
            <w:tcW w:w="2414" w:type="dxa"/>
          </w:tcPr>
          <w:p w14:paraId="34662399">
            <w:pPr>
              <w:jc w:val="center"/>
              <w:rPr>
                <w:rFonts w:ascii="Times New Roman" w:hAnsi="Times New Roman" w:eastAsia="宋体" w:cs="Times New Roman"/>
                <w:b/>
                <w:sz w:val="24"/>
                <w:szCs w:val="20"/>
                <w:highlight w:val="none"/>
              </w:rPr>
            </w:pPr>
          </w:p>
        </w:tc>
        <w:tc>
          <w:tcPr>
            <w:tcW w:w="1608" w:type="dxa"/>
          </w:tcPr>
          <w:p w14:paraId="7FD3D072">
            <w:pPr>
              <w:jc w:val="center"/>
              <w:rPr>
                <w:rFonts w:ascii="Times New Roman" w:hAnsi="Times New Roman" w:eastAsia="宋体" w:cs="Times New Roman"/>
                <w:b/>
                <w:sz w:val="24"/>
                <w:szCs w:val="20"/>
                <w:highlight w:val="none"/>
              </w:rPr>
            </w:pPr>
          </w:p>
        </w:tc>
      </w:tr>
      <w:tr w14:paraId="053F7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6D7DF40">
            <w:pPr>
              <w:jc w:val="center"/>
              <w:rPr>
                <w:rFonts w:ascii="Times New Roman" w:hAnsi="Times New Roman" w:eastAsia="宋体" w:cs="Times New Roman"/>
                <w:b/>
                <w:sz w:val="24"/>
                <w:szCs w:val="20"/>
                <w:highlight w:val="none"/>
              </w:rPr>
            </w:pPr>
          </w:p>
        </w:tc>
        <w:tc>
          <w:tcPr>
            <w:tcW w:w="3449" w:type="dxa"/>
          </w:tcPr>
          <w:p w14:paraId="24D07323">
            <w:pPr>
              <w:jc w:val="center"/>
              <w:rPr>
                <w:rFonts w:ascii="Times New Roman" w:hAnsi="Times New Roman" w:eastAsia="宋体" w:cs="Times New Roman"/>
                <w:b/>
                <w:sz w:val="24"/>
                <w:szCs w:val="20"/>
                <w:highlight w:val="none"/>
              </w:rPr>
            </w:pPr>
          </w:p>
        </w:tc>
        <w:tc>
          <w:tcPr>
            <w:tcW w:w="2414" w:type="dxa"/>
          </w:tcPr>
          <w:p w14:paraId="4102D9BE">
            <w:pPr>
              <w:jc w:val="center"/>
              <w:rPr>
                <w:rFonts w:ascii="Times New Roman" w:hAnsi="Times New Roman" w:eastAsia="宋体" w:cs="Times New Roman"/>
                <w:b/>
                <w:sz w:val="24"/>
                <w:szCs w:val="20"/>
                <w:highlight w:val="none"/>
              </w:rPr>
            </w:pPr>
          </w:p>
        </w:tc>
        <w:tc>
          <w:tcPr>
            <w:tcW w:w="1608" w:type="dxa"/>
          </w:tcPr>
          <w:p w14:paraId="6A4C3E5F">
            <w:pPr>
              <w:jc w:val="center"/>
              <w:rPr>
                <w:rFonts w:ascii="Times New Roman" w:hAnsi="Times New Roman" w:eastAsia="宋体" w:cs="Times New Roman"/>
                <w:b/>
                <w:sz w:val="24"/>
                <w:szCs w:val="20"/>
                <w:highlight w:val="none"/>
              </w:rPr>
            </w:pPr>
          </w:p>
        </w:tc>
      </w:tr>
      <w:tr w14:paraId="549F8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29DDF91">
            <w:pPr>
              <w:jc w:val="center"/>
              <w:rPr>
                <w:rFonts w:ascii="Times New Roman" w:hAnsi="Times New Roman" w:eastAsia="宋体" w:cs="Times New Roman"/>
                <w:b/>
                <w:sz w:val="24"/>
                <w:szCs w:val="20"/>
                <w:highlight w:val="none"/>
              </w:rPr>
            </w:pPr>
          </w:p>
        </w:tc>
        <w:tc>
          <w:tcPr>
            <w:tcW w:w="3449" w:type="dxa"/>
          </w:tcPr>
          <w:p w14:paraId="7A92D096">
            <w:pPr>
              <w:jc w:val="center"/>
              <w:rPr>
                <w:rFonts w:ascii="Times New Roman" w:hAnsi="Times New Roman" w:eastAsia="宋体" w:cs="Times New Roman"/>
                <w:b/>
                <w:sz w:val="24"/>
                <w:szCs w:val="20"/>
                <w:highlight w:val="none"/>
              </w:rPr>
            </w:pPr>
          </w:p>
        </w:tc>
        <w:tc>
          <w:tcPr>
            <w:tcW w:w="2414" w:type="dxa"/>
          </w:tcPr>
          <w:p w14:paraId="7F27FE3A">
            <w:pPr>
              <w:jc w:val="center"/>
              <w:rPr>
                <w:rFonts w:ascii="Times New Roman" w:hAnsi="Times New Roman" w:eastAsia="宋体" w:cs="Times New Roman"/>
                <w:b/>
                <w:sz w:val="24"/>
                <w:szCs w:val="20"/>
                <w:highlight w:val="none"/>
              </w:rPr>
            </w:pPr>
          </w:p>
        </w:tc>
        <w:tc>
          <w:tcPr>
            <w:tcW w:w="1608" w:type="dxa"/>
          </w:tcPr>
          <w:p w14:paraId="34FAC15D">
            <w:pPr>
              <w:jc w:val="center"/>
              <w:rPr>
                <w:rFonts w:ascii="Times New Roman" w:hAnsi="Times New Roman" w:eastAsia="宋体" w:cs="Times New Roman"/>
                <w:b/>
                <w:sz w:val="24"/>
                <w:szCs w:val="20"/>
                <w:highlight w:val="none"/>
              </w:rPr>
            </w:pPr>
          </w:p>
        </w:tc>
      </w:tr>
      <w:tr w14:paraId="7B453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12DCC01">
            <w:pPr>
              <w:jc w:val="center"/>
              <w:rPr>
                <w:rFonts w:ascii="Times New Roman" w:hAnsi="Times New Roman" w:eastAsia="宋体" w:cs="Times New Roman"/>
                <w:b/>
                <w:sz w:val="24"/>
                <w:szCs w:val="20"/>
                <w:highlight w:val="none"/>
              </w:rPr>
            </w:pPr>
          </w:p>
        </w:tc>
        <w:tc>
          <w:tcPr>
            <w:tcW w:w="3449" w:type="dxa"/>
          </w:tcPr>
          <w:p w14:paraId="68F3B739">
            <w:pPr>
              <w:jc w:val="center"/>
              <w:rPr>
                <w:rFonts w:ascii="Times New Roman" w:hAnsi="Times New Roman" w:eastAsia="宋体" w:cs="Times New Roman"/>
                <w:b/>
                <w:sz w:val="24"/>
                <w:szCs w:val="20"/>
                <w:highlight w:val="none"/>
              </w:rPr>
            </w:pPr>
          </w:p>
        </w:tc>
        <w:tc>
          <w:tcPr>
            <w:tcW w:w="2414" w:type="dxa"/>
          </w:tcPr>
          <w:p w14:paraId="3483CDCF">
            <w:pPr>
              <w:jc w:val="center"/>
              <w:rPr>
                <w:rFonts w:ascii="Times New Roman" w:hAnsi="Times New Roman" w:eastAsia="宋体" w:cs="Times New Roman"/>
                <w:b/>
                <w:sz w:val="24"/>
                <w:szCs w:val="20"/>
                <w:highlight w:val="none"/>
              </w:rPr>
            </w:pPr>
          </w:p>
        </w:tc>
        <w:tc>
          <w:tcPr>
            <w:tcW w:w="1608" w:type="dxa"/>
          </w:tcPr>
          <w:p w14:paraId="02FC9CBB">
            <w:pPr>
              <w:jc w:val="center"/>
              <w:rPr>
                <w:rFonts w:ascii="Times New Roman" w:hAnsi="Times New Roman" w:eastAsia="宋体" w:cs="Times New Roman"/>
                <w:b/>
                <w:sz w:val="24"/>
                <w:szCs w:val="20"/>
                <w:highlight w:val="none"/>
              </w:rPr>
            </w:pPr>
          </w:p>
        </w:tc>
      </w:tr>
    </w:tbl>
    <w:p w14:paraId="53271D2E">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39740C8E">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272B3A0D">
      <w:pPr>
        <w:rPr>
          <w:rFonts w:ascii="宋体" w:hAnsi="Calibri" w:eastAsia="宋体" w:cs="宋体"/>
          <w:b/>
          <w:bCs/>
          <w:color w:val="000000"/>
          <w:sz w:val="28"/>
          <w:szCs w:val="20"/>
          <w:highlight w:val="none"/>
        </w:rPr>
      </w:pPr>
    </w:p>
    <w:p w14:paraId="4D472B5C">
      <w:pPr>
        <w:rPr>
          <w:rFonts w:ascii="宋体" w:hAnsi="Calibri" w:eastAsia="宋体" w:cs="宋体"/>
          <w:b/>
          <w:bCs/>
          <w:color w:val="000000"/>
          <w:sz w:val="28"/>
          <w:szCs w:val="20"/>
          <w:highlight w:val="none"/>
        </w:rPr>
        <w:sectPr>
          <w:footerReference r:id="rId26" w:type="first"/>
          <w:footerReference r:id="rId25" w:type="default"/>
          <w:pgSz w:w="11906" w:h="16838"/>
          <w:pgMar w:top="1588" w:right="1418" w:bottom="1134" w:left="1418" w:header="851" w:footer="992" w:gutter="0"/>
          <w:pgNumType w:fmt="decimal"/>
          <w:cols w:space="720" w:num="1"/>
          <w:titlePg/>
          <w:docGrid w:type="lines" w:linePitch="312" w:charSpace="0"/>
        </w:sectPr>
      </w:pPr>
    </w:p>
    <w:p w14:paraId="092C5216">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宋体"/>
          <w:b/>
          <w:bCs/>
          <w:color w:val="000000"/>
          <w:sz w:val="24"/>
          <w:szCs w:val="24"/>
          <w:highlight w:val="none"/>
        </w:rPr>
        <w:t>附件5</w:t>
      </w:r>
      <w:r>
        <w:rPr>
          <w:rFonts w:hint="eastAsia" w:ascii="Times New Roman" w:hAnsi="Times New Roman" w:eastAsia="宋体" w:cs="宋体"/>
          <w:b/>
          <w:bCs/>
          <w:color w:val="000000"/>
          <w:sz w:val="24"/>
          <w:szCs w:val="24"/>
          <w:highlight w:val="none"/>
          <w:lang w:val="en-US" w:eastAsia="zh-CN"/>
        </w:rPr>
        <w:t>-2</w:t>
      </w:r>
      <w:r>
        <w:rPr>
          <w:rFonts w:ascii="Times New Roman" w:hAnsi="Times New Roman" w:eastAsia="宋体" w:cs="宋体"/>
          <w:b/>
          <w:bCs/>
          <w:color w:val="000000"/>
          <w:sz w:val="24"/>
          <w:szCs w:val="24"/>
          <w:highlight w:val="none"/>
        </w:rPr>
        <w:t xml:space="preserve"> </w:t>
      </w:r>
      <w:r>
        <w:rPr>
          <w:rFonts w:ascii="宋体" w:hAnsi="宋体" w:eastAsia="宋体" w:cs="宋体"/>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none"/>
          <w:lang w:val="en-US" w:eastAsia="zh-CN"/>
          <w14:textOutline w14:w="5791" w14:cap="flat" w14:cmpd="sng" w14:algn="ctr">
            <w14:solidFill>
              <w14:srgbClr w14:val="000000"/>
            </w14:solidFill>
            <w14:prstDash w14:val="solid"/>
            <w14:miter w14:val="0"/>
          </w14:textOutline>
        </w:rPr>
        <w:t>配置</w:t>
      </w:r>
    </w:p>
    <w:p w14:paraId="20C7E00A">
      <w:pPr>
        <w:keepNext/>
        <w:keepLines/>
        <w:spacing w:line="400" w:lineRule="exact"/>
        <w:jc w:val="center"/>
        <w:rPr>
          <w:rFonts w:ascii="宋体" w:hAnsi="宋体" w:eastAsia="宋体" w:cs="Times New Roman"/>
          <w:b/>
          <w:bCs/>
          <w:sz w:val="24"/>
          <w:szCs w:val="24"/>
          <w:highlight w:val="none"/>
        </w:rPr>
      </w:pPr>
      <w:r>
        <w:rPr>
          <w:rFonts w:ascii="宋体" w:hAnsi="宋体" w:eastAsia="宋体" w:cs="宋体"/>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none"/>
          <w:lang w:val="en-US" w:eastAsia="zh-CN"/>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表</w:t>
      </w:r>
    </w:p>
    <w:p w14:paraId="3A2009BA">
      <w:pPr>
        <w:spacing w:before="52" w:line="221" w:lineRule="auto"/>
        <w:ind w:left="9"/>
        <w:jc w:val="right"/>
        <w:rPr>
          <w:rFonts w:ascii="宋体" w:hAnsi="宋体" w:eastAsia="宋体" w:cs="Times New Roman"/>
          <w:b/>
          <w:bCs/>
          <w:sz w:val="24"/>
          <w:szCs w:val="24"/>
          <w:highlight w:val="none"/>
        </w:rPr>
      </w:pPr>
      <w:r>
        <w:rPr>
          <w:rFonts w:ascii="宋体" w:hAnsi="宋体" w:eastAsia="宋体" w:cs="宋体"/>
          <w:spacing w:val="-1"/>
          <w:szCs w:val="21"/>
          <w:highlight w:val="none"/>
        </w:rPr>
        <w:t xml:space="preserve">                                                                </w:t>
      </w:r>
      <w:r>
        <w:rPr>
          <w:rFonts w:ascii="宋体" w:hAnsi="宋体" w:eastAsia="宋体" w:cs="宋体"/>
          <w:szCs w:val="21"/>
          <w:highlight w:val="none"/>
        </w:rPr>
        <w:t xml:space="preserve">                                           </w:t>
      </w:r>
    </w:p>
    <w:tbl>
      <w:tblPr>
        <w:tblStyle w:val="133"/>
        <w:tblW w:w="1327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42"/>
        <w:gridCol w:w="2471"/>
        <w:gridCol w:w="2472"/>
        <w:gridCol w:w="1474"/>
        <w:gridCol w:w="2014"/>
        <w:gridCol w:w="2608"/>
        <w:gridCol w:w="1496"/>
      </w:tblGrid>
      <w:tr w14:paraId="1C45B5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42" w:type="dxa"/>
          </w:tcPr>
          <w:p w14:paraId="671C0670">
            <w:pPr>
              <w:spacing w:before="97" w:line="186" w:lineRule="auto"/>
              <w:ind w:left="304"/>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1</w:t>
            </w:r>
          </w:p>
        </w:tc>
        <w:tc>
          <w:tcPr>
            <w:tcW w:w="2471" w:type="dxa"/>
          </w:tcPr>
          <w:p w14:paraId="6AD62B4F">
            <w:pPr>
              <w:spacing w:before="98" w:line="185" w:lineRule="auto"/>
              <w:ind w:left="1071"/>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2</w:t>
            </w:r>
          </w:p>
        </w:tc>
        <w:tc>
          <w:tcPr>
            <w:tcW w:w="2472" w:type="dxa"/>
          </w:tcPr>
          <w:p w14:paraId="6CAFE538">
            <w:pPr>
              <w:spacing w:before="99" w:line="183" w:lineRule="auto"/>
              <w:ind w:left="107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3</w:t>
            </w:r>
          </w:p>
        </w:tc>
        <w:tc>
          <w:tcPr>
            <w:tcW w:w="1474" w:type="dxa"/>
          </w:tcPr>
          <w:p w14:paraId="027AC169">
            <w:pPr>
              <w:spacing w:before="98" w:line="185" w:lineRule="auto"/>
              <w:ind w:left="511"/>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4</w:t>
            </w:r>
          </w:p>
        </w:tc>
        <w:tc>
          <w:tcPr>
            <w:tcW w:w="2014" w:type="dxa"/>
          </w:tcPr>
          <w:p w14:paraId="0C584C4D">
            <w:pPr>
              <w:spacing w:before="100" w:line="182" w:lineRule="auto"/>
              <w:ind w:left="798"/>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5</w:t>
            </w:r>
          </w:p>
        </w:tc>
        <w:tc>
          <w:tcPr>
            <w:tcW w:w="2608" w:type="dxa"/>
            <w:tcBorders>
              <w:left w:val="single" w:color="000000" w:sz="4" w:space="0"/>
            </w:tcBorders>
          </w:tcPr>
          <w:p w14:paraId="5C8274C4">
            <w:pPr>
              <w:spacing w:before="100" w:line="182" w:lineRule="auto"/>
              <w:ind w:left="1007"/>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7</w:t>
            </w:r>
          </w:p>
        </w:tc>
        <w:tc>
          <w:tcPr>
            <w:tcW w:w="1496" w:type="dxa"/>
          </w:tcPr>
          <w:p w14:paraId="7A7018F9">
            <w:pPr>
              <w:spacing w:before="99" w:line="183" w:lineRule="auto"/>
              <w:ind w:firstLine="420" w:firstLineChars="200"/>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8</w:t>
            </w:r>
          </w:p>
        </w:tc>
      </w:tr>
      <w:tr w14:paraId="65DCD3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742" w:type="dxa"/>
            <w:vAlign w:val="center"/>
          </w:tcPr>
          <w:p w14:paraId="53447234">
            <w:pPr>
              <w:spacing w:before="0"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序号</w:t>
            </w:r>
          </w:p>
        </w:tc>
        <w:tc>
          <w:tcPr>
            <w:tcW w:w="2471" w:type="dxa"/>
            <w:vAlign w:val="center"/>
          </w:tcPr>
          <w:p w14:paraId="2D564DAD">
            <w:pPr>
              <w:spacing w:before="0"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货物名称</w:t>
            </w:r>
          </w:p>
        </w:tc>
        <w:tc>
          <w:tcPr>
            <w:tcW w:w="2472" w:type="dxa"/>
            <w:vAlign w:val="center"/>
          </w:tcPr>
          <w:p w14:paraId="0EF0A47F">
            <w:pPr>
              <w:spacing w:before="0"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型号和规格</w:t>
            </w:r>
          </w:p>
        </w:tc>
        <w:tc>
          <w:tcPr>
            <w:tcW w:w="1474" w:type="dxa"/>
            <w:vAlign w:val="center"/>
          </w:tcPr>
          <w:p w14:paraId="40F8BB3C">
            <w:pPr>
              <w:spacing w:before="0" w:line="221" w:lineRule="auto"/>
              <w:ind w:left="0"/>
              <w:jc w:val="center"/>
              <w:rPr>
                <w:rFonts w:hint="eastAsia" w:ascii="宋体" w:hAnsi="宋体" w:eastAsia="宋体" w:cs="宋体"/>
                <w:spacing w:val="-1"/>
                <w:szCs w:val="21"/>
                <w:highlight w:val="none"/>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t>单位</w:t>
            </w:r>
          </w:p>
        </w:tc>
        <w:tc>
          <w:tcPr>
            <w:tcW w:w="2014" w:type="dxa"/>
            <w:vAlign w:val="center"/>
          </w:tcPr>
          <w:p w14:paraId="5CB5429C">
            <w:pPr>
              <w:spacing w:before="0" w:line="221" w:lineRule="auto"/>
              <w:ind w:left="0" w:right="0" w:firstLine="0"/>
              <w:jc w:val="cente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t>数量</w:t>
            </w:r>
          </w:p>
        </w:tc>
        <w:tc>
          <w:tcPr>
            <w:tcW w:w="2608" w:type="dxa"/>
            <w:tcBorders>
              <w:left w:val="single" w:color="000000" w:sz="4" w:space="0"/>
            </w:tcBorders>
            <w:vAlign w:val="center"/>
          </w:tcPr>
          <w:p w14:paraId="53356205">
            <w:pPr>
              <w:spacing w:before="0" w:line="221" w:lineRule="auto"/>
              <w:ind w:left="0" w:leftChars="0" w:firstLine="0" w:firstLineChars="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原产地和制造商名称</w:t>
            </w:r>
          </w:p>
        </w:tc>
        <w:tc>
          <w:tcPr>
            <w:tcW w:w="1496" w:type="dxa"/>
            <w:vAlign w:val="center"/>
          </w:tcPr>
          <w:p w14:paraId="3BC9013E">
            <w:pPr>
              <w:spacing w:before="0" w:line="221" w:lineRule="auto"/>
              <w:ind w:firstLine="0" w:firstLineChars="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备  注</w:t>
            </w:r>
          </w:p>
        </w:tc>
      </w:tr>
      <w:tr w14:paraId="434847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14:paraId="13E5F79D">
            <w:pPr>
              <w:pStyle w:val="131"/>
              <w:numPr>
                <w:ilvl w:val="0"/>
                <w:numId w:val="0"/>
              </w:numPr>
              <w:adjustRightInd w:val="0"/>
              <w:snapToGrid w:val="0"/>
              <w:spacing w:line="240" w:lineRule="auto"/>
              <w:ind w:left="0" w:leftChars="0" w:firstLine="0" w:firstLineChars="0"/>
              <w:jc w:val="center"/>
              <w:rPr>
                <w:rFonts w:hint="default" w:ascii="宋体" w:hAnsi="宋体" w:eastAsia="宋体" w:cs="宋体"/>
                <w:color w:val="000000"/>
                <w:kern w:val="0"/>
                <w:sz w:val="24"/>
                <w:szCs w:val="24"/>
                <w:highlight w:val="none"/>
                <w:lang w:val="en-US" w:eastAsia="zh-CN" w:bidi="ar-SA"/>
              </w:rPr>
            </w:pPr>
            <w:r>
              <w:rPr>
                <w:rFonts w:hint="eastAsia" w:ascii="宋体" w:hAnsi="宋体" w:eastAsia="宋体" w:cs="宋体"/>
                <w:color w:val="000000"/>
                <w:kern w:val="0"/>
                <w:sz w:val="24"/>
                <w:szCs w:val="24"/>
                <w:highlight w:val="none"/>
                <w:lang w:val="en-US" w:eastAsia="zh-CN" w:bidi="ar-SA"/>
              </w:rPr>
              <w:t>1</w:t>
            </w:r>
          </w:p>
        </w:tc>
        <w:tc>
          <w:tcPr>
            <w:tcW w:w="2471" w:type="dxa"/>
            <w:vAlign w:val="center"/>
          </w:tcPr>
          <w:p w14:paraId="40C74679">
            <w:pPr>
              <w:jc w:val="center"/>
              <w:rPr>
                <w:rFonts w:hint="eastAsia" w:ascii="宋体" w:hAnsi="宋体" w:eastAsia="宋体" w:cs="宋体"/>
                <w:color w:val="000000"/>
                <w:kern w:val="0"/>
                <w:sz w:val="24"/>
                <w:szCs w:val="24"/>
                <w:highlight w:val="none"/>
                <w:lang w:val="en-US" w:eastAsia="zh-CN" w:bidi="ar-SA"/>
              </w:rPr>
            </w:pPr>
          </w:p>
        </w:tc>
        <w:tc>
          <w:tcPr>
            <w:tcW w:w="2472" w:type="dxa"/>
            <w:vAlign w:val="center"/>
          </w:tcPr>
          <w:p w14:paraId="11914041">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highlight w:val="none"/>
              </w:rPr>
            </w:pPr>
          </w:p>
        </w:tc>
        <w:tc>
          <w:tcPr>
            <w:tcW w:w="1474" w:type="dxa"/>
            <w:vAlign w:val="center"/>
          </w:tcPr>
          <w:p w14:paraId="462298F7">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kern w:val="2"/>
                <w:sz w:val="24"/>
                <w:szCs w:val="24"/>
                <w:highlight w:val="none"/>
                <w:lang w:val="en-US" w:eastAsia="zh-CN" w:bidi="ar-SA"/>
              </w:rPr>
            </w:pPr>
          </w:p>
        </w:tc>
        <w:tc>
          <w:tcPr>
            <w:tcW w:w="2014" w:type="dxa"/>
            <w:vAlign w:val="top"/>
          </w:tcPr>
          <w:p w14:paraId="4FC1479B">
            <w:pPr>
              <w:rPr>
                <w:rFonts w:hint="default" w:ascii="宋体" w:hAnsi="宋体" w:eastAsia="宋体" w:cs="宋体"/>
                <w:kern w:val="2"/>
                <w:sz w:val="24"/>
                <w:szCs w:val="24"/>
                <w:highlight w:val="none"/>
                <w:lang w:val="en-US" w:eastAsia="zh-CN" w:bidi="ar-SA"/>
              </w:rPr>
            </w:pPr>
          </w:p>
        </w:tc>
        <w:tc>
          <w:tcPr>
            <w:tcW w:w="2608" w:type="dxa"/>
            <w:tcBorders>
              <w:left w:val="single" w:color="000000" w:sz="4" w:space="0"/>
            </w:tcBorders>
          </w:tcPr>
          <w:p w14:paraId="7981DACB">
            <w:pPr>
              <w:rPr>
                <w:rFonts w:ascii="Arial"/>
                <w:highlight w:val="none"/>
              </w:rPr>
            </w:pPr>
          </w:p>
        </w:tc>
        <w:tc>
          <w:tcPr>
            <w:tcW w:w="1496" w:type="dxa"/>
            <w:vAlign w:val="center"/>
          </w:tcPr>
          <w:p w14:paraId="03E98A95">
            <w:pPr>
              <w:jc w:val="center"/>
              <w:textAlignment w:val="center"/>
              <w:rPr>
                <w:rFonts w:ascii="宋体" w:hAnsi="宋体" w:eastAsia="宋体" w:cs="宋体"/>
                <w:kern w:val="2"/>
                <w:sz w:val="24"/>
                <w:szCs w:val="24"/>
                <w:highlight w:val="none"/>
                <w:lang w:val="en-US" w:eastAsia="zh-CN" w:bidi="ar-SA"/>
              </w:rPr>
            </w:pPr>
          </w:p>
        </w:tc>
      </w:tr>
      <w:tr w14:paraId="23EC29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14:paraId="042E25CD">
            <w:pPr>
              <w:pStyle w:val="131"/>
              <w:numPr>
                <w:ilvl w:val="0"/>
                <w:numId w:val="0"/>
              </w:numPr>
              <w:adjustRightInd w:val="0"/>
              <w:snapToGrid w:val="0"/>
              <w:spacing w:line="240" w:lineRule="auto"/>
              <w:ind w:left="0" w:leftChars="0" w:firstLine="0" w:firstLineChars="0"/>
              <w:jc w:val="center"/>
              <w:rPr>
                <w:rFonts w:hint="default" w:ascii="宋体" w:hAnsi="宋体" w:eastAsia="宋体" w:cs="宋体"/>
                <w:kern w:val="2"/>
                <w:sz w:val="24"/>
                <w:szCs w:val="24"/>
                <w:highlight w:val="none"/>
                <w:lang w:val="en-US" w:eastAsia="zh-CN" w:bidi="ar-SA"/>
              </w:rPr>
            </w:pPr>
            <w:r>
              <w:rPr>
                <w:rFonts w:hint="eastAsia" w:cs="宋体"/>
                <w:kern w:val="2"/>
                <w:sz w:val="22"/>
                <w:szCs w:val="22"/>
                <w:highlight w:val="none"/>
                <w:lang w:val="en-US" w:eastAsia="zh-CN" w:bidi="ar-SA"/>
              </w:rPr>
              <w:t>2</w:t>
            </w:r>
          </w:p>
        </w:tc>
        <w:tc>
          <w:tcPr>
            <w:tcW w:w="2471" w:type="dxa"/>
            <w:vAlign w:val="center"/>
          </w:tcPr>
          <w:p w14:paraId="79B82879">
            <w:pPr>
              <w:jc w:val="center"/>
              <w:rPr>
                <w:rFonts w:hint="eastAsia" w:ascii="宋体" w:hAnsi="宋体" w:eastAsia="宋体" w:cs="宋体"/>
                <w:color w:val="000000"/>
                <w:kern w:val="0"/>
                <w:sz w:val="24"/>
                <w:szCs w:val="24"/>
                <w:highlight w:val="none"/>
                <w:lang w:val="en-US" w:eastAsia="zh-CN"/>
              </w:rPr>
            </w:pPr>
          </w:p>
        </w:tc>
        <w:tc>
          <w:tcPr>
            <w:tcW w:w="2472" w:type="dxa"/>
            <w:vAlign w:val="center"/>
          </w:tcPr>
          <w:p w14:paraId="64155B34">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highlight w:val="none"/>
              </w:rPr>
            </w:pPr>
          </w:p>
        </w:tc>
        <w:tc>
          <w:tcPr>
            <w:tcW w:w="1474" w:type="dxa"/>
            <w:vAlign w:val="center"/>
          </w:tcPr>
          <w:p w14:paraId="16793EAC">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kern w:val="2"/>
                <w:sz w:val="24"/>
                <w:szCs w:val="24"/>
                <w:highlight w:val="none"/>
                <w:lang w:val="en-US" w:eastAsia="zh-CN" w:bidi="ar-SA"/>
              </w:rPr>
            </w:pPr>
          </w:p>
        </w:tc>
        <w:tc>
          <w:tcPr>
            <w:tcW w:w="2014" w:type="dxa"/>
            <w:vAlign w:val="top"/>
          </w:tcPr>
          <w:p w14:paraId="74B0949C">
            <w:pPr>
              <w:rPr>
                <w:rFonts w:hint="default" w:ascii="宋体" w:hAnsi="宋体" w:eastAsia="宋体" w:cs="宋体"/>
                <w:kern w:val="2"/>
                <w:sz w:val="24"/>
                <w:szCs w:val="24"/>
                <w:highlight w:val="none"/>
                <w:lang w:val="en-US" w:eastAsia="zh-CN" w:bidi="ar-SA"/>
              </w:rPr>
            </w:pPr>
          </w:p>
        </w:tc>
        <w:tc>
          <w:tcPr>
            <w:tcW w:w="2608" w:type="dxa"/>
            <w:tcBorders>
              <w:left w:val="single" w:color="000000" w:sz="4" w:space="0"/>
            </w:tcBorders>
          </w:tcPr>
          <w:p w14:paraId="3030CDF5">
            <w:pPr>
              <w:rPr>
                <w:rFonts w:ascii="Arial"/>
                <w:highlight w:val="none"/>
              </w:rPr>
            </w:pPr>
          </w:p>
        </w:tc>
        <w:tc>
          <w:tcPr>
            <w:tcW w:w="1496" w:type="dxa"/>
            <w:vAlign w:val="center"/>
          </w:tcPr>
          <w:p w14:paraId="3EDD953A">
            <w:pPr>
              <w:jc w:val="center"/>
              <w:textAlignment w:val="center"/>
              <w:rPr>
                <w:rFonts w:ascii="宋体" w:hAnsi="宋体" w:eastAsia="宋体" w:cs="宋体"/>
                <w:kern w:val="2"/>
                <w:sz w:val="24"/>
                <w:szCs w:val="24"/>
                <w:highlight w:val="none"/>
                <w:lang w:val="en-US" w:eastAsia="zh-CN" w:bidi="ar-SA"/>
              </w:rPr>
            </w:pPr>
          </w:p>
        </w:tc>
      </w:tr>
      <w:tr w14:paraId="5F1FF9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14:paraId="28BB275E">
            <w:pPr>
              <w:pStyle w:val="131"/>
              <w:numPr>
                <w:ilvl w:val="0"/>
                <w:numId w:val="0"/>
              </w:numPr>
              <w:adjustRightInd w:val="0"/>
              <w:snapToGrid w:val="0"/>
              <w:spacing w:line="240" w:lineRule="auto"/>
              <w:ind w:left="0" w:leftChars="0" w:firstLine="0" w:firstLineChars="0"/>
              <w:jc w:val="center"/>
              <w:rPr>
                <w:rFonts w:hint="default" w:ascii="宋体" w:hAnsi="宋体" w:eastAsia="宋体" w:cs="宋体"/>
                <w:kern w:val="2"/>
                <w:sz w:val="24"/>
                <w:szCs w:val="24"/>
                <w:highlight w:val="none"/>
                <w:lang w:val="en-US" w:eastAsia="zh-CN" w:bidi="ar-SA"/>
              </w:rPr>
            </w:pPr>
            <w:r>
              <w:rPr>
                <w:rFonts w:hint="eastAsia" w:cs="宋体"/>
                <w:kern w:val="2"/>
                <w:sz w:val="22"/>
                <w:szCs w:val="22"/>
                <w:highlight w:val="none"/>
                <w:lang w:val="en-US" w:eastAsia="zh-CN" w:bidi="ar-SA"/>
              </w:rPr>
              <w:t>3</w:t>
            </w:r>
          </w:p>
        </w:tc>
        <w:tc>
          <w:tcPr>
            <w:tcW w:w="2471" w:type="dxa"/>
            <w:vAlign w:val="center"/>
          </w:tcPr>
          <w:p w14:paraId="46E7EEAE">
            <w:pPr>
              <w:jc w:val="center"/>
              <w:rPr>
                <w:rFonts w:hint="eastAsia" w:ascii="宋体" w:hAnsi="宋体" w:eastAsia="宋体" w:cs="宋体"/>
                <w:color w:val="000000"/>
                <w:kern w:val="0"/>
                <w:sz w:val="24"/>
                <w:szCs w:val="24"/>
                <w:highlight w:val="none"/>
                <w:lang w:val="en-US" w:eastAsia="zh-CN"/>
              </w:rPr>
            </w:pPr>
          </w:p>
        </w:tc>
        <w:tc>
          <w:tcPr>
            <w:tcW w:w="2472" w:type="dxa"/>
            <w:vAlign w:val="center"/>
          </w:tcPr>
          <w:p w14:paraId="46F2C162">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highlight w:val="none"/>
              </w:rPr>
            </w:pPr>
          </w:p>
        </w:tc>
        <w:tc>
          <w:tcPr>
            <w:tcW w:w="1474" w:type="dxa"/>
            <w:vAlign w:val="center"/>
          </w:tcPr>
          <w:p w14:paraId="580A12B4">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kern w:val="2"/>
                <w:sz w:val="24"/>
                <w:szCs w:val="24"/>
                <w:highlight w:val="none"/>
                <w:lang w:val="en-US" w:eastAsia="zh-CN" w:bidi="ar-SA"/>
              </w:rPr>
            </w:pPr>
          </w:p>
        </w:tc>
        <w:tc>
          <w:tcPr>
            <w:tcW w:w="2014" w:type="dxa"/>
            <w:vAlign w:val="top"/>
          </w:tcPr>
          <w:p w14:paraId="1A0E9FFE">
            <w:pPr>
              <w:rPr>
                <w:rFonts w:hint="default" w:ascii="宋体" w:hAnsi="宋体" w:eastAsia="宋体" w:cs="宋体"/>
                <w:kern w:val="2"/>
                <w:sz w:val="24"/>
                <w:szCs w:val="24"/>
                <w:highlight w:val="none"/>
                <w:lang w:val="en-US" w:eastAsia="zh-CN" w:bidi="ar-SA"/>
              </w:rPr>
            </w:pPr>
          </w:p>
        </w:tc>
        <w:tc>
          <w:tcPr>
            <w:tcW w:w="2608" w:type="dxa"/>
            <w:tcBorders>
              <w:left w:val="single" w:color="000000" w:sz="4" w:space="0"/>
            </w:tcBorders>
          </w:tcPr>
          <w:p w14:paraId="32B9F604">
            <w:pPr>
              <w:rPr>
                <w:rFonts w:ascii="Arial"/>
                <w:highlight w:val="none"/>
              </w:rPr>
            </w:pPr>
          </w:p>
        </w:tc>
        <w:tc>
          <w:tcPr>
            <w:tcW w:w="1496" w:type="dxa"/>
            <w:vAlign w:val="center"/>
          </w:tcPr>
          <w:p w14:paraId="4B6C4B63">
            <w:pPr>
              <w:jc w:val="center"/>
              <w:textAlignment w:val="center"/>
              <w:rPr>
                <w:rFonts w:hint="default" w:ascii="宋体" w:hAnsi="宋体" w:eastAsia="宋体" w:cs="宋体"/>
                <w:kern w:val="2"/>
                <w:sz w:val="24"/>
                <w:szCs w:val="24"/>
                <w:highlight w:val="none"/>
                <w:lang w:val="en-US" w:eastAsia="zh-CN" w:bidi="ar-SA"/>
              </w:rPr>
            </w:pPr>
          </w:p>
        </w:tc>
      </w:tr>
      <w:tr w14:paraId="3A6E7E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3" w:hRule="atLeast"/>
        </w:trPr>
        <w:tc>
          <w:tcPr>
            <w:tcW w:w="742" w:type="dxa"/>
            <w:vAlign w:val="center"/>
          </w:tcPr>
          <w:p w14:paraId="16F9F6E5">
            <w:pPr>
              <w:pStyle w:val="131"/>
              <w:numPr>
                <w:ilvl w:val="0"/>
                <w:numId w:val="0"/>
              </w:numPr>
              <w:adjustRightInd w:val="0"/>
              <w:snapToGrid w:val="0"/>
              <w:spacing w:line="240" w:lineRule="auto"/>
              <w:ind w:left="0" w:leftChars="0" w:firstLine="0" w:firstLineChars="0"/>
              <w:jc w:val="center"/>
              <w:rPr>
                <w:rFonts w:hint="default" w:ascii="宋体" w:hAnsi="宋体" w:eastAsia="宋体" w:cs="宋体"/>
                <w:kern w:val="2"/>
                <w:sz w:val="24"/>
                <w:szCs w:val="24"/>
                <w:highlight w:val="none"/>
                <w:lang w:val="en-US" w:eastAsia="zh-CN" w:bidi="ar-SA"/>
              </w:rPr>
            </w:pPr>
            <w:r>
              <w:rPr>
                <w:rFonts w:hint="eastAsia" w:cs="宋体"/>
                <w:kern w:val="2"/>
                <w:sz w:val="22"/>
                <w:szCs w:val="22"/>
                <w:highlight w:val="none"/>
                <w:lang w:val="en-US" w:eastAsia="zh-CN" w:bidi="ar-SA"/>
              </w:rPr>
              <w:t>4</w:t>
            </w:r>
          </w:p>
        </w:tc>
        <w:tc>
          <w:tcPr>
            <w:tcW w:w="2471" w:type="dxa"/>
            <w:vAlign w:val="center"/>
          </w:tcPr>
          <w:p w14:paraId="0D2E25ED">
            <w:pPr>
              <w:jc w:val="center"/>
              <w:rPr>
                <w:rFonts w:hint="eastAsia" w:ascii="宋体" w:hAnsi="宋体" w:eastAsia="宋体" w:cs="宋体"/>
                <w:color w:val="000000"/>
                <w:kern w:val="0"/>
                <w:sz w:val="24"/>
                <w:szCs w:val="24"/>
                <w:highlight w:val="none"/>
                <w:lang w:val="en-US" w:eastAsia="zh-CN"/>
              </w:rPr>
            </w:pPr>
          </w:p>
        </w:tc>
        <w:tc>
          <w:tcPr>
            <w:tcW w:w="2472" w:type="dxa"/>
            <w:vAlign w:val="center"/>
          </w:tcPr>
          <w:p w14:paraId="69035F80">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highlight w:val="none"/>
              </w:rPr>
            </w:pPr>
          </w:p>
        </w:tc>
        <w:tc>
          <w:tcPr>
            <w:tcW w:w="1474" w:type="dxa"/>
            <w:vAlign w:val="center"/>
          </w:tcPr>
          <w:p w14:paraId="4BA8698B">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kern w:val="2"/>
                <w:sz w:val="24"/>
                <w:szCs w:val="24"/>
                <w:highlight w:val="none"/>
                <w:lang w:val="en-US" w:eastAsia="zh-CN" w:bidi="ar-SA"/>
              </w:rPr>
            </w:pPr>
          </w:p>
        </w:tc>
        <w:tc>
          <w:tcPr>
            <w:tcW w:w="2014" w:type="dxa"/>
            <w:vAlign w:val="top"/>
          </w:tcPr>
          <w:p w14:paraId="1C657366">
            <w:pPr>
              <w:rPr>
                <w:rFonts w:hint="default" w:ascii="宋体" w:hAnsi="宋体" w:eastAsia="宋体" w:cs="宋体"/>
                <w:kern w:val="2"/>
                <w:sz w:val="24"/>
                <w:szCs w:val="24"/>
                <w:highlight w:val="none"/>
                <w:lang w:val="en-US" w:eastAsia="zh-CN" w:bidi="ar-SA"/>
              </w:rPr>
            </w:pPr>
          </w:p>
        </w:tc>
        <w:tc>
          <w:tcPr>
            <w:tcW w:w="2608" w:type="dxa"/>
            <w:tcBorders>
              <w:left w:val="single" w:color="000000" w:sz="4" w:space="0"/>
            </w:tcBorders>
          </w:tcPr>
          <w:p w14:paraId="1FC7B4B3">
            <w:pPr>
              <w:rPr>
                <w:rFonts w:ascii="Arial"/>
                <w:highlight w:val="none"/>
              </w:rPr>
            </w:pPr>
          </w:p>
        </w:tc>
        <w:tc>
          <w:tcPr>
            <w:tcW w:w="1496" w:type="dxa"/>
            <w:vAlign w:val="center"/>
          </w:tcPr>
          <w:p w14:paraId="6B65E6A8">
            <w:pPr>
              <w:jc w:val="center"/>
              <w:textAlignment w:val="center"/>
              <w:rPr>
                <w:rFonts w:hint="default" w:ascii="宋体" w:hAnsi="宋体" w:eastAsia="宋体" w:cs="宋体"/>
                <w:kern w:val="2"/>
                <w:sz w:val="24"/>
                <w:szCs w:val="24"/>
                <w:highlight w:val="none"/>
                <w:lang w:val="en-US" w:eastAsia="zh-CN" w:bidi="ar-SA"/>
              </w:rPr>
            </w:pPr>
          </w:p>
        </w:tc>
      </w:tr>
      <w:tr w14:paraId="3E048D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14:paraId="22A1EEE2">
            <w:pPr>
              <w:pStyle w:val="131"/>
              <w:numPr>
                <w:ilvl w:val="0"/>
                <w:numId w:val="0"/>
              </w:numPr>
              <w:adjustRightInd w:val="0"/>
              <w:snapToGrid w:val="0"/>
              <w:spacing w:line="240" w:lineRule="auto"/>
              <w:ind w:left="0" w:leftChars="0" w:firstLine="0" w:firstLineChars="0"/>
              <w:jc w:val="center"/>
              <w:rPr>
                <w:rFonts w:hint="default" w:ascii="宋体" w:hAnsi="宋体" w:eastAsia="宋体" w:cs="宋体"/>
                <w:kern w:val="2"/>
                <w:sz w:val="24"/>
                <w:szCs w:val="24"/>
                <w:highlight w:val="none"/>
                <w:lang w:val="en-US" w:eastAsia="zh-CN" w:bidi="ar-SA"/>
              </w:rPr>
            </w:pPr>
            <w:r>
              <w:rPr>
                <w:rFonts w:hint="eastAsia" w:cs="宋体"/>
                <w:kern w:val="2"/>
                <w:sz w:val="22"/>
                <w:szCs w:val="22"/>
                <w:highlight w:val="none"/>
                <w:lang w:val="en-US" w:eastAsia="zh-CN" w:bidi="ar-SA"/>
              </w:rPr>
              <w:t>5</w:t>
            </w:r>
          </w:p>
        </w:tc>
        <w:tc>
          <w:tcPr>
            <w:tcW w:w="2471" w:type="dxa"/>
            <w:vAlign w:val="center"/>
          </w:tcPr>
          <w:p w14:paraId="26110C51">
            <w:pPr>
              <w:jc w:val="center"/>
              <w:rPr>
                <w:rFonts w:hint="eastAsia" w:ascii="宋体" w:hAnsi="宋体" w:eastAsia="宋体" w:cs="宋体"/>
                <w:color w:val="000000"/>
                <w:kern w:val="0"/>
                <w:sz w:val="24"/>
                <w:szCs w:val="24"/>
                <w:highlight w:val="none"/>
                <w:lang w:val="en-US" w:eastAsia="zh-CN"/>
              </w:rPr>
            </w:pPr>
          </w:p>
        </w:tc>
        <w:tc>
          <w:tcPr>
            <w:tcW w:w="2472" w:type="dxa"/>
            <w:vAlign w:val="center"/>
          </w:tcPr>
          <w:p w14:paraId="072D8EC8">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highlight w:val="none"/>
              </w:rPr>
            </w:pPr>
          </w:p>
        </w:tc>
        <w:tc>
          <w:tcPr>
            <w:tcW w:w="1474" w:type="dxa"/>
            <w:vAlign w:val="center"/>
          </w:tcPr>
          <w:p w14:paraId="0780E4FD">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kern w:val="2"/>
                <w:sz w:val="24"/>
                <w:szCs w:val="24"/>
                <w:highlight w:val="none"/>
                <w:lang w:val="en-US" w:eastAsia="zh-CN" w:bidi="ar-SA"/>
              </w:rPr>
            </w:pPr>
          </w:p>
        </w:tc>
        <w:tc>
          <w:tcPr>
            <w:tcW w:w="2014" w:type="dxa"/>
            <w:vAlign w:val="top"/>
          </w:tcPr>
          <w:p w14:paraId="77C96A9D">
            <w:pPr>
              <w:rPr>
                <w:rFonts w:hint="default" w:ascii="宋体" w:hAnsi="宋体" w:eastAsia="宋体" w:cs="宋体"/>
                <w:kern w:val="2"/>
                <w:sz w:val="24"/>
                <w:szCs w:val="24"/>
                <w:highlight w:val="none"/>
                <w:lang w:val="en-US" w:eastAsia="zh-CN" w:bidi="ar-SA"/>
              </w:rPr>
            </w:pPr>
          </w:p>
        </w:tc>
        <w:tc>
          <w:tcPr>
            <w:tcW w:w="2608" w:type="dxa"/>
            <w:tcBorders>
              <w:left w:val="single" w:color="000000" w:sz="4" w:space="0"/>
            </w:tcBorders>
          </w:tcPr>
          <w:p w14:paraId="5DF7AAEE">
            <w:pPr>
              <w:rPr>
                <w:rFonts w:ascii="Arial"/>
                <w:highlight w:val="none"/>
              </w:rPr>
            </w:pPr>
          </w:p>
        </w:tc>
        <w:tc>
          <w:tcPr>
            <w:tcW w:w="1496" w:type="dxa"/>
            <w:vAlign w:val="center"/>
          </w:tcPr>
          <w:p w14:paraId="311CE848">
            <w:pPr>
              <w:jc w:val="center"/>
              <w:textAlignment w:val="center"/>
              <w:rPr>
                <w:rFonts w:ascii="宋体" w:hAnsi="宋体" w:eastAsia="宋体" w:cs="宋体"/>
                <w:kern w:val="2"/>
                <w:sz w:val="24"/>
                <w:szCs w:val="24"/>
                <w:highlight w:val="none"/>
                <w:lang w:val="en-US" w:eastAsia="zh-CN" w:bidi="ar-SA"/>
              </w:rPr>
            </w:pPr>
          </w:p>
        </w:tc>
      </w:tr>
      <w:tr w14:paraId="28D2FA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14:paraId="1253C0ED">
            <w:pPr>
              <w:pStyle w:val="131"/>
              <w:numPr>
                <w:ilvl w:val="0"/>
                <w:numId w:val="0"/>
              </w:numPr>
              <w:adjustRightInd w:val="0"/>
              <w:snapToGrid w:val="0"/>
              <w:spacing w:line="240" w:lineRule="auto"/>
              <w:ind w:left="0" w:leftChars="0" w:firstLine="0" w:firstLineChars="0"/>
              <w:jc w:val="center"/>
              <w:rPr>
                <w:rFonts w:hint="eastAsia" w:cs="宋体"/>
                <w:kern w:val="2"/>
                <w:sz w:val="22"/>
                <w:szCs w:val="22"/>
                <w:highlight w:val="none"/>
                <w:lang w:val="en-US" w:eastAsia="zh-CN" w:bidi="ar-SA"/>
              </w:rPr>
            </w:pPr>
          </w:p>
        </w:tc>
        <w:tc>
          <w:tcPr>
            <w:tcW w:w="2471" w:type="dxa"/>
            <w:vAlign w:val="center"/>
          </w:tcPr>
          <w:p w14:paraId="6AE76927">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000000"/>
                <w:kern w:val="0"/>
                <w:sz w:val="24"/>
                <w:szCs w:val="24"/>
                <w:highlight w:val="none"/>
                <w:lang w:val="en-US" w:eastAsia="zh-CN"/>
              </w:rPr>
            </w:pPr>
          </w:p>
        </w:tc>
        <w:tc>
          <w:tcPr>
            <w:tcW w:w="2472" w:type="dxa"/>
            <w:vAlign w:val="center"/>
          </w:tcPr>
          <w:p w14:paraId="09D29BE6">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highlight w:val="none"/>
              </w:rPr>
            </w:pPr>
          </w:p>
        </w:tc>
        <w:tc>
          <w:tcPr>
            <w:tcW w:w="1474" w:type="dxa"/>
            <w:vAlign w:val="center"/>
          </w:tcPr>
          <w:p w14:paraId="4FCEA8D7">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kern w:val="2"/>
                <w:sz w:val="24"/>
                <w:szCs w:val="24"/>
                <w:highlight w:val="none"/>
                <w:lang w:val="en-US" w:eastAsia="zh-CN" w:bidi="ar-SA"/>
              </w:rPr>
            </w:pPr>
          </w:p>
        </w:tc>
        <w:tc>
          <w:tcPr>
            <w:tcW w:w="2014" w:type="dxa"/>
            <w:vAlign w:val="top"/>
          </w:tcPr>
          <w:p w14:paraId="1AB99093">
            <w:pPr>
              <w:rPr>
                <w:rFonts w:hint="default" w:ascii="宋体" w:hAnsi="宋体" w:eastAsia="宋体" w:cs="宋体"/>
                <w:kern w:val="2"/>
                <w:sz w:val="24"/>
                <w:szCs w:val="24"/>
                <w:highlight w:val="none"/>
                <w:lang w:val="en-US" w:eastAsia="zh-CN" w:bidi="ar-SA"/>
              </w:rPr>
            </w:pPr>
          </w:p>
        </w:tc>
        <w:tc>
          <w:tcPr>
            <w:tcW w:w="2608" w:type="dxa"/>
            <w:tcBorders>
              <w:left w:val="single" w:color="000000" w:sz="4" w:space="0"/>
            </w:tcBorders>
          </w:tcPr>
          <w:p w14:paraId="5D131326">
            <w:pPr>
              <w:rPr>
                <w:rFonts w:ascii="Arial"/>
                <w:highlight w:val="none"/>
              </w:rPr>
            </w:pPr>
          </w:p>
        </w:tc>
        <w:tc>
          <w:tcPr>
            <w:tcW w:w="1496" w:type="dxa"/>
            <w:vAlign w:val="center"/>
          </w:tcPr>
          <w:p w14:paraId="27D16319">
            <w:pPr>
              <w:jc w:val="center"/>
              <w:textAlignment w:val="center"/>
              <w:rPr>
                <w:rFonts w:ascii="宋体" w:hAnsi="宋体" w:eastAsia="宋体" w:cs="宋体"/>
                <w:kern w:val="2"/>
                <w:sz w:val="24"/>
                <w:szCs w:val="24"/>
                <w:highlight w:val="none"/>
                <w:lang w:val="en-US" w:eastAsia="zh-CN" w:bidi="ar-SA"/>
              </w:rPr>
            </w:pPr>
          </w:p>
        </w:tc>
      </w:tr>
      <w:tr w14:paraId="34189F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14:paraId="3DD70172">
            <w:pPr>
              <w:pStyle w:val="131"/>
              <w:numPr>
                <w:ilvl w:val="0"/>
                <w:numId w:val="0"/>
              </w:numPr>
              <w:adjustRightInd w:val="0"/>
              <w:snapToGrid w:val="0"/>
              <w:spacing w:line="240" w:lineRule="auto"/>
              <w:ind w:left="0" w:leftChars="0" w:firstLine="0" w:firstLineChars="0"/>
              <w:jc w:val="center"/>
              <w:rPr>
                <w:rFonts w:hint="eastAsia" w:cs="宋体"/>
                <w:kern w:val="2"/>
                <w:sz w:val="22"/>
                <w:szCs w:val="22"/>
                <w:highlight w:val="none"/>
                <w:lang w:val="en-US" w:eastAsia="zh-CN" w:bidi="ar-SA"/>
              </w:rPr>
            </w:pPr>
          </w:p>
        </w:tc>
        <w:tc>
          <w:tcPr>
            <w:tcW w:w="2471" w:type="dxa"/>
            <w:vAlign w:val="center"/>
          </w:tcPr>
          <w:p w14:paraId="35EA1E30">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000000"/>
                <w:kern w:val="0"/>
                <w:sz w:val="24"/>
                <w:szCs w:val="24"/>
                <w:highlight w:val="none"/>
                <w:lang w:val="en-US" w:eastAsia="zh-CN"/>
              </w:rPr>
            </w:pPr>
          </w:p>
        </w:tc>
        <w:tc>
          <w:tcPr>
            <w:tcW w:w="2472" w:type="dxa"/>
            <w:vAlign w:val="center"/>
          </w:tcPr>
          <w:p w14:paraId="3106AE4C">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highlight w:val="none"/>
              </w:rPr>
            </w:pPr>
          </w:p>
        </w:tc>
        <w:tc>
          <w:tcPr>
            <w:tcW w:w="1474" w:type="dxa"/>
            <w:vAlign w:val="center"/>
          </w:tcPr>
          <w:p w14:paraId="75B38619">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kern w:val="2"/>
                <w:sz w:val="24"/>
                <w:szCs w:val="24"/>
                <w:highlight w:val="none"/>
                <w:lang w:val="en-US" w:eastAsia="zh-CN" w:bidi="ar-SA"/>
              </w:rPr>
            </w:pPr>
          </w:p>
        </w:tc>
        <w:tc>
          <w:tcPr>
            <w:tcW w:w="2014" w:type="dxa"/>
            <w:vAlign w:val="top"/>
          </w:tcPr>
          <w:p w14:paraId="3E35E9CE">
            <w:pPr>
              <w:rPr>
                <w:rFonts w:hint="default" w:ascii="宋体" w:hAnsi="宋体" w:eastAsia="宋体" w:cs="宋体"/>
                <w:kern w:val="2"/>
                <w:sz w:val="24"/>
                <w:szCs w:val="24"/>
                <w:highlight w:val="none"/>
                <w:lang w:val="en-US" w:eastAsia="zh-CN" w:bidi="ar-SA"/>
              </w:rPr>
            </w:pPr>
          </w:p>
        </w:tc>
        <w:tc>
          <w:tcPr>
            <w:tcW w:w="2608" w:type="dxa"/>
            <w:tcBorders>
              <w:left w:val="single" w:color="000000" w:sz="4" w:space="0"/>
            </w:tcBorders>
          </w:tcPr>
          <w:p w14:paraId="7D5961B4">
            <w:pPr>
              <w:rPr>
                <w:rFonts w:ascii="Arial"/>
                <w:highlight w:val="none"/>
              </w:rPr>
            </w:pPr>
          </w:p>
        </w:tc>
        <w:tc>
          <w:tcPr>
            <w:tcW w:w="1496" w:type="dxa"/>
            <w:vAlign w:val="center"/>
          </w:tcPr>
          <w:p w14:paraId="7D983931">
            <w:pPr>
              <w:jc w:val="center"/>
              <w:textAlignment w:val="center"/>
              <w:rPr>
                <w:rFonts w:ascii="宋体" w:hAnsi="宋体" w:eastAsia="宋体" w:cs="宋体"/>
                <w:kern w:val="2"/>
                <w:sz w:val="24"/>
                <w:szCs w:val="24"/>
                <w:highlight w:val="none"/>
                <w:lang w:val="en-US" w:eastAsia="zh-CN" w:bidi="ar-SA"/>
              </w:rPr>
            </w:pPr>
          </w:p>
        </w:tc>
      </w:tr>
      <w:tr w14:paraId="5D2D9D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auto" w:fill="auto"/>
            <w:vAlign w:val="center"/>
          </w:tcPr>
          <w:p w14:paraId="74AFB7CF">
            <w:pPr>
              <w:adjustRightInd w:val="0"/>
              <w:snapToGrid w:val="0"/>
              <w:spacing w:before="0" w:line="240" w:lineRule="auto"/>
              <w:ind w:left="0" w:leftChars="0"/>
              <w:jc w:val="center"/>
              <w:rPr>
                <w:rFonts w:hint="eastAsia" w:ascii="宋体" w:hAnsi="宋体" w:eastAsia="宋体" w:cs="宋体"/>
                <w:kern w:val="2"/>
                <w:sz w:val="24"/>
                <w:szCs w:val="24"/>
                <w:highlight w:val="none"/>
                <w:lang w:val="en-US" w:eastAsia="zh-CN" w:bidi="ar-SA"/>
              </w:rPr>
            </w:pPr>
          </w:p>
        </w:tc>
        <w:tc>
          <w:tcPr>
            <w:tcW w:w="2471" w:type="dxa"/>
            <w:vAlign w:val="top"/>
          </w:tcPr>
          <w:p w14:paraId="5A00ABBC">
            <w:pPr>
              <w:rPr>
                <w:rFonts w:hint="default" w:ascii="宋体" w:hAnsi="宋体" w:eastAsia="宋体" w:cs="宋体"/>
                <w:kern w:val="2"/>
                <w:sz w:val="24"/>
                <w:szCs w:val="24"/>
                <w:highlight w:val="none"/>
                <w:lang w:val="en-US" w:eastAsia="zh-CN" w:bidi="ar-SA"/>
              </w:rPr>
            </w:pPr>
            <w:r>
              <w:rPr>
                <w:rFonts w:hint="eastAsia" w:ascii="宋体" w:hAnsi="宋体" w:eastAsia="宋体" w:cstheme="minorBidi"/>
                <w:sz w:val="18"/>
                <w:szCs w:val="18"/>
                <w:highlight w:val="none"/>
              </w:rPr>
              <w:t>以上投标设备不足之处请往下添加序号自行补充</w:t>
            </w:r>
          </w:p>
        </w:tc>
        <w:tc>
          <w:tcPr>
            <w:tcW w:w="2472" w:type="dxa"/>
            <w:vAlign w:val="top"/>
          </w:tcPr>
          <w:p w14:paraId="71712FD6">
            <w:pPr>
              <w:rPr>
                <w:rFonts w:hint="default" w:ascii="宋体" w:hAnsi="宋体" w:eastAsia="宋体" w:cs="宋体"/>
                <w:highlight w:val="none"/>
                <w:lang w:val="en-US" w:eastAsia="zh-CN"/>
              </w:rPr>
            </w:pPr>
          </w:p>
        </w:tc>
        <w:tc>
          <w:tcPr>
            <w:tcW w:w="1474" w:type="dxa"/>
            <w:vAlign w:val="top"/>
          </w:tcPr>
          <w:p w14:paraId="7555EC09">
            <w:pPr>
              <w:rPr>
                <w:rFonts w:hint="default" w:ascii="宋体" w:hAnsi="宋体" w:eastAsia="宋体" w:cs="宋体"/>
                <w:kern w:val="2"/>
                <w:sz w:val="24"/>
                <w:szCs w:val="24"/>
                <w:highlight w:val="none"/>
                <w:lang w:val="en-US" w:eastAsia="zh-CN" w:bidi="ar-SA"/>
              </w:rPr>
            </w:pPr>
          </w:p>
        </w:tc>
        <w:tc>
          <w:tcPr>
            <w:tcW w:w="2014" w:type="dxa"/>
            <w:vAlign w:val="top"/>
          </w:tcPr>
          <w:p w14:paraId="618FBD5D">
            <w:pPr>
              <w:rPr>
                <w:rFonts w:hint="default" w:ascii="宋体" w:hAnsi="宋体" w:eastAsia="宋体" w:cs="宋体"/>
                <w:kern w:val="2"/>
                <w:sz w:val="24"/>
                <w:szCs w:val="24"/>
                <w:highlight w:val="none"/>
                <w:lang w:val="en-US" w:eastAsia="zh-CN" w:bidi="ar-SA"/>
              </w:rPr>
            </w:pPr>
          </w:p>
        </w:tc>
        <w:tc>
          <w:tcPr>
            <w:tcW w:w="2608" w:type="dxa"/>
            <w:tcBorders>
              <w:left w:val="single" w:color="000000" w:sz="4" w:space="0"/>
            </w:tcBorders>
          </w:tcPr>
          <w:p w14:paraId="243A581B">
            <w:pPr>
              <w:rPr>
                <w:rFonts w:ascii="Arial"/>
                <w:highlight w:val="none"/>
              </w:rPr>
            </w:pPr>
          </w:p>
        </w:tc>
        <w:tc>
          <w:tcPr>
            <w:tcW w:w="1496" w:type="dxa"/>
            <w:vAlign w:val="center"/>
          </w:tcPr>
          <w:p w14:paraId="4EE4D45C">
            <w:pPr>
              <w:jc w:val="center"/>
              <w:textAlignment w:val="center"/>
              <w:rPr>
                <w:rFonts w:ascii="宋体" w:hAnsi="宋体" w:eastAsia="宋体" w:cs="宋体"/>
                <w:kern w:val="2"/>
                <w:sz w:val="24"/>
                <w:szCs w:val="24"/>
                <w:highlight w:val="none"/>
                <w:lang w:val="en-US" w:eastAsia="zh-CN" w:bidi="ar-SA"/>
              </w:rPr>
            </w:pPr>
          </w:p>
        </w:tc>
      </w:tr>
    </w:tbl>
    <w:p w14:paraId="4EAB7906">
      <w:pPr>
        <w:spacing w:before="78" w:line="219" w:lineRule="auto"/>
        <w:ind w:left="431"/>
        <w:rPr>
          <w:rFonts w:ascii="宋体" w:hAnsi="宋体" w:eastAsia="宋体" w:cs="宋体"/>
          <w:spacing w:val="-6"/>
          <w:szCs w:val="21"/>
          <w:highlight w:val="none"/>
        </w:rPr>
      </w:pPr>
      <w:r>
        <w:rPr>
          <w:rFonts w:ascii="宋体" w:hAnsi="宋体" w:eastAsia="宋体" w:cs="宋体"/>
          <w:spacing w:val="-8"/>
          <w:szCs w:val="21"/>
          <w:highlight w:val="none"/>
        </w:rPr>
        <w:t>注：</w:t>
      </w:r>
    </w:p>
    <w:p w14:paraId="654EE6DD">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lang w:val="en-US" w:eastAsia="zh-CN"/>
        </w:rPr>
        <w:t>1</w:t>
      </w:r>
      <w:r>
        <w:rPr>
          <w:rFonts w:hint="eastAsia" w:ascii="宋体" w:hAnsi="宋体" w:eastAsia="宋体" w:cs="宋体"/>
          <w:spacing w:val="-6"/>
          <w:szCs w:val="21"/>
          <w:highlight w:val="none"/>
        </w:rPr>
        <w:t>.该明细表所有信息均为必填项，不得删减，可细化可增加。</w:t>
      </w:r>
    </w:p>
    <w:p w14:paraId="666F2008">
      <w:pPr>
        <w:spacing w:before="78" w:line="219" w:lineRule="auto"/>
        <w:ind w:left="431"/>
        <w:rPr>
          <w:rFonts w:hint="eastAsia" w:ascii="宋体" w:hAnsi="宋体" w:eastAsia="宋体" w:cs="宋体"/>
          <w:b/>
          <w:bCs/>
          <w:spacing w:val="-6"/>
          <w:szCs w:val="21"/>
          <w:highlight w:val="none"/>
          <w:lang w:val="en-US" w:eastAsia="zh-CN"/>
        </w:rPr>
      </w:pPr>
      <w:r>
        <w:rPr>
          <w:rFonts w:hint="eastAsia" w:ascii="宋体" w:hAnsi="宋体" w:eastAsia="宋体" w:cs="宋体"/>
          <w:b/>
          <w:bCs/>
          <w:spacing w:val="-6"/>
          <w:szCs w:val="21"/>
          <w:highlight w:val="none"/>
          <w:lang w:val="en-US" w:eastAsia="zh-CN"/>
        </w:rPr>
        <w:t>2.此表格需在技术标中体现，并明确规格型号、品牌等信息。</w:t>
      </w:r>
    </w:p>
    <w:p w14:paraId="479F2194">
      <w:pPr>
        <w:spacing w:before="78" w:line="219" w:lineRule="auto"/>
        <w:ind w:left="431"/>
        <w:rPr>
          <w:rFonts w:hint="eastAsia" w:ascii="宋体" w:hAnsi="宋体" w:eastAsia="宋体" w:cs="宋体"/>
          <w:spacing w:val="-6"/>
          <w:szCs w:val="21"/>
          <w:highlight w:val="none"/>
          <w:lang w:val="en-US" w:eastAsia="zh-CN"/>
        </w:rPr>
      </w:pPr>
      <w:r>
        <w:rPr>
          <w:rFonts w:hint="eastAsia" w:ascii="宋体" w:hAnsi="宋体" w:eastAsia="宋体" w:cs="宋体"/>
          <w:spacing w:val="-6"/>
          <w:szCs w:val="21"/>
          <w:highlight w:val="none"/>
          <w:lang w:val="en-US" w:eastAsia="zh-CN"/>
        </w:rPr>
        <w:t>3.此表分项明细需要和附表9-1完全对应。</w:t>
      </w:r>
    </w:p>
    <w:p w14:paraId="06349F2B">
      <w:pPr>
        <w:spacing w:before="78" w:line="219" w:lineRule="auto"/>
        <w:ind w:left="431"/>
        <w:rPr>
          <w:rFonts w:hint="eastAsia" w:ascii="宋体" w:hAnsi="宋体" w:eastAsia="宋体" w:cs="宋体"/>
          <w:spacing w:val="-6"/>
          <w:szCs w:val="21"/>
          <w:highlight w:val="none"/>
          <w:lang w:val="en-US" w:eastAsia="zh-CN"/>
        </w:rPr>
      </w:pPr>
      <w:r>
        <w:rPr>
          <w:rFonts w:hint="eastAsia" w:ascii="宋体" w:hAnsi="宋体" w:eastAsia="宋体" w:cs="宋体"/>
          <w:spacing w:val="-6"/>
          <w:szCs w:val="21"/>
          <w:highlight w:val="none"/>
          <w:lang w:val="en-US" w:eastAsia="zh-CN"/>
        </w:rPr>
        <w:t>4.因填写不规范造成废标及终止招标的，责任由投标人自负。</w:t>
      </w:r>
    </w:p>
    <w:p w14:paraId="3EF6C1DC">
      <w:pPr>
        <w:spacing w:before="78" w:line="219" w:lineRule="auto"/>
        <w:ind w:left="431"/>
        <w:rPr>
          <w:rFonts w:hint="eastAsia" w:ascii="宋体" w:hAnsi="宋体" w:eastAsia="宋体" w:cs="宋体"/>
          <w:b w:val="0"/>
          <w:bCs w:val="0"/>
          <w:spacing w:val="-6"/>
          <w:szCs w:val="21"/>
          <w:highlight w:val="none"/>
          <w:lang w:val="en-US" w:eastAsia="zh-CN"/>
        </w:rPr>
      </w:pPr>
    </w:p>
    <w:p w14:paraId="6CD7DE51">
      <w:pPr>
        <w:spacing w:line="105" w:lineRule="exact"/>
        <w:rPr>
          <w:highlight w:val="none"/>
        </w:rPr>
      </w:pPr>
    </w:p>
    <w:p w14:paraId="06EFC758">
      <w:pPr>
        <w:rPr>
          <w:rFonts w:hint="default" w:eastAsia="宋体"/>
          <w:highlight w:val="none"/>
          <w:lang w:val="en-US" w:eastAsia="zh-CN"/>
        </w:rPr>
        <w:sectPr>
          <w:footerReference r:id="rId27" w:type="default"/>
          <w:pgSz w:w="16841" w:h="11907" w:orient="landscape"/>
          <w:pgMar w:top="400" w:right="1387" w:bottom="1168" w:left="1473" w:header="0" w:footer="990" w:gutter="0"/>
          <w:cols w:equalWidth="0" w:num="1">
            <w:col w:w="13980"/>
          </w:cols>
        </w:sectPr>
      </w:pPr>
      <w:r>
        <w:rPr>
          <w:rFonts w:hint="eastAsia" w:ascii="宋体" w:hAnsi="宋体" w:eastAsia="宋体" w:cs="宋体"/>
          <w:spacing w:val="-4"/>
          <w:sz w:val="24"/>
          <w:szCs w:val="24"/>
          <w:highlight w:val="none"/>
        </w:rPr>
        <w:t>投标人(章)：</w:t>
      </w:r>
      <w:r>
        <w:rPr>
          <w:rFonts w:hint="eastAsia" w:ascii="宋体" w:hAnsi="宋体" w:eastAsia="宋体" w:cs="宋体"/>
          <w:spacing w:val="-4"/>
          <w:sz w:val="24"/>
          <w:szCs w:val="24"/>
          <w:highlight w:val="none"/>
          <w:lang w:val="en-US" w:eastAsia="zh-CN"/>
        </w:rPr>
        <w:t xml:space="preserve">                            </w:t>
      </w:r>
      <w:r>
        <w:rPr>
          <w:rFonts w:hint="eastAsia" w:ascii="宋体" w:hAnsi="宋体" w:eastAsia="宋体" w:cs="宋体"/>
          <w:spacing w:val="-2"/>
          <w:sz w:val="24"/>
          <w:szCs w:val="24"/>
          <w:highlight w:val="none"/>
        </w:rPr>
        <w:t>授权代表(签字)：</w:t>
      </w:r>
      <w:r>
        <w:rPr>
          <w:rFonts w:hint="eastAsia" w:ascii="宋体" w:hAnsi="宋体" w:eastAsia="宋体" w:cs="宋体"/>
          <w:spacing w:val="4"/>
          <w:sz w:val="24"/>
          <w:szCs w:val="24"/>
          <w:highlight w:val="none"/>
        </w:rPr>
        <w:t xml:space="preserve"> </w:t>
      </w:r>
      <w:r>
        <w:rPr>
          <w:rFonts w:hint="eastAsia" w:ascii="宋体" w:hAnsi="宋体" w:eastAsia="宋体" w:cs="宋体"/>
          <w:spacing w:val="3"/>
          <w:sz w:val="24"/>
          <w:szCs w:val="24"/>
          <w:highlight w:val="none"/>
        </w:rPr>
        <w:t xml:space="preserve">                         </w:t>
      </w:r>
      <w:r>
        <w:rPr>
          <w:rFonts w:hint="eastAsia" w:ascii="宋体" w:hAnsi="宋体" w:eastAsia="宋体" w:cs="宋体"/>
          <w:spacing w:val="-2"/>
          <w:sz w:val="24"/>
          <w:szCs w:val="24"/>
          <w:highlight w:val="none"/>
        </w:rPr>
        <w:t xml:space="preserve">年    月 </w:t>
      </w:r>
      <w:r>
        <w:rPr>
          <w:rFonts w:hint="eastAsia" w:ascii="宋体" w:hAnsi="宋体" w:eastAsia="宋体" w:cs="宋体"/>
          <w:spacing w:val="-2"/>
          <w:sz w:val="24"/>
          <w:szCs w:val="24"/>
          <w:highlight w:val="none"/>
          <w:lang w:val="en-US" w:eastAsia="zh-CN"/>
        </w:rPr>
        <w:t xml:space="preserve">   日</w:t>
      </w:r>
    </w:p>
    <w:p w14:paraId="50888C3D">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附件6</w:t>
      </w:r>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 xml:space="preserve"> 202</w:t>
      </w:r>
      <w:r>
        <w:rPr>
          <w:rFonts w:hint="eastAsia" w:ascii="Times New Roman" w:hAnsi="Times New Roman" w:eastAsia="宋体" w:cs="Times New Roman"/>
          <w:b/>
          <w:bCs/>
          <w:color w:val="000000"/>
          <w:sz w:val="24"/>
          <w:szCs w:val="24"/>
          <w:highlight w:val="none"/>
          <w:lang w:val="en-US" w:eastAsia="zh-CN"/>
        </w:rPr>
        <w:t>2</w:t>
      </w:r>
      <w:r>
        <w:rPr>
          <w:rFonts w:hint="eastAsia" w:ascii="Times New Roman" w:hAnsi="Times New Roman" w:eastAsia="宋体" w:cs="Times New Roman"/>
          <w:b/>
          <w:bCs/>
          <w:color w:val="000000"/>
          <w:sz w:val="24"/>
          <w:szCs w:val="24"/>
          <w:highlight w:val="none"/>
        </w:rPr>
        <w:t>年1月1日至今同类项目业绩一览表</w:t>
      </w:r>
    </w:p>
    <w:p w14:paraId="07699059">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项目名称：</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u w:val="single"/>
        </w:rPr>
        <w:t>项目</w:t>
      </w:r>
      <w:r>
        <w:rPr>
          <w:rFonts w:ascii="宋体" w:hAnsi="宋体" w:eastAsia="宋体" w:cs="Times New Roman"/>
          <w:color w:val="000000"/>
          <w:sz w:val="24"/>
          <w:szCs w:val="24"/>
          <w:highlight w:val="none"/>
          <w:u w:val="single"/>
        </w:rPr>
        <w:t xml:space="preserve">   </w:t>
      </w:r>
      <w:r>
        <w:rPr>
          <w:rFonts w:ascii="宋体" w:hAnsi="宋体" w:eastAsia="宋体" w:cs="Times New Roman"/>
          <w:color w:val="000000"/>
          <w:sz w:val="24"/>
          <w:szCs w:val="24"/>
          <w:highlight w:val="none"/>
        </w:rPr>
        <w:t xml:space="preserve">                                                          </w:t>
      </w:r>
    </w:p>
    <w:tbl>
      <w:tblPr>
        <w:tblStyle w:val="36"/>
        <w:tblW w:w="823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1320"/>
        <w:gridCol w:w="1023"/>
        <w:gridCol w:w="1590"/>
      </w:tblGrid>
      <w:tr w14:paraId="3E2DA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6800DDC6">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序号</w:t>
            </w:r>
          </w:p>
        </w:tc>
        <w:tc>
          <w:tcPr>
            <w:tcW w:w="2082" w:type="dxa"/>
            <w:vAlign w:val="center"/>
          </w:tcPr>
          <w:p w14:paraId="191319C4">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采购单位</w:t>
            </w:r>
          </w:p>
        </w:tc>
        <w:tc>
          <w:tcPr>
            <w:tcW w:w="1355" w:type="dxa"/>
            <w:vAlign w:val="center"/>
          </w:tcPr>
          <w:p w14:paraId="1C8A3424">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项目名称</w:t>
            </w:r>
          </w:p>
          <w:p w14:paraId="363F9C3C">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（万元）</w:t>
            </w:r>
          </w:p>
        </w:tc>
        <w:tc>
          <w:tcPr>
            <w:tcW w:w="1320" w:type="dxa"/>
            <w:vAlign w:val="center"/>
          </w:tcPr>
          <w:p w14:paraId="6DB7032C">
            <w:pPr>
              <w:jc w:val="center"/>
              <w:rPr>
                <w:rFonts w:ascii="宋体" w:hAnsi="Times New Roman" w:eastAsia="宋体" w:cs="Times New Roman"/>
                <w:b/>
                <w:szCs w:val="21"/>
                <w:highlight w:val="none"/>
              </w:rPr>
            </w:pPr>
            <w:r>
              <w:rPr>
                <w:rFonts w:hint="eastAsia" w:ascii="宋体" w:hAnsi="宋体" w:eastAsia="宋体" w:cs="Times New Roman"/>
                <w:b/>
                <w:szCs w:val="21"/>
                <w:highlight w:val="none"/>
              </w:rPr>
              <w:t>合同金额</w:t>
            </w:r>
          </w:p>
        </w:tc>
        <w:tc>
          <w:tcPr>
            <w:tcW w:w="1023" w:type="dxa"/>
            <w:vAlign w:val="center"/>
          </w:tcPr>
          <w:p w14:paraId="1450B634">
            <w:pPr>
              <w:jc w:val="center"/>
              <w:rPr>
                <w:rFonts w:ascii="宋体" w:hAnsi="Times New Roman" w:eastAsia="宋体" w:cs="Times New Roman"/>
                <w:b/>
                <w:szCs w:val="21"/>
                <w:highlight w:val="none"/>
              </w:rPr>
            </w:pPr>
            <w:r>
              <w:rPr>
                <w:rFonts w:hint="eastAsia" w:ascii="宋体" w:hAnsi="宋体" w:eastAsia="宋体" w:cs="Times New Roman"/>
                <w:b/>
                <w:szCs w:val="21"/>
                <w:highlight w:val="none"/>
              </w:rPr>
              <w:t>合同签订时间</w:t>
            </w:r>
          </w:p>
        </w:tc>
        <w:tc>
          <w:tcPr>
            <w:tcW w:w="1590" w:type="dxa"/>
            <w:vAlign w:val="center"/>
          </w:tcPr>
          <w:p w14:paraId="038C1D49">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联系人及</w:t>
            </w:r>
          </w:p>
          <w:p w14:paraId="3C29F648">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联系电话</w:t>
            </w:r>
          </w:p>
        </w:tc>
      </w:tr>
      <w:tr w14:paraId="77C8A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6185CFF">
            <w:pPr>
              <w:ind w:left="420" w:hanging="420"/>
              <w:rPr>
                <w:rFonts w:ascii="宋体" w:hAnsi="Times New Roman" w:eastAsia="宋体" w:cs="Times New Roman"/>
                <w:b/>
                <w:szCs w:val="20"/>
                <w:highlight w:val="none"/>
              </w:rPr>
            </w:pPr>
          </w:p>
        </w:tc>
        <w:tc>
          <w:tcPr>
            <w:tcW w:w="2082" w:type="dxa"/>
          </w:tcPr>
          <w:p w14:paraId="54FAEDE6">
            <w:pPr>
              <w:ind w:left="420" w:hanging="420"/>
              <w:rPr>
                <w:rFonts w:ascii="宋体" w:hAnsi="Times New Roman" w:eastAsia="宋体" w:cs="Times New Roman"/>
                <w:b/>
                <w:szCs w:val="20"/>
                <w:highlight w:val="none"/>
              </w:rPr>
            </w:pPr>
          </w:p>
        </w:tc>
        <w:tc>
          <w:tcPr>
            <w:tcW w:w="1355" w:type="dxa"/>
          </w:tcPr>
          <w:p w14:paraId="092B05F4">
            <w:pPr>
              <w:ind w:left="420" w:hanging="420"/>
              <w:rPr>
                <w:rFonts w:ascii="宋体" w:hAnsi="Times New Roman" w:eastAsia="宋体" w:cs="Times New Roman"/>
                <w:b/>
                <w:szCs w:val="20"/>
                <w:highlight w:val="none"/>
              </w:rPr>
            </w:pPr>
          </w:p>
        </w:tc>
        <w:tc>
          <w:tcPr>
            <w:tcW w:w="1320" w:type="dxa"/>
          </w:tcPr>
          <w:p w14:paraId="2080380A">
            <w:pPr>
              <w:ind w:left="420" w:hanging="420"/>
              <w:rPr>
                <w:rFonts w:ascii="宋体" w:hAnsi="Times New Roman" w:eastAsia="宋体" w:cs="Times New Roman"/>
                <w:b/>
                <w:szCs w:val="20"/>
                <w:highlight w:val="none"/>
              </w:rPr>
            </w:pPr>
          </w:p>
        </w:tc>
        <w:tc>
          <w:tcPr>
            <w:tcW w:w="1023" w:type="dxa"/>
          </w:tcPr>
          <w:p w14:paraId="446FB4E7">
            <w:pPr>
              <w:ind w:left="420" w:hanging="420"/>
              <w:rPr>
                <w:rFonts w:ascii="宋体" w:hAnsi="Times New Roman" w:eastAsia="宋体" w:cs="Times New Roman"/>
                <w:b/>
                <w:szCs w:val="20"/>
                <w:highlight w:val="none"/>
              </w:rPr>
            </w:pPr>
          </w:p>
        </w:tc>
        <w:tc>
          <w:tcPr>
            <w:tcW w:w="1590" w:type="dxa"/>
          </w:tcPr>
          <w:p w14:paraId="3C716CD6">
            <w:pPr>
              <w:ind w:left="420" w:hanging="420"/>
              <w:rPr>
                <w:rFonts w:ascii="宋体" w:hAnsi="Times New Roman" w:eastAsia="宋体" w:cs="Times New Roman"/>
                <w:b/>
                <w:szCs w:val="20"/>
                <w:highlight w:val="none"/>
              </w:rPr>
            </w:pPr>
          </w:p>
        </w:tc>
      </w:tr>
      <w:tr w14:paraId="77D2A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FEAC78C">
            <w:pPr>
              <w:ind w:left="420" w:hanging="420"/>
              <w:rPr>
                <w:rFonts w:ascii="宋体" w:hAnsi="Times New Roman" w:eastAsia="宋体" w:cs="Times New Roman"/>
                <w:b/>
                <w:szCs w:val="20"/>
                <w:highlight w:val="none"/>
              </w:rPr>
            </w:pPr>
          </w:p>
        </w:tc>
        <w:tc>
          <w:tcPr>
            <w:tcW w:w="2082" w:type="dxa"/>
          </w:tcPr>
          <w:p w14:paraId="5F6FECE6">
            <w:pPr>
              <w:ind w:left="420" w:hanging="420"/>
              <w:rPr>
                <w:rFonts w:ascii="宋体" w:hAnsi="Times New Roman" w:eastAsia="宋体" w:cs="Times New Roman"/>
                <w:b/>
                <w:szCs w:val="20"/>
                <w:highlight w:val="none"/>
              </w:rPr>
            </w:pPr>
          </w:p>
        </w:tc>
        <w:tc>
          <w:tcPr>
            <w:tcW w:w="1355" w:type="dxa"/>
          </w:tcPr>
          <w:p w14:paraId="26182FEA">
            <w:pPr>
              <w:ind w:left="420" w:hanging="420"/>
              <w:rPr>
                <w:rFonts w:ascii="宋体" w:hAnsi="Times New Roman" w:eastAsia="宋体" w:cs="Times New Roman"/>
                <w:b/>
                <w:szCs w:val="20"/>
                <w:highlight w:val="none"/>
              </w:rPr>
            </w:pPr>
          </w:p>
        </w:tc>
        <w:tc>
          <w:tcPr>
            <w:tcW w:w="1320" w:type="dxa"/>
          </w:tcPr>
          <w:p w14:paraId="3A617AB2">
            <w:pPr>
              <w:ind w:left="420" w:hanging="420"/>
              <w:rPr>
                <w:rFonts w:ascii="宋体" w:hAnsi="Times New Roman" w:eastAsia="宋体" w:cs="Times New Roman"/>
                <w:b/>
                <w:szCs w:val="20"/>
                <w:highlight w:val="none"/>
              </w:rPr>
            </w:pPr>
          </w:p>
        </w:tc>
        <w:tc>
          <w:tcPr>
            <w:tcW w:w="1023" w:type="dxa"/>
          </w:tcPr>
          <w:p w14:paraId="00D6FB7E">
            <w:pPr>
              <w:ind w:left="420" w:hanging="420"/>
              <w:rPr>
                <w:rFonts w:ascii="宋体" w:hAnsi="Times New Roman" w:eastAsia="宋体" w:cs="Times New Roman"/>
                <w:b/>
                <w:szCs w:val="20"/>
                <w:highlight w:val="none"/>
              </w:rPr>
            </w:pPr>
          </w:p>
        </w:tc>
        <w:tc>
          <w:tcPr>
            <w:tcW w:w="1590" w:type="dxa"/>
          </w:tcPr>
          <w:p w14:paraId="5D308889">
            <w:pPr>
              <w:ind w:left="420" w:hanging="420"/>
              <w:rPr>
                <w:rFonts w:ascii="宋体" w:hAnsi="Times New Roman" w:eastAsia="宋体" w:cs="Times New Roman"/>
                <w:b/>
                <w:szCs w:val="20"/>
                <w:highlight w:val="none"/>
              </w:rPr>
            </w:pPr>
          </w:p>
        </w:tc>
      </w:tr>
      <w:tr w14:paraId="2B12E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BB21C70">
            <w:pPr>
              <w:ind w:left="420" w:hanging="420"/>
              <w:rPr>
                <w:rFonts w:ascii="宋体" w:hAnsi="Times New Roman" w:eastAsia="宋体" w:cs="Times New Roman"/>
                <w:b/>
                <w:szCs w:val="20"/>
                <w:highlight w:val="none"/>
              </w:rPr>
            </w:pPr>
          </w:p>
        </w:tc>
        <w:tc>
          <w:tcPr>
            <w:tcW w:w="2082" w:type="dxa"/>
          </w:tcPr>
          <w:p w14:paraId="35AC915C">
            <w:pPr>
              <w:ind w:left="420" w:hanging="420"/>
              <w:rPr>
                <w:rFonts w:ascii="宋体" w:hAnsi="Times New Roman" w:eastAsia="宋体" w:cs="Times New Roman"/>
                <w:b/>
                <w:szCs w:val="20"/>
                <w:highlight w:val="none"/>
              </w:rPr>
            </w:pPr>
          </w:p>
        </w:tc>
        <w:tc>
          <w:tcPr>
            <w:tcW w:w="1355" w:type="dxa"/>
          </w:tcPr>
          <w:p w14:paraId="67A04179">
            <w:pPr>
              <w:ind w:left="420" w:hanging="420"/>
              <w:rPr>
                <w:rFonts w:ascii="宋体" w:hAnsi="Times New Roman" w:eastAsia="宋体" w:cs="Times New Roman"/>
                <w:b/>
                <w:szCs w:val="20"/>
                <w:highlight w:val="none"/>
              </w:rPr>
            </w:pPr>
          </w:p>
        </w:tc>
        <w:tc>
          <w:tcPr>
            <w:tcW w:w="1320" w:type="dxa"/>
          </w:tcPr>
          <w:p w14:paraId="683A8BED">
            <w:pPr>
              <w:ind w:left="420" w:hanging="420"/>
              <w:rPr>
                <w:rFonts w:ascii="宋体" w:hAnsi="Times New Roman" w:eastAsia="宋体" w:cs="Times New Roman"/>
                <w:b/>
                <w:szCs w:val="20"/>
                <w:highlight w:val="none"/>
              </w:rPr>
            </w:pPr>
          </w:p>
        </w:tc>
        <w:tc>
          <w:tcPr>
            <w:tcW w:w="1023" w:type="dxa"/>
          </w:tcPr>
          <w:p w14:paraId="46A8EAB0">
            <w:pPr>
              <w:ind w:left="420" w:hanging="420"/>
              <w:rPr>
                <w:rFonts w:ascii="宋体" w:hAnsi="Times New Roman" w:eastAsia="宋体" w:cs="Times New Roman"/>
                <w:b/>
                <w:szCs w:val="20"/>
                <w:highlight w:val="none"/>
              </w:rPr>
            </w:pPr>
          </w:p>
        </w:tc>
        <w:tc>
          <w:tcPr>
            <w:tcW w:w="1590" w:type="dxa"/>
          </w:tcPr>
          <w:p w14:paraId="4A9ABBA0">
            <w:pPr>
              <w:ind w:left="420" w:hanging="420"/>
              <w:rPr>
                <w:rFonts w:ascii="宋体" w:hAnsi="Times New Roman" w:eastAsia="宋体" w:cs="Times New Roman"/>
                <w:b/>
                <w:szCs w:val="20"/>
                <w:highlight w:val="none"/>
              </w:rPr>
            </w:pPr>
          </w:p>
        </w:tc>
      </w:tr>
      <w:tr w14:paraId="0D245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D229626">
            <w:pPr>
              <w:ind w:left="420" w:hanging="420"/>
              <w:rPr>
                <w:rFonts w:ascii="宋体" w:hAnsi="Times New Roman" w:eastAsia="宋体" w:cs="Times New Roman"/>
                <w:b/>
                <w:szCs w:val="20"/>
                <w:highlight w:val="none"/>
              </w:rPr>
            </w:pPr>
          </w:p>
        </w:tc>
        <w:tc>
          <w:tcPr>
            <w:tcW w:w="2082" w:type="dxa"/>
          </w:tcPr>
          <w:p w14:paraId="55F5065A">
            <w:pPr>
              <w:ind w:left="420" w:hanging="420"/>
              <w:rPr>
                <w:rFonts w:ascii="宋体" w:hAnsi="Times New Roman" w:eastAsia="宋体" w:cs="Times New Roman"/>
                <w:b/>
                <w:szCs w:val="20"/>
                <w:highlight w:val="none"/>
              </w:rPr>
            </w:pPr>
          </w:p>
        </w:tc>
        <w:tc>
          <w:tcPr>
            <w:tcW w:w="1355" w:type="dxa"/>
          </w:tcPr>
          <w:p w14:paraId="4B9511E6">
            <w:pPr>
              <w:ind w:left="420" w:hanging="420"/>
              <w:rPr>
                <w:rFonts w:ascii="宋体" w:hAnsi="Times New Roman" w:eastAsia="宋体" w:cs="Times New Roman"/>
                <w:b/>
                <w:szCs w:val="20"/>
                <w:highlight w:val="none"/>
              </w:rPr>
            </w:pPr>
          </w:p>
        </w:tc>
        <w:tc>
          <w:tcPr>
            <w:tcW w:w="1320" w:type="dxa"/>
          </w:tcPr>
          <w:p w14:paraId="11BCF860">
            <w:pPr>
              <w:ind w:left="420" w:hanging="420"/>
              <w:rPr>
                <w:rFonts w:ascii="宋体" w:hAnsi="Times New Roman" w:eastAsia="宋体" w:cs="Times New Roman"/>
                <w:b/>
                <w:szCs w:val="20"/>
                <w:highlight w:val="none"/>
              </w:rPr>
            </w:pPr>
          </w:p>
        </w:tc>
        <w:tc>
          <w:tcPr>
            <w:tcW w:w="1023" w:type="dxa"/>
          </w:tcPr>
          <w:p w14:paraId="71CBF424">
            <w:pPr>
              <w:ind w:left="420" w:hanging="420"/>
              <w:rPr>
                <w:rFonts w:ascii="宋体" w:hAnsi="Times New Roman" w:eastAsia="宋体" w:cs="Times New Roman"/>
                <w:b/>
                <w:szCs w:val="20"/>
                <w:highlight w:val="none"/>
              </w:rPr>
            </w:pPr>
          </w:p>
        </w:tc>
        <w:tc>
          <w:tcPr>
            <w:tcW w:w="1590" w:type="dxa"/>
          </w:tcPr>
          <w:p w14:paraId="11BBD1B5">
            <w:pPr>
              <w:ind w:left="420" w:hanging="420"/>
              <w:rPr>
                <w:rFonts w:ascii="宋体" w:hAnsi="Times New Roman" w:eastAsia="宋体" w:cs="Times New Roman"/>
                <w:b/>
                <w:szCs w:val="20"/>
                <w:highlight w:val="none"/>
              </w:rPr>
            </w:pPr>
          </w:p>
        </w:tc>
      </w:tr>
      <w:tr w14:paraId="3B8F8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DE129A7">
            <w:pPr>
              <w:ind w:left="420" w:hanging="420"/>
              <w:rPr>
                <w:rFonts w:ascii="宋体" w:hAnsi="Times New Roman" w:eastAsia="宋体" w:cs="Times New Roman"/>
                <w:b/>
                <w:szCs w:val="20"/>
                <w:highlight w:val="none"/>
              </w:rPr>
            </w:pPr>
          </w:p>
        </w:tc>
        <w:tc>
          <w:tcPr>
            <w:tcW w:w="2082" w:type="dxa"/>
          </w:tcPr>
          <w:p w14:paraId="7B629480">
            <w:pPr>
              <w:ind w:left="420" w:hanging="420"/>
              <w:rPr>
                <w:rFonts w:ascii="宋体" w:hAnsi="Times New Roman" w:eastAsia="宋体" w:cs="Times New Roman"/>
                <w:b/>
                <w:szCs w:val="20"/>
                <w:highlight w:val="none"/>
              </w:rPr>
            </w:pPr>
          </w:p>
        </w:tc>
        <w:tc>
          <w:tcPr>
            <w:tcW w:w="1355" w:type="dxa"/>
          </w:tcPr>
          <w:p w14:paraId="3D7628ED">
            <w:pPr>
              <w:ind w:left="420" w:hanging="420"/>
              <w:rPr>
                <w:rFonts w:ascii="宋体" w:hAnsi="Times New Roman" w:eastAsia="宋体" w:cs="Times New Roman"/>
                <w:b/>
                <w:szCs w:val="20"/>
                <w:highlight w:val="none"/>
              </w:rPr>
            </w:pPr>
          </w:p>
        </w:tc>
        <w:tc>
          <w:tcPr>
            <w:tcW w:w="1320" w:type="dxa"/>
          </w:tcPr>
          <w:p w14:paraId="0167DB40">
            <w:pPr>
              <w:ind w:left="420" w:hanging="420"/>
              <w:rPr>
                <w:rFonts w:ascii="宋体" w:hAnsi="Times New Roman" w:eastAsia="宋体" w:cs="Times New Roman"/>
                <w:b/>
                <w:szCs w:val="20"/>
                <w:highlight w:val="none"/>
              </w:rPr>
            </w:pPr>
          </w:p>
        </w:tc>
        <w:tc>
          <w:tcPr>
            <w:tcW w:w="1023" w:type="dxa"/>
          </w:tcPr>
          <w:p w14:paraId="343ABB74">
            <w:pPr>
              <w:ind w:left="420" w:hanging="420"/>
              <w:rPr>
                <w:rFonts w:ascii="宋体" w:hAnsi="Times New Roman" w:eastAsia="宋体" w:cs="Times New Roman"/>
                <w:b/>
                <w:szCs w:val="20"/>
                <w:highlight w:val="none"/>
              </w:rPr>
            </w:pPr>
          </w:p>
        </w:tc>
        <w:tc>
          <w:tcPr>
            <w:tcW w:w="1590" w:type="dxa"/>
          </w:tcPr>
          <w:p w14:paraId="3A33A4DB">
            <w:pPr>
              <w:ind w:left="420" w:hanging="420"/>
              <w:rPr>
                <w:rFonts w:ascii="宋体" w:hAnsi="Times New Roman" w:eastAsia="宋体" w:cs="Times New Roman"/>
                <w:b/>
                <w:szCs w:val="20"/>
                <w:highlight w:val="none"/>
              </w:rPr>
            </w:pPr>
          </w:p>
        </w:tc>
      </w:tr>
      <w:tr w14:paraId="6FB83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5905220">
            <w:pPr>
              <w:ind w:left="420" w:hanging="420"/>
              <w:rPr>
                <w:rFonts w:ascii="宋体" w:hAnsi="Times New Roman" w:eastAsia="宋体" w:cs="Times New Roman"/>
                <w:b/>
                <w:szCs w:val="20"/>
                <w:highlight w:val="none"/>
              </w:rPr>
            </w:pPr>
          </w:p>
        </w:tc>
        <w:tc>
          <w:tcPr>
            <w:tcW w:w="2082" w:type="dxa"/>
          </w:tcPr>
          <w:p w14:paraId="1DC6E1ED">
            <w:pPr>
              <w:ind w:left="420" w:hanging="420"/>
              <w:rPr>
                <w:rFonts w:ascii="宋体" w:hAnsi="Times New Roman" w:eastAsia="宋体" w:cs="Times New Roman"/>
                <w:b/>
                <w:szCs w:val="20"/>
                <w:highlight w:val="none"/>
              </w:rPr>
            </w:pPr>
          </w:p>
        </w:tc>
        <w:tc>
          <w:tcPr>
            <w:tcW w:w="1355" w:type="dxa"/>
          </w:tcPr>
          <w:p w14:paraId="5B28EBD8">
            <w:pPr>
              <w:ind w:left="420" w:hanging="420"/>
              <w:rPr>
                <w:rFonts w:ascii="宋体" w:hAnsi="Times New Roman" w:eastAsia="宋体" w:cs="Times New Roman"/>
                <w:b/>
                <w:szCs w:val="20"/>
                <w:highlight w:val="none"/>
              </w:rPr>
            </w:pPr>
          </w:p>
        </w:tc>
        <w:tc>
          <w:tcPr>
            <w:tcW w:w="1320" w:type="dxa"/>
          </w:tcPr>
          <w:p w14:paraId="549B6C11">
            <w:pPr>
              <w:ind w:left="420" w:hanging="420"/>
              <w:rPr>
                <w:rFonts w:ascii="宋体" w:hAnsi="Times New Roman" w:eastAsia="宋体" w:cs="Times New Roman"/>
                <w:b/>
                <w:szCs w:val="20"/>
                <w:highlight w:val="none"/>
              </w:rPr>
            </w:pPr>
          </w:p>
        </w:tc>
        <w:tc>
          <w:tcPr>
            <w:tcW w:w="1023" w:type="dxa"/>
          </w:tcPr>
          <w:p w14:paraId="39DB937F">
            <w:pPr>
              <w:ind w:left="420" w:hanging="420"/>
              <w:rPr>
                <w:rFonts w:ascii="宋体" w:hAnsi="Times New Roman" w:eastAsia="宋体" w:cs="Times New Roman"/>
                <w:b/>
                <w:szCs w:val="20"/>
                <w:highlight w:val="none"/>
              </w:rPr>
            </w:pPr>
          </w:p>
        </w:tc>
        <w:tc>
          <w:tcPr>
            <w:tcW w:w="1590" w:type="dxa"/>
          </w:tcPr>
          <w:p w14:paraId="373378D5">
            <w:pPr>
              <w:ind w:left="420" w:hanging="420"/>
              <w:rPr>
                <w:rFonts w:ascii="宋体" w:hAnsi="Times New Roman" w:eastAsia="宋体" w:cs="Times New Roman"/>
                <w:b/>
                <w:szCs w:val="20"/>
                <w:highlight w:val="none"/>
              </w:rPr>
            </w:pPr>
          </w:p>
        </w:tc>
      </w:tr>
      <w:tr w14:paraId="3DDB0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E2DE604">
            <w:pPr>
              <w:ind w:left="420" w:hanging="420"/>
              <w:rPr>
                <w:rFonts w:ascii="宋体" w:hAnsi="Times New Roman" w:eastAsia="宋体" w:cs="Times New Roman"/>
                <w:b/>
                <w:szCs w:val="20"/>
                <w:highlight w:val="none"/>
              </w:rPr>
            </w:pPr>
          </w:p>
        </w:tc>
        <w:tc>
          <w:tcPr>
            <w:tcW w:w="2082" w:type="dxa"/>
          </w:tcPr>
          <w:p w14:paraId="27674A2B">
            <w:pPr>
              <w:ind w:left="420" w:hanging="420"/>
              <w:rPr>
                <w:rFonts w:ascii="宋体" w:hAnsi="Times New Roman" w:eastAsia="宋体" w:cs="Times New Roman"/>
                <w:b/>
                <w:szCs w:val="20"/>
                <w:highlight w:val="none"/>
              </w:rPr>
            </w:pPr>
          </w:p>
        </w:tc>
        <w:tc>
          <w:tcPr>
            <w:tcW w:w="1355" w:type="dxa"/>
          </w:tcPr>
          <w:p w14:paraId="2DDA7B99">
            <w:pPr>
              <w:ind w:left="420" w:hanging="420"/>
              <w:rPr>
                <w:rFonts w:ascii="宋体" w:hAnsi="Times New Roman" w:eastAsia="宋体" w:cs="Times New Roman"/>
                <w:b/>
                <w:szCs w:val="20"/>
                <w:highlight w:val="none"/>
              </w:rPr>
            </w:pPr>
          </w:p>
        </w:tc>
        <w:tc>
          <w:tcPr>
            <w:tcW w:w="1320" w:type="dxa"/>
          </w:tcPr>
          <w:p w14:paraId="360C035F">
            <w:pPr>
              <w:ind w:left="420" w:hanging="420"/>
              <w:rPr>
                <w:rFonts w:ascii="宋体" w:hAnsi="Times New Roman" w:eastAsia="宋体" w:cs="Times New Roman"/>
                <w:b/>
                <w:szCs w:val="20"/>
                <w:highlight w:val="none"/>
              </w:rPr>
            </w:pPr>
          </w:p>
        </w:tc>
        <w:tc>
          <w:tcPr>
            <w:tcW w:w="1023" w:type="dxa"/>
          </w:tcPr>
          <w:p w14:paraId="23EB4D67">
            <w:pPr>
              <w:ind w:left="420" w:hanging="420"/>
              <w:rPr>
                <w:rFonts w:ascii="宋体" w:hAnsi="Times New Roman" w:eastAsia="宋体" w:cs="Times New Roman"/>
                <w:b/>
                <w:szCs w:val="20"/>
                <w:highlight w:val="none"/>
              </w:rPr>
            </w:pPr>
          </w:p>
        </w:tc>
        <w:tc>
          <w:tcPr>
            <w:tcW w:w="1590" w:type="dxa"/>
          </w:tcPr>
          <w:p w14:paraId="5FA14786">
            <w:pPr>
              <w:ind w:left="420" w:hanging="420"/>
              <w:rPr>
                <w:rFonts w:ascii="宋体" w:hAnsi="Times New Roman" w:eastAsia="宋体" w:cs="Times New Roman"/>
                <w:b/>
                <w:szCs w:val="20"/>
                <w:highlight w:val="none"/>
              </w:rPr>
            </w:pPr>
          </w:p>
        </w:tc>
      </w:tr>
      <w:tr w14:paraId="3DCF5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885BFD3">
            <w:pPr>
              <w:ind w:left="420" w:hanging="420"/>
              <w:rPr>
                <w:rFonts w:ascii="宋体" w:hAnsi="Times New Roman" w:eastAsia="宋体" w:cs="Times New Roman"/>
                <w:b/>
                <w:szCs w:val="20"/>
                <w:highlight w:val="none"/>
              </w:rPr>
            </w:pPr>
          </w:p>
        </w:tc>
        <w:tc>
          <w:tcPr>
            <w:tcW w:w="2082" w:type="dxa"/>
          </w:tcPr>
          <w:p w14:paraId="3C138D81">
            <w:pPr>
              <w:ind w:left="420" w:hanging="420"/>
              <w:rPr>
                <w:rFonts w:ascii="宋体" w:hAnsi="Times New Roman" w:eastAsia="宋体" w:cs="Times New Roman"/>
                <w:b/>
                <w:szCs w:val="20"/>
                <w:highlight w:val="none"/>
              </w:rPr>
            </w:pPr>
          </w:p>
        </w:tc>
        <w:tc>
          <w:tcPr>
            <w:tcW w:w="1355" w:type="dxa"/>
          </w:tcPr>
          <w:p w14:paraId="7C01B6B3">
            <w:pPr>
              <w:ind w:left="420" w:hanging="420"/>
              <w:rPr>
                <w:rFonts w:ascii="宋体" w:hAnsi="Times New Roman" w:eastAsia="宋体" w:cs="Times New Roman"/>
                <w:b/>
                <w:szCs w:val="20"/>
                <w:highlight w:val="none"/>
              </w:rPr>
            </w:pPr>
          </w:p>
        </w:tc>
        <w:tc>
          <w:tcPr>
            <w:tcW w:w="1320" w:type="dxa"/>
          </w:tcPr>
          <w:p w14:paraId="65116CEB">
            <w:pPr>
              <w:ind w:left="420" w:hanging="420"/>
              <w:rPr>
                <w:rFonts w:ascii="宋体" w:hAnsi="Times New Roman" w:eastAsia="宋体" w:cs="Times New Roman"/>
                <w:b/>
                <w:szCs w:val="20"/>
                <w:highlight w:val="none"/>
              </w:rPr>
            </w:pPr>
          </w:p>
        </w:tc>
        <w:tc>
          <w:tcPr>
            <w:tcW w:w="1023" w:type="dxa"/>
          </w:tcPr>
          <w:p w14:paraId="04351C50">
            <w:pPr>
              <w:ind w:left="420" w:hanging="420"/>
              <w:rPr>
                <w:rFonts w:ascii="宋体" w:hAnsi="Times New Roman" w:eastAsia="宋体" w:cs="Times New Roman"/>
                <w:b/>
                <w:szCs w:val="20"/>
                <w:highlight w:val="none"/>
              </w:rPr>
            </w:pPr>
          </w:p>
        </w:tc>
        <w:tc>
          <w:tcPr>
            <w:tcW w:w="1590" w:type="dxa"/>
          </w:tcPr>
          <w:p w14:paraId="6977998B">
            <w:pPr>
              <w:ind w:left="420" w:hanging="420"/>
              <w:rPr>
                <w:rFonts w:ascii="宋体" w:hAnsi="Times New Roman" w:eastAsia="宋体" w:cs="Times New Roman"/>
                <w:b/>
                <w:szCs w:val="20"/>
                <w:highlight w:val="none"/>
              </w:rPr>
            </w:pPr>
          </w:p>
        </w:tc>
      </w:tr>
      <w:tr w14:paraId="01337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82FE932">
            <w:pPr>
              <w:ind w:left="420" w:hanging="420"/>
              <w:rPr>
                <w:rFonts w:ascii="宋体" w:hAnsi="Times New Roman" w:eastAsia="宋体" w:cs="Times New Roman"/>
                <w:b/>
                <w:szCs w:val="20"/>
                <w:highlight w:val="none"/>
              </w:rPr>
            </w:pPr>
          </w:p>
        </w:tc>
        <w:tc>
          <w:tcPr>
            <w:tcW w:w="2082" w:type="dxa"/>
          </w:tcPr>
          <w:p w14:paraId="2939FC34">
            <w:pPr>
              <w:ind w:left="420" w:hanging="420"/>
              <w:rPr>
                <w:rFonts w:ascii="宋体" w:hAnsi="Times New Roman" w:eastAsia="宋体" w:cs="Times New Roman"/>
                <w:b/>
                <w:szCs w:val="20"/>
                <w:highlight w:val="none"/>
              </w:rPr>
            </w:pPr>
          </w:p>
        </w:tc>
        <w:tc>
          <w:tcPr>
            <w:tcW w:w="1355" w:type="dxa"/>
          </w:tcPr>
          <w:p w14:paraId="344EAAC4">
            <w:pPr>
              <w:ind w:left="420" w:hanging="420"/>
              <w:rPr>
                <w:rFonts w:ascii="宋体" w:hAnsi="Times New Roman" w:eastAsia="宋体" w:cs="Times New Roman"/>
                <w:b/>
                <w:szCs w:val="20"/>
                <w:highlight w:val="none"/>
              </w:rPr>
            </w:pPr>
          </w:p>
        </w:tc>
        <w:tc>
          <w:tcPr>
            <w:tcW w:w="1320" w:type="dxa"/>
          </w:tcPr>
          <w:p w14:paraId="3BC72F60">
            <w:pPr>
              <w:ind w:left="420" w:hanging="420"/>
              <w:rPr>
                <w:rFonts w:ascii="宋体" w:hAnsi="Times New Roman" w:eastAsia="宋体" w:cs="Times New Roman"/>
                <w:b/>
                <w:szCs w:val="20"/>
                <w:highlight w:val="none"/>
              </w:rPr>
            </w:pPr>
          </w:p>
        </w:tc>
        <w:tc>
          <w:tcPr>
            <w:tcW w:w="1023" w:type="dxa"/>
          </w:tcPr>
          <w:p w14:paraId="578BFFEC">
            <w:pPr>
              <w:ind w:left="420" w:hanging="420"/>
              <w:rPr>
                <w:rFonts w:ascii="宋体" w:hAnsi="Times New Roman" w:eastAsia="宋体" w:cs="Times New Roman"/>
                <w:b/>
                <w:szCs w:val="20"/>
                <w:highlight w:val="none"/>
              </w:rPr>
            </w:pPr>
          </w:p>
        </w:tc>
        <w:tc>
          <w:tcPr>
            <w:tcW w:w="1590" w:type="dxa"/>
          </w:tcPr>
          <w:p w14:paraId="74CA9D21">
            <w:pPr>
              <w:ind w:left="420" w:hanging="420"/>
              <w:rPr>
                <w:rFonts w:ascii="宋体" w:hAnsi="Times New Roman" w:eastAsia="宋体" w:cs="Times New Roman"/>
                <w:b/>
                <w:szCs w:val="20"/>
                <w:highlight w:val="none"/>
              </w:rPr>
            </w:pPr>
          </w:p>
        </w:tc>
      </w:tr>
      <w:tr w14:paraId="33109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C3601A7">
            <w:pPr>
              <w:ind w:left="420" w:hanging="420"/>
              <w:rPr>
                <w:rFonts w:ascii="宋体" w:hAnsi="Times New Roman" w:eastAsia="宋体" w:cs="Times New Roman"/>
                <w:b/>
                <w:szCs w:val="20"/>
                <w:highlight w:val="none"/>
              </w:rPr>
            </w:pPr>
          </w:p>
        </w:tc>
        <w:tc>
          <w:tcPr>
            <w:tcW w:w="2082" w:type="dxa"/>
          </w:tcPr>
          <w:p w14:paraId="618F1A1A">
            <w:pPr>
              <w:ind w:left="420" w:hanging="420"/>
              <w:rPr>
                <w:rFonts w:ascii="宋体" w:hAnsi="Times New Roman" w:eastAsia="宋体" w:cs="Times New Roman"/>
                <w:b/>
                <w:szCs w:val="20"/>
                <w:highlight w:val="none"/>
              </w:rPr>
            </w:pPr>
          </w:p>
        </w:tc>
        <w:tc>
          <w:tcPr>
            <w:tcW w:w="1355" w:type="dxa"/>
          </w:tcPr>
          <w:p w14:paraId="28F2E3C5">
            <w:pPr>
              <w:ind w:left="420" w:hanging="420"/>
              <w:rPr>
                <w:rFonts w:ascii="宋体" w:hAnsi="Times New Roman" w:eastAsia="宋体" w:cs="Times New Roman"/>
                <w:b/>
                <w:szCs w:val="20"/>
                <w:highlight w:val="none"/>
              </w:rPr>
            </w:pPr>
          </w:p>
        </w:tc>
        <w:tc>
          <w:tcPr>
            <w:tcW w:w="1320" w:type="dxa"/>
          </w:tcPr>
          <w:p w14:paraId="13B9CFF6">
            <w:pPr>
              <w:ind w:left="420" w:hanging="420"/>
              <w:rPr>
                <w:rFonts w:ascii="宋体" w:hAnsi="Times New Roman" w:eastAsia="宋体" w:cs="Times New Roman"/>
                <w:b/>
                <w:szCs w:val="20"/>
                <w:highlight w:val="none"/>
              </w:rPr>
            </w:pPr>
          </w:p>
        </w:tc>
        <w:tc>
          <w:tcPr>
            <w:tcW w:w="1023" w:type="dxa"/>
          </w:tcPr>
          <w:p w14:paraId="0046A038">
            <w:pPr>
              <w:ind w:left="420" w:hanging="420"/>
              <w:rPr>
                <w:rFonts w:ascii="宋体" w:hAnsi="Times New Roman" w:eastAsia="宋体" w:cs="Times New Roman"/>
                <w:b/>
                <w:szCs w:val="20"/>
                <w:highlight w:val="none"/>
              </w:rPr>
            </w:pPr>
          </w:p>
        </w:tc>
        <w:tc>
          <w:tcPr>
            <w:tcW w:w="1590" w:type="dxa"/>
          </w:tcPr>
          <w:p w14:paraId="53964F8D">
            <w:pPr>
              <w:ind w:left="420" w:hanging="420"/>
              <w:rPr>
                <w:rFonts w:ascii="宋体" w:hAnsi="Times New Roman" w:eastAsia="宋体" w:cs="Times New Roman"/>
                <w:b/>
                <w:szCs w:val="20"/>
                <w:highlight w:val="none"/>
              </w:rPr>
            </w:pPr>
          </w:p>
        </w:tc>
      </w:tr>
      <w:tr w14:paraId="64408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8637BFE">
            <w:pPr>
              <w:ind w:left="420" w:hanging="420"/>
              <w:rPr>
                <w:rFonts w:ascii="宋体" w:hAnsi="Times New Roman" w:eastAsia="宋体" w:cs="Times New Roman"/>
                <w:b/>
                <w:szCs w:val="20"/>
                <w:highlight w:val="none"/>
              </w:rPr>
            </w:pPr>
          </w:p>
        </w:tc>
        <w:tc>
          <w:tcPr>
            <w:tcW w:w="2082" w:type="dxa"/>
          </w:tcPr>
          <w:p w14:paraId="2E05E73D">
            <w:pPr>
              <w:ind w:left="420" w:hanging="420"/>
              <w:rPr>
                <w:rFonts w:ascii="宋体" w:hAnsi="Times New Roman" w:eastAsia="宋体" w:cs="Times New Roman"/>
                <w:b/>
                <w:szCs w:val="20"/>
                <w:highlight w:val="none"/>
              </w:rPr>
            </w:pPr>
          </w:p>
        </w:tc>
        <w:tc>
          <w:tcPr>
            <w:tcW w:w="1355" w:type="dxa"/>
          </w:tcPr>
          <w:p w14:paraId="60C9826A">
            <w:pPr>
              <w:ind w:left="420" w:hanging="420"/>
              <w:rPr>
                <w:rFonts w:ascii="宋体" w:hAnsi="Times New Roman" w:eastAsia="宋体" w:cs="Times New Roman"/>
                <w:b/>
                <w:szCs w:val="20"/>
                <w:highlight w:val="none"/>
              </w:rPr>
            </w:pPr>
          </w:p>
        </w:tc>
        <w:tc>
          <w:tcPr>
            <w:tcW w:w="1320" w:type="dxa"/>
          </w:tcPr>
          <w:p w14:paraId="6262101D">
            <w:pPr>
              <w:ind w:left="420" w:hanging="420"/>
              <w:rPr>
                <w:rFonts w:ascii="宋体" w:hAnsi="Times New Roman" w:eastAsia="宋体" w:cs="Times New Roman"/>
                <w:b/>
                <w:szCs w:val="20"/>
                <w:highlight w:val="none"/>
              </w:rPr>
            </w:pPr>
          </w:p>
        </w:tc>
        <w:tc>
          <w:tcPr>
            <w:tcW w:w="1023" w:type="dxa"/>
          </w:tcPr>
          <w:p w14:paraId="3AC171E5">
            <w:pPr>
              <w:ind w:left="420" w:hanging="420"/>
              <w:rPr>
                <w:rFonts w:ascii="宋体" w:hAnsi="Times New Roman" w:eastAsia="宋体" w:cs="Times New Roman"/>
                <w:b/>
                <w:szCs w:val="20"/>
                <w:highlight w:val="none"/>
              </w:rPr>
            </w:pPr>
          </w:p>
        </w:tc>
        <w:tc>
          <w:tcPr>
            <w:tcW w:w="1590" w:type="dxa"/>
          </w:tcPr>
          <w:p w14:paraId="538560D6">
            <w:pPr>
              <w:ind w:left="420" w:hanging="420"/>
              <w:rPr>
                <w:rFonts w:ascii="宋体" w:hAnsi="Times New Roman" w:eastAsia="宋体" w:cs="Times New Roman"/>
                <w:b/>
                <w:szCs w:val="20"/>
                <w:highlight w:val="none"/>
              </w:rPr>
            </w:pPr>
          </w:p>
        </w:tc>
      </w:tr>
      <w:tr w14:paraId="24696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C14AE28">
            <w:pPr>
              <w:ind w:left="420" w:hanging="420"/>
              <w:rPr>
                <w:rFonts w:ascii="宋体" w:hAnsi="Times New Roman" w:eastAsia="宋体" w:cs="Times New Roman"/>
                <w:b/>
                <w:szCs w:val="20"/>
                <w:highlight w:val="none"/>
              </w:rPr>
            </w:pPr>
          </w:p>
        </w:tc>
        <w:tc>
          <w:tcPr>
            <w:tcW w:w="2082" w:type="dxa"/>
          </w:tcPr>
          <w:p w14:paraId="0E2F6F75">
            <w:pPr>
              <w:ind w:left="420" w:hanging="420"/>
              <w:rPr>
                <w:rFonts w:ascii="宋体" w:hAnsi="Times New Roman" w:eastAsia="宋体" w:cs="Times New Roman"/>
                <w:b/>
                <w:szCs w:val="20"/>
                <w:highlight w:val="none"/>
              </w:rPr>
            </w:pPr>
          </w:p>
        </w:tc>
        <w:tc>
          <w:tcPr>
            <w:tcW w:w="1355" w:type="dxa"/>
          </w:tcPr>
          <w:p w14:paraId="513D5FFD">
            <w:pPr>
              <w:ind w:left="420" w:hanging="420"/>
              <w:rPr>
                <w:rFonts w:ascii="宋体" w:hAnsi="Times New Roman" w:eastAsia="宋体" w:cs="Times New Roman"/>
                <w:b/>
                <w:szCs w:val="20"/>
                <w:highlight w:val="none"/>
              </w:rPr>
            </w:pPr>
          </w:p>
        </w:tc>
        <w:tc>
          <w:tcPr>
            <w:tcW w:w="1320" w:type="dxa"/>
          </w:tcPr>
          <w:p w14:paraId="70DF6FCD">
            <w:pPr>
              <w:ind w:left="420" w:hanging="420"/>
              <w:rPr>
                <w:rFonts w:ascii="宋体" w:hAnsi="Times New Roman" w:eastAsia="宋体" w:cs="Times New Roman"/>
                <w:b/>
                <w:szCs w:val="20"/>
                <w:highlight w:val="none"/>
              </w:rPr>
            </w:pPr>
          </w:p>
        </w:tc>
        <w:tc>
          <w:tcPr>
            <w:tcW w:w="1023" w:type="dxa"/>
          </w:tcPr>
          <w:p w14:paraId="304B469F">
            <w:pPr>
              <w:ind w:left="420" w:hanging="420"/>
              <w:rPr>
                <w:rFonts w:ascii="宋体" w:hAnsi="Times New Roman" w:eastAsia="宋体" w:cs="Times New Roman"/>
                <w:b/>
                <w:szCs w:val="20"/>
                <w:highlight w:val="none"/>
              </w:rPr>
            </w:pPr>
          </w:p>
        </w:tc>
        <w:tc>
          <w:tcPr>
            <w:tcW w:w="1590" w:type="dxa"/>
          </w:tcPr>
          <w:p w14:paraId="3C6AEDC4">
            <w:pPr>
              <w:ind w:left="420" w:hanging="420"/>
              <w:rPr>
                <w:rFonts w:ascii="宋体" w:hAnsi="Times New Roman" w:eastAsia="宋体" w:cs="Times New Roman"/>
                <w:b/>
                <w:szCs w:val="20"/>
                <w:highlight w:val="none"/>
              </w:rPr>
            </w:pPr>
          </w:p>
        </w:tc>
      </w:tr>
      <w:tr w14:paraId="2EBE2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4FA107C3">
            <w:pPr>
              <w:ind w:left="420" w:hanging="420"/>
              <w:rPr>
                <w:rFonts w:ascii="宋体" w:hAnsi="Times New Roman" w:eastAsia="宋体" w:cs="Times New Roman"/>
                <w:b/>
                <w:szCs w:val="20"/>
                <w:highlight w:val="none"/>
              </w:rPr>
            </w:pPr>
            <w:r>
              <w:rPr>
                <w:rFonts w:ascii="宋体" w:hAnsi="宋体" w:eastAsia="宋体" w:cs="宋体"/>
                <w:sz w:val="24"/>
                <w:szCs w:val="24"/>
                <w:highlight w:val="none"/>
              </w:rPr>
              <w:t>20</w:t>
            </w:r>
            <w:r>
              <w:rPr>
                <w:rFonts w:hint="eastAsia" w:ascii="宋体" w:hAnsi="宋体" w:eastAsia="宋体" w:cs="宋体"/>
                <w:sz w:val="24"/>
                <w:szCs w:val="24"/>
                <w:highlight w:val="none"/>
              </w:rPr>
              <w:t>2</w:t>
            </w:r>
            <w:r>
              <w:rPr>
                <w:rFonts w:hint="eastAsia" w:ascii="宋体" w:hAnsi="宋体" w:eastAsia="宋体" w:cs="宋体"/>
                <w:sz w:val="24"/>
                <w:szCs w:val="24"/>
                <w:highlight w:val="none"/>
                <w:lang w:val="en-US" w:eastAsia="zh-CN"/>
              </w:rPr>
              <w:t>2</w:t>
            </w:r>
            <w:r>
              <w:rPr>
                <w:rFonts w:ascii="宋体" w:hAnsi="宋体" w:eastAsia="宋体" w:cs="宋体"/>
                <w:sz w:val="24"/>
                <w:szCs w:val="24"/>
                <w:highlight w:val="none"/>
              </w:rPr>
              <w:t>年1月1日至今所有业绩合同总额汇总（必填）</w:t>
            </w:r>
          </w:p>
        </w:tc>
        <w:tc>
          <w:tcPr>
            <w:tcW w:w="1320" w:type="dxa"/>
          </w:tcPr>
          <w:p w14:paraId="08A1FF32">
            <w:pPr>
              <w:ind w:left="420" w:hanging="420"/>
              <w:rPr>
                <w:rFonts w:ascii="宋体" w:hAnsi="Times New Roman" w:eastAsia="宋体" w:cs="Times New Roman"/>
                <w:b/>
                <w:szCs w:val="20"/>
                <w:highlight w:val="none"/>
              </w:rPr>
            </w:pPr>
          </w:p>
        </w:tc>
        <w:tc>
          <w:tcPr>
            <w:tcW w:w="1023" w:type="dxa"/>
          </w:tcPr>
          <w:p w14:paraId="20B7E270">
            <w:pPr>
              <w:ind w:left="420" w:hanging="420"/>
              <w:rPr>
                <w:rFonts w:ascii="宋体" w:hAnsi="Times New Roman" w:eastAsia="宋体" w:cs="Times New Roman"/>
                <w:b/>
                <w:szCs w:val="20"/>
                <w:highlight w:val="none"/>
              </w:rPr>
            </w:pPr>
          </w:p>
        </w:tc>
        <w:tc>
          <w:tcPr>
            <w:tcW w:w="1590" w:type="dxa"/>
          </w:tcPr>
          <w:p w14:paraId="29BA74B2">
            <w:pPr>
              <w:ind w:left="420" w:hanging="420"/>
              <w:rPr>
                <w:rFonts w:ascii="宋体" w:hAnsi="Times New Roman" w:eastAsia="宋体" w:cs="Times New Roman"/>
                <w:b/>
                <w:szCs w:val="20"/>
                <w:highlight w:val="none"/>
              </w:rPr>
            </w:pPr>
          </w:p>
        </w:tc>
      </w:tr>
    </w:tbl>
    <w:p w14:paraId="2E28CAF5">
      <w:pPr>
        <w:spacing w:line="240" w:lineRule="atLeast"/>
        <w:rPr>
          <w:rFonts w:ascii="宋体" w:hAnsi="Calibri" w:eastAsia="宋体" w:cs="Times New Roman"/>
          <w:sz w:val="24"/>
          <w:szCs w:val="20"/>
          <w:highlight w:val="none"/>
        </w:rPr>
      </w:pPr>
      <w:r>
        <w:rPr>
          <w:rFonts w:hint="eastAsia" w:ascii="宋体" w:hAnsi="宋体" w:eastAsia="宋体" w:cs="Times New Roman"/>
          <w:sz w:val="24"/>
          <w:szCs w:val="20"/>
          <w:highlight w:val="none"/>
        </w:rPr>
        <w:t>注：</w:t>
      </w:r>
      <w:r>
        <w:rPr>
          <w:rFonts w:hint="eastAsia" w:ascii="宋体" w:hAnsi="宋体" w:eastAsia="宋体" w:cs="宋体"/>
          <w:kern w:val="0"/>
          <w:sz w:val="24"/>
          <w:szCs w:val="20"/>
          <w:highlight w:val="none"/>
        </w:rPr>
        <w:t>提供202</w:t>
      </w:r>
      <w:r>
        <w:rPr>
          <w:rFonts w:hint="eastAsia" w:ascii="宋体" w:hAnsi="宋体" w:eastAsia="宋体" w:cs="宋体"/>
          <w:kern w:val="0"/>
          <w:sz w:val="24"/>
          <w:szCs w:val="20"/>
          <w:highlight w:val="none"/>
          <w:lang w:val="en-US" w:eastAsia="zh-CN"/>
        </w:rPr>
        <w:t>2</w:t>
      </w:r>
      <w:r>
        <w:rPr>
          <w:rFonts w:hint="eastAsia" w:ascii="宋体" w:hAnsi="宋体" w:eastAsia="宋体" w:cs="宋体"/>
          <w:kern w:val="0"/>
          <w:sz w:val="24"/>
          <w:szCs w:val="20"/>
          <w:highlight w:val="none"/>
        </w:rPr>
        <w:t>年1月1日以来同类产品的制造销售业绩（用户名单、联系方式）</w:t>
      </w:r>
      <w:r>
        <w:rPr>
          <w:rFonts w:hint="eastAsia" w:ascii="宋体" w:hAnsi="宋体" w:eastAsia="宋体" w:cs="Times New Roman"/>
          <w:sz w:val="24"/>
          <w:szCs w:val="20"/>
          <w:highlight w:val="none"/>
        </w:rPr>
        <w:t>，并附合同复印件。</w:t>
      </w:r>
      <w:r>
        <w:rPr>
          <w:rFonts w:hint="eastAsia" w:ascii="宋体" w:hAnsi="宋体" w:eastAsia="宋体" w:cs="宋体"/>
          <w:kern w:val="0"/>
          <w:sz w:val="24"/>
          <w:szCs w:val="20"/>
          <w:highlight w:val="none"/>
        </w:rPr>
        <w:t>该同类项目业绩一览表</w:t>
      </w:r>
      <w:r>
        <w:rPr>
          <w:rFonts w:hint="eastAsia" w:ascii="宋体" w:hAnsi="宋体" w:eastAsia="宋体" w:cs="宋体"/>
          <w:b/>
          <w:bCs/>
          <w:kern w:val="0"/>
          <w:sz w:val="24"/>
          <w:szCs w:val="20"/>
          <w:highlight w:val="none"/>
        </w:rPr>
        <w:t>必须如实填写，应全尽全</w:t>
      </w:r>
      <w:r>
        <w:rPr>
          <w:rFonts w:hint="eastAsia" w:ascii="宋体" w:hAnsi="宋体" w:eastAsia="宋体" w:cs="宋体"/>
          <w:kern w:val="0"/>
          <w:sz w:val="24"/>
          <w:szCs w:val="20"/>
          <w:highlight w:val="none"/>
        </w:rPr>
        <w:t>；一览表最终的所有业绩</w:t>
      </w:r>
      <w:r>
        <w:rPr>
          <w:rFonts w:hint="eastAsia" w:ascii="宋体" w:hAnsi="宋体" w:eastAsia="宋体" w:cs="宋体"/>
          <w:b/>
          <w:bCs/>
          <w:kern w:val="0"/>
          <w:sz w:val="24"/>
          <w:szCs w:val="20"/>
          <w:highlight w:val="none"/>
        </w:rPr>
        <w:t>合同总额汇总必填</w:t>
      </w:r>
      <w:r>
        <w:rPr>
          <w:rFonts w:hint="eastAsia" w:ascii="宋体" w:hAnsi="宋体" w:eastAsia="宋体" w:cs="宋体"/>
          <w:kern w:val="0"/>
          <w:sz w:val="24"/>
          <w:szCs w:val="20"/>
          <w:highlight w:val="none"/>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highlight w:val="none"/>
        </w:rPr>
        <w:t>。</w:t>
      </w:r>
    </w:p>
    <w:p w14:paraId="2CAF9B5C">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6F8C1F14">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6B274107">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52EAF420">
      <w:pPr>
        <w:rPr>
          <w:rFonts w:ascii="宋体" w:hAnsi="Calibri" w:eastAsia="宋体" w:cs="宋体"/>
          <w:b/>
          <w:bCs/>
          <w:color w:val="000000"/>
          <w:sz w:val="28"/>
          <w:highlight w:val="none"/>
        </w:rPr>
      </w:pPr>
    </w:p>
    <w:p w14:paraId="78D88F9D">
      <w:pPr>
        <w:rPr>
          <w:rFonts w:ascii="宋体" w:hAnsi="Calibri" w:eastAsia="宋体" w:cs="宋体"/>
          <w:b/>
          <w:bCs/>
          <w:color w:val="000000"/>
          <w:sz w:val="28"/>
          <w:highlight w:val="none"/>
        </w:rPr>
        <w:sectPr>
          <w:footerReference r:id="rId28" w:type="default"/>
          <w:pgSz w:w="11906" w:h="16838"/>
          <w:pgMar w:top="1588" w:right="1418" w:bottom="1134" w:left="1418" w:header="851" w:footer="992" w:gutter="0"/>
          <w:pgNumType w:fmt="decimal"/>
          <w:cols w:space="720" w:num="1"/>
          <w:titlePg/>
          <w:docGrid w:type="lines" w:linePitch="312" w:charSpace="0"/>
        </w:sectPr>
      </w:pPr>
    </w:p>
    <w:p w14:paraId="54A5BA40">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附件7</w:t>
      </w:r>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设备质量承诺函</w:t>
      </w:r>
    </w:p>
    <w:p w14:paraId="1F6BD870">
      <w:pPr>
        <w:spacing w:line="240" w:lineRule="exact"/>
        <w:rPr>
          <w:rFonts w:ascii="宋体" w:hAnsi="宋体" w:eastAsia="宋体" w:cs="Times New Roman"/>
          <w:szCs w:val="20"/>
          <w:highlight w:val="none"/>
        </w:rPr>
      </w:pPr>
      <w:r>
        <w:rPr>
          <w:rFonts w:ascii="宋体" w:hAnsi="宋体" w:eastAsia="宋体" w:cs="Times New Roman"/>
          <w:szCs w:val="20"/>
          <w:highlight w:val="none"/>
        </w:rPr>
        <w:t xml:space="preserve">                                               </w:t>
      </w:r>
    </w:p>
    <w:p w14:paraId="0EA91BFE">
      <w:pPr>
        <w:spacing w:line="360" w:lineRule="auto"/>
        <w:rPr>
          <w:rFonts w:ascii="宋体" w:hAnsi="宋体" w:eastAsia="宋体" w:cs="Times New Roman"/>
          <w:sz w:val="24"/>
          <w:szCs w:val="20"/>
          <w:highlight w:val="none"/>
          <w:u w:val="single"/>
        </w:rPr>
      </w:pPr>
      <w:r>
        <w:rPr>
          <w:rFonts w:hint="eastAsia" w:ascii="宋体" w:hAnsi="宋体" w:eastAsia="宋体" w:cs="Times New Roman"/>
          <w:sz w:val="24"/>
          <w:szCs w:val="20"/>
          <w:highlight w:val="none"/>
        </w:rPr>
        <w:t>项目名称</w:t>
      </w:r>
      <w:r>
        <w:rPr>
          <w:rFonts w:ascii="宋体" w:hAnsi="宋体" w:eastAsia="宋体" w:cs="Times New Roman"/>
          <w:sz w:val="24"/>
          <w:szCs w:val="20"/>
          <w:highlight w:val="none"/>
        </w:rPr>
        <w:t>:</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u w:val="single"/>
          <w:lang w:val="en-US" w:eastAsia="zh-CN"/>
        </w:rPr>
        <w:t xml:space="preserve">                        </w:t>
      </w:r>
      <w:r>
        <w:rPr>
          <w:rFonts w:hint="eastAsia" w:ascii="宋体" w:hAnsi="宋体" w:eastAsia="宋体" w:cs="Times New Roman"/>
          <w:sz w:val="24"/>
          <w:szCs w:val="20"/>
          <w:highlight w:val="none"/>
          <w:u w:val="single"/>
        </w:rPr>
        <w:t>项目</w:t>
      </w:r>
    </w:p>
    <w:p w14:paraId="4F4DC618">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lang w:eastAsia="zh-CN"/>
        </w:rPr>
        <w:t>中国重汽集团杭州发动机有限公司</w:t>
      </w:r>
      <w:r>
        <w:rPr>
          <w:rFonts w:hint="eastAsia" w:ascii="宋体" w:hAnsi="宋体" w:eastAsia="宋体" w:cs="Times New Roman"/>
          <w:b/>
          <w:bCs/>
          <w:sz w:val="24"/>
          <w:szCs w:val="20"/>
          <w:highlight w:val="none"/>
        </w:rPr>
        <w:t>：</w:t>
      </w:r>
    </w:p>
    <w:p w14:paraId="0B5AACA6">
      <w:pPr>
        <w:spacing w:line="360" w:lineRule="auto"/>
        <w:ind w:firstLine="480" w:firstLineChars="200"/>
        <w:rPr>
          <w:rFonts w:ascii="宋体" w:hAnsi="Calibri" w:eastAsia="宋体" w:cs="Times New Roman"/>
          <w:sz w:val="24"/>
          <w:szCs w:val="20"/>
          <w:highlight w:val="none"/>
        </w:rPr>
      </w:pPr>
      <w:r>
        <w:rPr>
          <w:rFonts w:hint="eastAsia" w:ascii="宋体" w:hAnsi="宋体" w:eastAsia="宋体" w:cs="Times New Roman"/>
          <w:sz w:val="24"/>
          <w:szCs w:val="20"/>
          <w:highlight w:val="none"/>
        </w:rPr>
        <w:t>我代表</w:t>
      </w:r>
      <w:r>
        <w:rPr>
          <w:rFonts w:ascii="宋体" w:hAnsi="宋体" w:eastAsia="宋体" w:cs="Times New Roman"/>
          <w:sz w:val="24"/>
          <w:szCs w:val="20"/>
          <w:highlight w:val="none"/>
        </w:rPr>
        <w:t>(</w:t>
      </w:r>
      <w:r>
        <w:rPr>
          <w:rFonts w:hint="eastAsia" w:ascii="宋体" w:hAnsi="宋体" w:eastAsia="宋体" w:cs="Times New Roman"/>
          <w:sz w:val="24"/>
          <w:szCs w:val="20"/>
          <w:highlight w:val="none"/>
        </w:rPr>
        <w:t>投标人名称</w:t>
      </w:r>
      <w:r>
        <w:rPr>
          <w:rFonts w:ascii="宋体" w:hAnsi="宋体" w:eastAsia="宋体" w:cs="Times New Roman"/>
          <w:sz w:val="24"/>
          <w:szCs w:val="20"/>
          <w:highlight w:val="none"/>
        </w:rPr>
        <w:t>)</w:t>
      </w:r>
      <w:r>
        <w:rPr>
          <w:rFonts w:hint="eastAsia" w:ascii="宋体" w:hAnsi="宋体" w:eastAsia="宋体" w:cs="Times New Roman"/>
          <w:sz w:val="24"/>
          <w:szCs w:val="20"/>
          <w:highlight w:val="none"/>
        </w:rPr>
        <w:t>为保证中标产品的质量特作如下承诺：</w:t>
      </w:r>
    </w:p>
    <w:p w14:paraId="3A3A96D9">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AB3AF4A">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CEF973D">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CA3B0AD">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F3DEC13">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25A11B8">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3302AF96">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39288313">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877E1E5">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8761E1F">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69885F4">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E187C57">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5DED5F4">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56F6830">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F0A88E2">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92B811A">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34C7D04">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2D54F42">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D465122">
      <w:pPr>
        <w:spacing w:line="360" w:lineRule="auto"/>
        <w:ind w:left="480"/>
        <w:rPr>
          <w:rFonts w:ascii="宋体" w:hAnsi="宋体" w:eastAsia="宋体" w:cs="Times New Roman"/>
          <w:sz w:val="24"/>
          <w:szCs w:val="20"/>
          <w:highlight w:val="none"/>
        </w:rPr>
      </w:pPr>
      <w:r>
        <w:rPr>
          <w:rFonts w:ascii="宋体" w:hAnsi="宋体" w:eastAsia="宋体" w:cs="Times New Roman"/>
          <w:sz w:val="24"/>
          <w:szCs w:val="20"/>
          <w:highlight w:val="none"/>
        </w:rPr>
        <w:t xml:space="preserve">                           </w:t>
      </w:r>
    </w:p>
    <w:p w14:paraId="4F1759E5">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53CCA3D6">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33C0574B">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0172E763">
      <w:pPr>
        <w:rPr>
          <w:rFonts w:ascii="宋体" w:hAnsi="Calibri" w:eastAsia="宋体" w:cs="宋体"/>
          <w:b/>
          <w:bCs/>
          <w:color w:val="000000"/>
          <w:sz w:val="28"/>
          <w:szCs w:val="20"/>
          <w:highlight w:val="none"/>
        </w:rPr>
        <w:sectPr>
          <w:footerReference r:id="rId30" w:type="first"/>
          <w:footerReference r:id="rId29" w:type="default"/>
          <w:pgSz w:w="11906" w:h="16838"/>
          <w:pgMar w:top="1588" w:right="1418" w:bottom="1134" w:left="1418" w:header="851" w:footer="992" w:gutter="0"/>
          <w:pgNumType w:fmt="decimal"/>
          <w:cols w:space="720" w:num="1"/>
          <w:titlePg/>
          <w:docGrid w:type="lines" w:linePitch="312" w:charSpace="0"/>
        </w:sectPr>
      </w:pPr>
    </w:p>
    <w:p w14:paraId="15B625FF">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附件8</w:t>
      </w:r>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开标一览表</w:t>
      </w:r>
    </w:p>
    <w:p w14:paraId="681C02A5">
      <w:pPr>
        <w:spacing w:line="360" w:lineRule="auto"/>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《开标一览表》单独封存，以备唱标使用</w:t>
      </w:r>
    </w:p>
    <w:p w14:paraId="7B4577C7">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项目名称：</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u w:val="single"/>
        </w:rPr>
        <w:t>项目</w:t>
      </w:r>
      <w:r>
        <w:rPr>
          <w:rFonts w:ascii="宋体" w:hAnsi="宋体" w:eastAsia="宋体" w:cs="Times New Roman"/>
          <w:color w:val="000000"/>
          <w:sz w:val="24"/>
          <w:szCs w:val="24"/>
          <w:highlight w:val="none"/>
          <w:u w:val="single"/>
        </w:rPr>
        <w:t xml:space="preserve">    </w:t>
      </w:r>
      <w:r>
        <w:rPr>
          <w:rFonts w:ascii="宋体" w:hAnsi="宋体" w:eastAsia="宋体" w:cs="Times New Roman"/>
          <w:color w:val="000000"/>
          <w:sz w:val="24"/>
          <w:szCs w:val="24"/>
          <w:highlight w:val="none"/>
        </w:rPr>
        <w:t xml:space="preserve">                                                    </w:t>
      </w:r>
    </w:p>
    <w:tbl>
      <w:tblPr>
        <w:tblStyle w:val="36"/>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0DC9F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2DF6F37B">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序号</w:t>
            </w:r>
          </w:p>
        </w:tc>
        <w:tc>
          <w:tcPr>
            <w:tcW w:w="1518" w:type="dxa"/>
            <w:vAlign w:val="center"/>
          </w:tcPr>
          <w:p w14:paraId="00DA086B">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货物名称</w:t>
            </w:r>
          </w:p>
        </w:tc>
        <w:tc>
          <w:tcPr>
            <w:tcW w:w="848" w:type="dxa"/>
            <w:vAlign w:val="center"/>
          </w:tcPr>
          <w:p w14:paraId="0C58AFF7">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数量</w:t>
            </w:r>
          </w:p>
        </w:tc>
        <w:tc>
          <w:tcPr>
            <w:tcW w:w="2270" w:type="dxa"/>
            <w:vAlign w:val="center"/>
          </w:tcPr>
          <w:p w14:paraId="6B20164B">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投标总价</w:t>
            </w:r>
            <w:r>
              <w:rPr>
                <w:rFonts w:hint="eastAsia" w:ascii="等线" w:hAnsi="等线" w:eastAsia="等线" w:cs="Times New Roman"/>
                <w:b/>
                <w:szCs w:val="20"/>
                <w:highlight w:val="none"/>
              </w:rPr>
              <w:t>（元）</w:t>
            </w:r>
          </w:p>
        </w:tc>
        <w:tc>
          <w:tcPr>
            <w:tcW w:w="1100" w:type="dxa"/>
            <w:vAlign w:val="center"/>
          </w:tcPr>
          <w:p w14:paraId="0B8C14F5">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质保期</w:t>
            </w:r>
          </w:p>
        </w:tc>
        <w:tc>
          <w:tcPr>
            <w:tcW w:w="1243" w:type="dxa"/>
            <w:vAlign w:val="center"/>
          </w:tcPr>
          <w:p w14:paraId="14F5AFBC">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交货及安装</w:t>
            </w:r>
          </w:p>
          <w:p w14:paraId="2233E6F0">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时间</w:t>
            </w:r>
          </w:p>
        </w:tc>
        <w:tc>
          <w:tcPr>
            <w:tcW w:w="705" w:type="dxa"/>
            <w:vAlign w:val="center"/>
          </w:tcPr>
          <w:p w14:paraId="00603B3B">
            <w:pPr>
              <w:jc w:val="center"/>
              <w:rPr>
                <w:rFonts w:ascii="Times New Roman" w:hAnsi="Times New Roman" w:eastAsia="宋体" w:cs="Times New Roman"/>
                <w:b/>
                <w:szCs w:val="20"/>
                <w:highlight w:val="none"/>
              </w:rPr>
            </w:pPr>
            <w:r>
              <w:rPr>
                <w:rFonts w:hint="eastAsia" w:ascii="等线" w:hAnsi="等线" w:eastAsia="等线" w:cs="Times New Roman"/>
                <w:b/>
                <w:szCs w:val="20"/>
                <w:highlight w:val="none"/>
              </w:rPr>
              <w:t>付款方式及比例如何响应</w:t>
            </w:r>
          </w:p>
        </w:tc>
        <w:tc>
          <w:tcPr>
            <w:tcW w:w="699" w:type="dxa"/>
            <w:vAlign w:val="center"/>
          </w:tcPr>
          <w:p w14:paraId="21AD348B">
            <w:pPr>
              <w:jc w:val="center"/>
              <w:rPr>
                <w:rFonts w:ascii="等线" w:hAnsi="等线" w:eastAsia="等线" w:cs="Times New Roman"/>
                <w:b/>
                <w:szCs w:val="20"/>
                <w:highlight w:val="none"/>
              </w:rPr>
            </w:pPr>
            <w:r>
              <w:rPr>
                <w:rFonts w:hint="eastAsia" w:ascii="等线" w:hAnsi="等线" w:eastAsia="等线" w:cs="Times New Roman"/>
                <w:b/>
                <w:szCs w:val="20"/>
                <w:highlight w:val="none"/>
              </w:rPr>
              <w:t>付款方式及比例是否偏离</w:t>
            </w:r>
          </w:p>
        </w:tc>
      </w:tr>
      <w:tr w14:paraId="0F0B9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1F3F8838">
            <w:pPr>
              <w:jc w:val="center"/>
              <w:rPr>
                <w:rFonts w:ascii="Times New Roman" w:hAnsi="Times New Roman" w:eastAsia="宋体" w:cs="Times New Roman"/>
                <w:b/>
                <w:szCs w:val="20"/>
                <w:highlight w:val="none"/>
              </w:rPr>
            </w:pPr>
            <w:r>
              <w:rPr>
                <w:rFonts w:ascii="Times New Roman" w:hAnsi="Times New Roman" w:eastAsia="宋体" w:cs="Times New Roman"/>
                <w:b/>
                <w:szCs w:val="20"/>
                <w:highlight w:val="none"/>
              </w:rPr>
              <w:t>1</w:t>
            </w:r>
          </w:p>
        </w:tc>
        <w:tc>
          <w:tcPr>
            <w:tcW w:w="1518" w:type="dxa"/>
            <w:vAlign w:val="center"/>
          </w:tcPr>
          <w:p w14:paraId="608F8474">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lang w:val="en-US" w:eastAsia="zh-CN"/>
              </w:rPr>
              <w:t xml:space="preserve"> XX  </w:t>
            </w:r>
            <w:r>
              <w:rPr>
                <w:rFonts w:hint="eastAsia" w:ascii="Times New Roman" w:hAnsi="Times New Roman" w:eastAsia="宋体" w:cs="Times New Roman"/>
                <w:b/>
                <w:szCs w:val="20"/>
                <w:highlight w:val="none"/>
              </w:rPr>
              <w:t>项目</w:t>
            </w:r>
          </w:p>
        </w:tc>
        <w:tc>
          <w:tcPr>
            <w:tcW w:w="848" w:type="dxa"/>
            <w:vAlign w:val="center"/>
          </w:tcPr>
          <w:p w14:paraId="708BF84C">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u w:val="single"/>
                <w:lang w:val="en-US" w:eastAsia="zh-CN"/>
              </w:rPr>
              <w:t xml:space="preserve">  </w:t>
            </w:r>
            <w:r>
              <w:rPr>
                <w:rFonts w:hint="eastAsia" w:ascii="Times New Roman" w:hAnsi="Times New Roman" w:eastAsia="宋体" w:cs="Times New Roman"/>
                <w:b/>
                <w:szCs w:val="20"/>
                <w:highlight w:val="none"/>
              </w:rPr>
              <w:t>套</w:t>
            </w:r>
          </w:p>
        </w:tc>
        <w:tc>
          <w:tcPr>
            <w:tcW w:w="2270" w:type="dxa"/>
            <w:vAlign w:val="center"/>
          </w:tcPr>
          <w:p w14:paraId="5F622009">
            <w:pPr>
              <w:jc w:val="center"/>
              <w:rPr>
                <w:rFonts w:ascii="等线" w:hAnsi="等线" w:eastAsia="等线" w:cs="Times New Roman"/>
                <w:b/>
                <w:szCs w:val="20"/>
                <w:highlight w:val="none"/>
              </w:rPr>
            </w:pPr>
            <w:r>
              <w:rPr>
                <w:rFonts w:hint="eastAsia" w:ascii="等线" w:hAnsi="等线" w:eastAsia="等线" w:cs="Times New Roman"/>
                <w:b/>
                <w:szCs w:val="20"/>
                <w:highlight w:val="none"/>
              </w:rPr>
              <w:t>不含税价：</w:t>
            </w:r>
          </w:p>
          <w:p w14:paraId="4C077CF2">
            <w:pPr>
              <w:jc w:val="center"/>
              <w:rPr>
                <w:rFonts w:ascii="等线" w:hAnsi="等线" w:eastAsia="等线" w:cs="Times New Roman"/>
                <w:b/>
                <w:szCs w:val="20"/>
                <w:highlight w:val="none"/>
              </w:rPr>
            </w:pPr>
            <w:r>
              <w:rPr>
                <w:rFonts w:hint="eastAsia" w:ascii="等线" w:hAnsi="等线" w:eastAsia="等线" w:cs="Times New Roman"/>
                <w:b/>
                <w:szCs w:val="20"/>
                <w:highlight w:val="none"/>
              </w:rPr>
              <w:t>含税价格：</w:t>
            </w:r>
            <w:r>
              <w:rPr>
                <w:rFonts w:hint="eastAsia" w:ascii="等线" w:hAnsi="等线" w:eastAsia="等线" w:cs="Times New Roman"/>
                <w:b/>
                <w:szCs w:val="20"/>
                <w:highlight w:val="none"/>
                <w:u w:val="single"/>
              </w:rPr>
              <w:t xml:space="preserve">    （大写：    ）</w:t>
            </w:r>
          </w:p>
          <w:p w14:paraId="2A35DEAD">
            <w:pPr>
              <w:jc w:val="center"/>
              <w:rPr>
                <w:rFonts w:ascii="Times New Roman" w:hAnsi="Times New Roman" w:eastAsia="宋体" w:cs="Times New Roman"/>
                <w:b/>
                <w:szCs w:val="20"/>
                <w:highlight w:val="none"/>
              </w:rPr>
            </w:pPr>
            <w:r>
              <w:rPr>
                <w:rFonts w:hint="eastAsia" w:ascii="等线" w:hAnsi="等线" w:eastAsia="等线" w:cs="Times New Roman"/>
                <w:b/>
                <w:szCs w:val="20"/>
                <w:highlight w:val="none"/>
              </w:rPr>
              <w:t>税率：</w:t>
            </w:r>
          </w:p>
        </w:tc>
        <w:tc>
          <w:tcPr>
            <w:tcW w:w="1100" w:type="dxa"/>
            <w:vAlign w:val="center"/>
          </w:tcPr>
          <w:p w14:paraId="4BB3E9BD">
            <w:pPr>
              <w:jc w:val="center"/>
              <w:rPr>
                <w:rFonts w:ascii="Times New Roman" w:hAnsi="Times New Roman" w:eastAsia="宋体" w:cs="Times New Roman"/>
                <w:b/>
                <w:szCs w:val="20"/>
                <w:highlight w:val="none"/>
              </w:rPr>
            </w:pPr>
          </w:p>
        </w:tc>
        <w:tc>
          <w:tcPr>
            <w:tcW w:w="1243" w:type="dxa"/>
            <w:vAlign w:val="center"/>
          </w:tcPr>
          <w:p w14:paraId="3F330C2C">
            <w:pPr>
              <w:jc w:val="center"/>
              <w:rPr>
                <w:rFonts w:ascii="Times New Roman" w:hAnsi="Times New Roman" w:eastAsia="宋体" w:cs="Times New Roman"/>
                <w:b/>
                <w:szCs w:val="20"/>
                <w:highlight w:val="none"/>
              </w:rPr>
            </w:pPr>
          </w:p>
        </w:tc>
        <w:tc>
          <w:tcPr>
            <w:tcW w:w="705" w:type="dxa"/>
            <w:vAlign w:val="center"/>
          </w:tcPr>
          <w:p w14:paraId="541114D6">
            <w:pPr>
              <w:jc w:val="center"/>
              <w:rPr>
                <w:rFonts w:ascii="Times New Roman" w:hAnsi="Times New Roman" w:eastAsia="宋体" w:cs="Times New Roman"/>
                <w:b/>
                <w:szCs w:val="20"/>
                <w:highlight w:val="none"/>
              </w:rPr>
            </w:pPr>
          </w:p>
        </w:tc>
        <w:tc>
          <w:tcPr>
            <w:tcW w:w="699" w:type="dxa"/>
            <w:vAlign w:val="center"/>
          </w:tcPr>
          <w:p w14:paraId="279C29AD">
            <w:pPr>
              <w:jc w:val="center"/>
              <w:rPr>
                <w:rFonts w:ascii="Times New Roman" w:hAnsi="Times New Roman" w:eastAsia="宋体" w:cs="Times New Roman"/>
                <w:b/>
                <w:szCs w:val="20"/>
                <w:highlight w:val="none"/>
              </w:rPr>
            </w:pPr>
          </w:p>
        </w:tc>
      </w:tr>
    </w:tbl>
    <w:p w14:paraId="091C5FA7">
      <w:pPr>
        <w:rPr>
          <w:rFonts w:ascii="宋体" w:hAnsi="Arial" w:eastAsia="宋体" w:cs="Times New Roman"/>
          <w:sz w:val="24"/>
          <w:szCs w:val="24"/>
          <w:highlight w:val="none"/>
        </w:rPr>
      </w:pPr>
    </w:p>
    <w:p w14:paraId="0C712AB4">
      <w:pPr>
        <w:spacing w:line="400" w:lineRule="exact"/>
        <w:rPr>
          <w:rFonts w:ascii="宋体" w:hAnsi="Calibri" w:eastAsia="宋体" w:cs="Times New Roman"/>
          <w:szCs w:val="21"/>
          <w:highlight w:val="none"/>
        </w:rPr>
      </w:pPr>
      <w:r>
        <w:rPr>
          <w:rFonts w:hint="eastAsia" w:ascii="宋体" w:hAnsi="宋体" w:eastAsia="宋体" w:cs="Times New Roman"/>
          <w:b/>
          <w:bCs/>
          <w:szCs w:val="21"/>
          <w:highlight w:val="none"/>
        </w:rPr>
        <w:t>注：</w:t>
      </w:r>
    </w:p>
    <w:p w14:paraId="66AAFB07">
      <w:pPr>
        <w:spacing w:line="520" w:lineRule="exact"/>
        <w:rPr>
          <w:rFonts w:hint="eastAsia" w:ascii="宋体" w:hAnsi="宋体" w:eastAsia="宋体" w:cs="Times New Roman"/>
          <w:b/>
          <w:bCs/>
          <w:szCs w:val="21"/>
          <w:highlight w:val="none"/>
        </w:rPr>
      </w:pPr>
      <w:r>
        <w:rPr>
          <w:rFonts w:hint="eastAsia" w:ascii="宋体" w:hAnsi="宋体" w:eastAsia="宋体" w:cs="Times New Roman"/>
          <w:b/>
          <w:bCs/>
          <w:szCs w:val="21"/>
          <w:highlight w:val="none"/>
        </w:rPr>
        <w:t>1.此表中的报价必须与相应的报价明细表中的报价一致。</w:t>
      </w:r>
    </w:p>
    <w:p w14:paraId="5DEFE6F8">
      <w:pPr>
        <w:spacing w:line="520" w:lineRule="exact"/>
        <w:rPr>
          <w:rFonts w:hint="eastAsia" w:ascii="宋体" w:hAnsi="宋体" w:eastAsia="宋体" w:cs="Times New Roman"/>
          <w:b/>
          <w:bCs/>
          <w:szCs w:val="21"/>
          <w:highlight w:val="none"/>
        </w:rPr>
      </w:pPr>
      <w:r>
        <w:rPr>
          <w:rFonts w:hint="eastAsia" w:ascii="宋体" w:hAnsi="宋体" w:eastAsia="宋体" w:cs="Times New Roman"/>
          <w:b/>
          <w:bCs/>
          <w:szCs w:val="21"/>
          <w:highlight w:val="none"/>
        </w:rPr>
        <w:t>2.此表在投递标书时请单独密封两份，否则不予唱标。</w:t>
      </w:r>
    </w:p>
    <w:p w14:paraId="496027FF">
      <w:pPr>
        <w:spacing w:line="520" w:lineRule="exact"/>
        <w:rPr>
          <w:rFonts w:hint="eastAsia" w:ascii="宋体" w:hAnsi="宋体" w:eastAsia="宋体" w:cs="Times New Roman"/>
          <w:b/>
          <w:bCs/>
          <w:szCs w:val="21"/>
          <w:highlight w:val="none"/>
        </w:rPr>
      </w:pPr>
      <w:r>
        <w:rPr>
          <w:rFonts w:hint="eastAsia" w:ascii="宋体" w:hAnsi="宋体" w:eastAsia="宋体" w:cs="Times New Roman"/>
          <w:b/>
          <w:bCs/>
          <w:szCs w:val="21"/>
          <w:highlight w:val="none"/>
        </w:rPr>
        <w:t>3.需写明含税价、不含税价格、税率。</w:t>
      </w:r>
    </w:p>
    <w:p w14:paraId="194E934D">
      <w:pPr>
        <w:spacing w:line="520" w:lineRule="exact"/>
        <w:rPr>
          <w:rFonts w:hint="eastAsia" w:ascii="宋体" w:hAnsi="宋体" w:eastAsia="宋体" w:cs="Times New Roman"/>
          <w:b/>
          <w:bCs/>
          <w:szCs w:val="21"/>
          <w:highlight w:val="none"/>
          <w:lang w:val="en-US" w:eastAsia="zh-CN"/>
        </w:rPr>
      </w:pPr>
      <w:r>
        <w:rPr>
          <w:rFonts w:hint="eastAsia" w:ascii="宋体" w:hAnsi="宋体" w:eastAsia="宋体" w:cs="Times New Roman"/>
          <w:b/>
          <w:bCs/>
          <w:szCs w:val="21"/>
          <w:highlight w:val="none"/>
          <w:lang w:val="en-US" w:eastAsia="zh-CN"/>
        </w:rPr>
        <w:t>4.投标总价大写为必填项，如发生大小写不一致，以大写为准。</w:t>
      </w:r>
    </w:p>
    <w:p w14:paraId="35F8ECC6">
      <w:pPr>
        <w:spacing w:line="520" w:lineRule="exact"/>
        <w:rPr>
          <w:rFonts w:hint="eastAsia" w:ascii="宋体" w:hAnsi="宋体" w:eastAsia="宋体" w:cs="Times New Roman"/>
          <w:b/>
          <w:bCs/>
          <w:szCs w:val="21"/>
          <w:highlight w:val="none"/>
          <w:lang w:val="en-US" w:eastAsia="zh-CN"/>
        </w:rPr>
      </w:pPr>
      <w:r>
        <w:rPr>
          <w:rFonts w:hint="eastAsia" w:ascii="宋体" w:hAnsi="宋体" w:eastAsia="宋体" w:cs="Times New Roman"/>
          <w:b/>
          <w:bCs/>
          <w:szCs w:val="21"/>
          <w:highlight w:val="none"/>
          <w:lang w:val="en-US" w:eastAsia="zh-CN"/>
        </w:rPr>
        <w:t>5.投标总价包括全部（全新）产品价、表面处理费用、运杂费（包括现场卸车费）、设计、制造、安装、调试（含现场调试）、包装运输费、验收、技术及售后服务费、技术资料费、备品备件费等所有费用的总和。</w:t>
      </w:r>
    </w:p>
    <w:p w14:paraId="16734101">
      <w:pPr>
        <w:pStyle w:val="17"/>
        <w:rPr>
          <w:rFonts w:hAnsi="宋体" w:eastAsia="宋体" w:cs="Times New Roman"/>
          <w:b/>
          <w:bCs/>
          <w:szCs w:val="21"/>
          <w:highlight w:val="none"/>
        </w:rPr>
      </w:pPr>
    </w:p>
    <w:p w14:paraId="410514FE">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1B28E305">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028FEB66">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2BC530B1">
      <w:pPr>
        <w:ind w:firstLine="480"/>
        <w:rPr>
          <w:rFonts w:ascii="宋体" w:hAnsi="Calibri" w:eastAsia="宋体" w:cs="Times New Roman"/>
          <w:color w:val="000000"/>
          <w:sz w:val="24"/>
          <w:szCs w:val="24"/>
          <w:highlight w:val="none"/>
        </w:rPr>
      </w:pPr>
    </w:p>
    <w:p w14:paraId="2EC7DA9E">
      <w:pPr>
        <w:pStyle w:val="17"/>
        <w:rPr>
          <w:highlight w:val="none"/>
        </w:rPr>
        <w:sectPr>
          <w:pgSz w:w="11906" w:h="16838"/>
          <w:pgMar w:top="1588" w:right="1418" w:bottom="1134" w:left="1418" w:header="851" w:footer="992" w:gutter="0"/>
          <w:pgNumType w:fmt="decimal"/>
          <w:cols w:space="720" w:num="1"/>
          <w:titlePg/>
          <w:docGrid w:type="lines" w:linePitch="312" w:charSpace="0"/>
        </w:sectPr>
      </w:pPr>
    </w:p>
    <w:p w14:paraId="3BF53EF3">
      <w:pPr>
        <w:rPr>
          <w:rFonts w:ascii="宋体" w:hAnsi="宋体" w:cs="宋体"/>
          <w:color w:val="000000"/>
          <w:sz w:val="24"/>
          <w:szCs w:val="24"/>
          <w:highlight w:val="none"/>
        </w:rPr>
      </w:pPr>
    </w:p>
    <w:p w14:paraId="3BEEDD9E">
      <w:pPr>
        <w:pStyle w:val="5"/>
        <w:spacing w:after="0" w:line="240" w:lineRule="auto"/>
        <w:jc w:val="left"/>
        <w:rPr>
          <w:rFonts w:ascii="宋体" w:hAnsi="宋体" w:cs="宋体"/>
          <w:spacing w:val="8"/>
          <w:sz w:val="24"/>
          <w:szCs w:val="24"/>
          <w:highlight w:val="none"/>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highlight w:val="none"/>
        </w:rPr>
        <w:t xml:space="preserve">附件9 </w:t>
      </w:r>
      <w:r>
        <w:rPr>
          <w:rFonts w:ascii="宋体" w:hAnsi="宋体" w:cs="宋体"/>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cs="宋体"/>
          <w:spacing w:val="8"/>
          <w:sz w:val="24"/>
          <w:szCs w:val="24"/>
          <w:highlight w:val="none"/>
          <w14:textOutline w14:w="5791" w14:cap="flat" w14:cmpd="sng" w14:algn="ctr">
            <w14:solidFill>
              <w14:srgbClr w14:val="000000"/>
            </w14:solidFill>
            <w14:prstDash w14:val="solid"/>
            <w14:miter w14:val="0"/>
          </w14:textOutline>
        </w:rPr>
        <w:t>备分项报价表</w:t>
      </w:r>
    </w:p>
    <w:p w14:paraId="2B5CF9F9">
      <w:pPr>
        <w:pStyle w:val="6"/>
        <w:spacing w:after="0"/>
        <w:rPr>
          <w:highlight w:val="none"/>
        </w:rPr>
      </w:pPr>
      <w:r>
        <w:rPr>
          <w:rFonts w:ascii="宋体" w:hAnsi="宋体" w:eastAsia="宋体" w:cs="宋体"/>
          <w:spacing w:val="-9"/>
          <w:sz w:val="24"/>
          <w:szCs w:val="24"/>
          <w:highlight w:val="none"/>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highlight w:val="none"/>
        </w:rPr>
        <w:t xml:space="preserve"> </w:t>
      </w:r>
      <w:r>
        <w:rPr>
          <w:rFonts w:hint="eastAsia" w:ascii="宋体" w:hAnsi="宋体" w:eastAsia="宋体" w:cs="宋体"/>
          <w:spacing w:val="-7"/>
          <w:sz w:val="24"/>
          <w:szCs w:val="24"/>
          <w:highlight w:val="none"/>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highlight w:val="none"/>
          <w14:textOutline w14:w="4356" w14:cap="flat" w14:cmpd="sng" w14:algn="ctr">
            <w14:solidFill>
              <w14:srgbClr w14:val="000000"/>
            </w14:solidFill>
            <w14:prstDash w14:val="solid"/>
            <w14:miter w14:val="0"/>
          </w14:textOutline>
        </w:rPr>
        <w:t>-1</w:t>
      </w:r>
    </w:p>
    <w:p w14:paraId="0638948C">
      <w:pPr>
        <w:keepNext/>
        <w:keepLines/>
        <w:spacing w:line="400" w:lineRule="exact"/>
        <w:jc w:val="center"/>
        <w:rPr>
          <w:rFonts w:ascii="宋体" w:hAnsi="宋体" w:eastAsia="宋体" w:cs="Times New Roman"/>
          <w:b/>
          <w:bCs/>
          <w:sz w:val="24"/>
          <w:szCs w:val="24"/>
          <w:highlight w:val="none"/>
        </w:rPr>
      </w:pPr>
      <w:r>
        <w:rPr>
          <w:rFonts w:ascii="宋体" w:hAnsi="宋体" w:eastAsia="宋体" w:cs="宋体"/>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备分项报价表</w:t>
      </w:r>
    </w:p>
    <w:p w14:paraId="359106E0">
      <w:pPr>
        <w:spacing w:before="52" w:line="221" w:lineRule="auto"/>
        <w:ind w:left="9"/>
        <w:jc w:val="right"/>
        <w:rPr>
          <w:rFonts w:ascii="宋体" w:hAnsi="宋体" w:eastAsia="宋体" w:cs="Times New Roman"/>
          <w:b/>
          <w:bCs/>
          <w:sz w:val="24"/>
          <w:szCs w:val="24"/>
          <w:highlight w:val="none"/>
        </w:rPr>
      </w:pPr>
      <w:r>
        <w:rPr>
          <w:rFonts w:ascii="宋体" w:hAnsi="宋体" w:eastAsia="宋体" w:cs="宋体"/>
          <w:spacing w:val="-1"/>
          <w:szCs w:val="21"/>
          <w:highlight w:val="none"/>
        </w:rPr>
        <w:t xml:space="preserve">                                                                </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r>
        <w:rPr>
          <w:rFonts w:hint="eastAsia" w:ascii="宋体" w:hAnsi="宋体" w:eastAsia="宋体" w:cs="宋体"/>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共</w:t>
      </w:r>
      <w:r>
        <w:rPr>
          <w:rFonts w:hint="eastAsia" w:ascii="宋体" w:hAnsi="宋体" w:eastAsia="宋体" w:cs="宋体"/>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tbl>
      <w:tblPr>
        <w:tblStyle w:val="133"/>
        <w:tblW w:w="1411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06"/>
        <w:gridCol w:w="910"/>
        <w:gridCol w:w="1405"/>
        <w:gridCol w:w="1722"/>
        <w:gridCol w:w="703"/>
        <w:gridCol w:w="550"/>
        <w:gridCol w:w="2550"/>
        <w:gridCol w:w="2510"/>
        <w:gridCol w:w="2196"/>
        <w:gridCol w:w="964"/>
      </w:tblGrid>
      <w:tr w14:paraId="44CBD7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606" w:type="dxa"/>
            <w:vAlign w:val="center"/>
          </w:tcPr>
          <w:p w14:paraId="1F0879E4">
            <w:pPr>
              <w:spacing w:line="186" w:lineRule="auto"/>
              <w:jc w:val="center"/>
              <w:rPr>
                <w:rFonts w:ascii="宋体" w:hAnsi="宋体" w:eastAsia="宋体" w:cs="宋体"/>
                <w:szCs w:val="21"/>
                <w:highlight w:val="none"/>
              </w:rPr>
            </w:pPr>
            <w:r>
              <w:rPr>
                <w:rFonts w:ascii="宋体" w:hAnsi="宋体" w:eastAsia="宋体" w:cs="宋体"/>
                <w:szCs w:val="21"/>
                <w:highlight w:val="none"/>
              </w:rPr>
              <w:t>1</w:t>
            </w:r>
          </w:p>
        </w:tc>
        <w:tc>
          <w:tcPr>
            <w:tcW w:w="2315" w:type="dxa"/>
            <w:gridSpan w:val="2"/>
            <w:vAlign w:val="center"/>
          </w:tcPr>
          <w:p w14:paraId="7DE4C96B">
            <w:pPr>
              <w:spacing w:line="185" w:lineRule="auto"/>
              <w:jc w:val="center"/>
              <w:rPr>
                <w:rFonts w:ascii="宋体" w:hAnsi="宋体" w:eastAsia="宋体" w:cs="宋体"/>
                <w:szCs w:val="21"/>
                <w:highlight w:val="none"/>
              </w:rPr>
            </w:pPr>
            <w:r>
              <w:rPr>
                <w:rFonts w:ascii="宋体" w:hAnsi="宋体" w:eastAsia="宋体" w:cs="宋体"/>
                <w:szCs w:val="21"/>
                <w:highlight w:val="none"/>
              </w:rPr>
              <w:t>2</w:t>
            </w:r>
          </w:p>
        </w:tc>
        <w:tc>
          <w:tcPr>
            <w:tcW w:w="1722" w:type="dxa"/>
            <w:vAlign w:val="center"/>
          </w:tcPr>
          <w:p w14:paraId="7D3B5A06">
            <w:pPr>
              <w:spacing w:line="183" w:lineRule="auto"/>
              <w:jc w:val="center"/>
              <w:rPr>
                <w:rFonts w:ascii="宋体" w:hAnsi="宋体" w:eastAsia="宋体" w:cs="宋体"/>
                <w:szCs w:val="21"/>
                <w:highlight w:val="none"/>
              </w:rPr>
            </w:pPr>
            <w:r>
              <w:rPr>
                <w:rFonts w:ascii="宋体" w:hAnsi="宋体" w:eastAsia="宋体" w:cs="宋体"/>
                <w:szCs w:val="21"/>
                <w:highlight w:val="none"/>
              </w:rPr>
              <w:t>3</w:t>
            </w:r>
          </w:p>
        </w:tc>
        <w:tc>
          <w:tcPr>
            <w:tcW w:w="703" w:type="dxa"/>
            <w:vAlign w:val="center"/>
          </w:tcPr>
          <w:p w14:paraId="1272C9BD">
            <w:pPr>
              <w:spacing w:line="185" w:lineRule="auto"/>
              <w:jc w:val="center"/>
              <w:rPr>
                <w:rFonts w:ascii="宋体" w:hAnsi="宋体" w:eastAsia="宋体" w:cs="宋体"/>
                <w:szCs w:val="21"/>
                <w:highlight w:val="none"/>
              </w:rPr>
            </w:pPr>
            <w:r>
              <w:rPr>
                <w:rFonts w:ascii="宋体" w:hAnsi="宋体" w:eastAsia="宋体" w:cs="宋体"/>
                <w:szCs w:val="21"/>
                <w:highlight w:val="none"/>
              </w:rPr>
              <w:t>4</w:t>
            </w:r>
          </w:p>
        </w:tc>
        <w:tc>
          <w:tcPr>
            <w:tcW w:w="550" w:type="dxa"/>
            <w:vAlign w:val="center"/>
          </w:tcPr>
          <w:p w14:paraId="6A24581D">
            <w:pPr>
              <w:spacing w:line="182" w:lineRule="auto"/>
              <w:jc w:val="center"/>
              <w:rPr>
                <w:rFonts w:ascii="宋体" w:hAnsi="宋体" w:eastAsia="宋体" w:cs="宋体"/>
                <w:szCs w:val="21"/>
                <w:highlight w:val="none"/>
              </w:rPr>
            </w:pPr>
            <w:r>
              <w:rPr>
                <w:rFonts w:hint="eastAsia" w:ascii="宋体" w:hAnsi="宋体" w:eastAsia="宋体" w:cs="宋体"/>
                <w:szCs w:val="21"/>
                <w:highlight w:val="none"/>
              </w:rPr>
              <w:t>5</w:t>
            </w:r>
          </w:p>
        </w:tc>
        <w:tc>
          <w:tcPr>
            <w:tcW w:w="2550" w:type="dxa"/>
            <w:vAlign w:val="center"/>
          </w:tcPr>
          <w:p w14:paraId="63B7FD0F">
            <w:pPr>
              <w:spacing w:line="183" w:lineRule="auto"/>
              <w:jc w:val="center"/>
              <w:rPr>
                <w:rFonts w:ascii="宋体" w:hAnsi="宋体" w:eastAsia="宋体" w:cs="宋体"/>
                <w:szCs w:val="21"/>
                <w:highlight w:val="none"/>
              </w:rPr>
            </w:pPr>
            <w:r>
              <w:rPr>
                <w:rFonts w:ascii="宋体" w:hAnsi="宋体" w:eastAsia="宋体" w:cs="宋体"/>
                <w:szCs w:val="21"/>
                <w:highlight w:val="none"/>
              </w:rPr>
              <w:t>6</w:t>
            </w:r>
          </w:p>
        </w:tc>
        <w:tc>
          <w:tcPr>
            <w:tcW w:w="2510" w:type="dxa"/>
            <w:tcBorders>
              <w:right w:val="single" w:color="000000" w:sz="4" w:space="0"/>
            </w:tcBorders>
            <w:vAlign w:val="center"/>
          </w:tcPr>
          <w:p w14:paraId="1773C3FD">
            <w:pPr>
              <w:spacing w:line="182" w:lineRule="auto"/>
              <w:jc w:val="center"/>
              <w:rPr>
                <w:rFonts w:ascii="宋体" w:hAnsi="宋体" w:eastAsia="宋体" w:cs="宋体"/>
                <w:szCs w:val="21"/>
                <w:highlight w:val="none"/>
              </w:rPr>
            </w:pPr>
            <w:r>
              <w:rPr>
                <w:rFonts w:ascii="宋体" w:hAnsi="宋体" w:eastAsia="宋体" w:cs="宋体"/>
                <w:szCs w:val="21"/>
                <w:highlight w:val="none"/>
              </w:rPr>
              <w:t>7</w:t>
            </w:r>
          </w:p>
        </w:tc>
        <w:tc>
          <w:tcPr>
            <w:tcW w:w="2196" w:type="dxa"/>
            <w:tcBorders>
              <w:left w:val="single" w:color="000000" w:sz="4" w:space="0"/>
            </w:tcBorders>
            <w:vAlign w:val="center"/>
          </w:tcPr>
          <w:p w14:paraId="125871E1">
            <w:pPr>
              <w:spacing w:line="183" w:lineRule="auto"/>
              <w:ind w:firstLine="420" w:firstLineChars="200"/>
              <w:jc w:val="center"/>
              <w:rPr>
                <w:rFonts w:ascii="宋体" w:hAnsi="宋体" w:eastAsia="宋体" w:cs="宋体"/>
                <w:szCs w:val="21"/>
                <w:highlight w:val="none"/>
              </w:rPr>
            </w:pPr>
            <w:r>
              <w:rPr>
                <w:rFonts w:ascii="宋体" w:hAnsi="宋体" w:eastAsia="宋体" w:cs="宋体"/>
                <w:szCs w:val="21"/>
                <w:highlight w:val="none"/>
              </w:rPr>
              <w:t>8</w:t>
            </w:r>
          </w:p>
        </w:tc>
        <w:tc>
          <w:tcPr>
            <w:tcW w:w="964" w:type="dxa"/>
            <w:vAlign w:val="center"/>
          </w:tcPr>
          <w:p w14:paraId="42B62737">
            <w:pPr>
              <w:spacing w:line="183" w:lineRule="auto"/>
              <w:ind w:firstLine="420" w:firstLineChars="200"/>
              <w:jc w:val="center"/>
              <w:rPr>
                <w:rFonts w:ascii="宋体" w:hAnsi="宋体" w:eastAsia="宋体" w:cs="宋体"/>
                <w:szCs w:val="21"/>
                <w:highlight w:val="none"/>
              </w:rPr>
            </w:pPr>
            <w:r>
              <w:rPr>
                <w:rFonts w:hint="eastAsia" w:ascii="宋体" w:hAnsi="宋体" w:eastAsia="宋体" w:cs="宋体"/>
                <w:szCs w:val="21"/>
                <w:highlight w:val="none"/>
              </w:rPr>
              <w:t>9</w:t>
            </w:r>
          </w:p>
        </w:tc>
      </w:tr>
      <w:tr w14:paraId="1B7BC4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606" w:type="dxa"/>
            <w:vAlign w:val="center"/>
          </w:tcPr>
          <w:p w14:paraId="5C0E7E9C">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序号</w:t>
            </w:r>
          </w:p>
        </w:tc>
        <w:tc>
          <w:tcPr>
            <w:tcW w:w="2315" w:type="dxa"/>
            <w:gridSpan w:val="2"/>
            <w:vAlign w:val="center"/>
          </w:tcPr>
          <w:p w14:paraId="0BC2F5AA">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货物名称</w:t>
            </w:r>
          </w:p>
        </w:tc>
        <w:tc>
          <w:tcPr>
            <w:tcW w:w="1722" w:type="dxa"/>
            <w:vAlign w:val="center"/>
          </w:tcPr>
          <w:p w14:paraId="1C9FD112">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型号和规格</w:t>
            </w:r>
          </w:p>
        </w:tc>
        <w:tc>
          <w:tcPr>
            <w:tcW w:w="703" w:type="dxa"/>
            <w:vAlign w:val="center"/>
          </w:tcPr>
          <w:p w14:paraId="4E6717EE">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数量</w:t>
            </w:r>
          </w:p>
        </w:tc>
        <w:tc>
          <w:tcPr>
            <w:tcW w:w="550" w:type="dxa"/>
            <w:vAlign w:val="center"/>
          </w:tcPr>
          <w:p w14:paraId="0E9859CE">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单位</w:t>
            </w:r>
          </w:p>
        </w:tc>
        <w:tc>
          <w:tcPr>
            <w:tcW w:w="2550" w:type="dxa"/>
            <w:vAlign w:val="center"/>
          </w:tcPr>
          <w:p w14:paraId="7B44378C">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原产地和制造商名称</w:t>
            </w:r>
          </w:p>
        </w:tc>
        <w:tc>
          <w:tcPr>
            <w:tcW w:w="2510" w:type="dxa"/>
            <w:tcBorders>
              <w:right w:val="single" w:color="000000" w:sz="4" w:space="0"/>
            </w:tcBorders>
            <w:vAlign w:val="center"/>
          </w:tcPr>
          <w:p w14:paraId="42FE66AF">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单价（不含税）</w:t>
            </w:r>
          </w:p>
          <w:p w14:paraId="174C59CF">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(元)</w:t>
            </w:r>
          </w:p>
        </w:tc>
        <w:tc>
          <w:tcPr>
            <w:tcW w:w="2196" w:type="dxa"/>
            <w:tcBorders>
              <w:left w:val="single" w:color="000000" w:sz="4" w:space="0"/>
            </w:tcBorders>
            <w:vAlign w:val="center"/>
          </w:tcPr>
          <w:p w14:paraId="0A9E4F98">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总价[4×7]（不含税）</w:t>
            </w:r>
          </w:p>
          <w:p w14:paraId="22D21C8A">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(元)</w:t>
            </w:r>
          </w:p>
        </w:tc>
        <w:tc>
          <w:tcPr>
            <w:tcW w:w="964" w:type="dxa"/>
            <w:vAlign w:val="center"/>
          </w:tcPr>
          <w:p w14:paraId="4E09A600">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备  注</w:t>
            </w:r>
          </w:p>
        </w:tc>
      </w:tr>
      <w:tr w14:paraId="752DD1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577A3CD6">
            <w:pPr>
              <w:pStyle w:val="131"/>
              <w:adjustRightInd w:val="0"/>
              <w:snapToGrid w:val="0"/>
              <w:ind w:firstLine="0" w:firstLineChars="0"/>
              <w:jc w:val="center"/>
              <w:rPr>
                <w:rFonts w:ascii="宋体" w:hAnsi="宋体" w:eastAsia="宋体" w:cs="宋体"/>
                <w:szCs w:val="21"/>
                <w:highlight w:val="none"/>
              </w:rPr>
            </w:pPr>
            <w:r>
              <w:rPr>
                <w:rFonts w:hint="eastAsia" w:ascii="宋体" w:hAnsi="宋体" w:eastAsia="宋体" w:cs="宋体"/>
                <w:color w:val="000000"/>
                <w:szCs w:val="21"/>
                <w:highlight w:val="none"/>
              </w:rPr>
              <w:t>1</w:t>
            </w:r>
          </w:p>
        </w:tc>
        <w:tc>
          <w:tcPr>
            <w:tcW w:w="2315" w:type="dxa"/>
            <w:gridSpan w:val="2"/>
            <w:shd w:val="clear" w:color="auto" w:fill="auto"/>
            <w:vAlign w:val="center"/>
          </w:tcPr>
          <w:p w14:paraId="38C0E352">
            <w:pPr>
              <w:jc w:val="center"/>
              <w:rPr>
                <w:rFonts w:ascii="宋体" w:hAnsi="宋体" w:eastAsia="宋体" w:cs="宋体"/>
                <w:szCs w:val="21"/>
                <w:highlight w:val="none"/>
              </w:rPr>
            </w:pPr>
          </w:p>
        </w:tc>
        <w:tc>
          <w:tcPr>
            <w:tcW w:w="1722" w:type="dxa"/>
          </w:tcPr>
          <w:p w14:paraId="1107336D">
            <w:pPr>
              <w:jc w:val="center"/>
              <w:rPr>
                <w:rFonts w:ascii="宋体" w:hAnsi="宋体" w:eastAsia="宋体" w:cs="宋体"/>
                <w:szCs w:val="21"/>
                <w:highlight w:val="none"/>
              </w:rPr>
            </w:pPr>
            <w:r>
              <w:rPr>
                <w:rFonts w:hint="eastAsia" w:ascii="宋体" w:hAnsi="宋体" w:eastAsia="宋体" w:cs="宋体"/>
                <w:szCs w:val="21"/>
                <w:highlight w:val="none"/>
              </w:rPr>
              <w:t xml:space="preserve"> </w:t>
            </w:r>
          </w:p>
        </w:tc>
        <w:tc>
          <w:tcPr>
            <w:tcW w:w="703" w:type="dxa"/>
            <w:shd w:val="clear" w:color="auto" w:fill="auto"/>
            <w:vAlign w:val="center"/>
          </w:tcPr>
          <w:p w14:paraId="67EF5919">
            <w:pPr>
              <w:jc w:val="center"/>
              <w:rPr>
                <w:rFonts w:hint="default" w:ascii="Times New Roman" w:hAnsi="Times New Roman" w:eastAsia="宋体" w:cs="Times New Roman"/>
                <w:sz w:val="18"/>
                <w:szCs w:val="18"/>
                <w:highlight w:val="none"/>
                <w:lang w:val="en-US" w:eastAsia="zh-CN"/>
              </w:rPr>
            </w:pPr>
          </w:p>
        </w:tc>
        <w:tc>
          <w:tcPr>
            <w:tcW w:w="550" w:type="dxa"/>
            <w:shd w:val="clear" w:color="auto" w:fill="auto"/>
            <w:vAlign w:val="center"/>
          </w:tcPr>
          <w:p w14:paraId="65F76787">
            <w:pPr>
              <w:jc w:val="center"/>
              <w:rPr>
                <w:rFonts w:ascii="Times New Roman" w:hAnsi="Times New Roman" w:eastAsia="宋体" w:cs="Times New Roman"/>
                <w:sz w:val="18"/>
                <w:szCs w:val="18"/>
                <w:highlight w:val="none"/>
              </w:rPr>
            </w:pPr>
          </w:p>
        </w:tc>
        <w:tc>
          <w:tcPr>
            <w:tcW w:w="2550" w:type="dxa"/>
          </w:tcPr>
          <w:p w14:paraId="033CD941">
            <w:pPr>
              <w:rPr>
                <w:rFonts w:ascii="宋体" w:hAnsi="宋体" w:eastAsia="宋体" w:cs="宋体"/>
                <w:szCs w:val="21"/>
                <w:highlight w:val="none"/>
              </w:rPr>
            </w:pPr>
          </w:p>
        </w:tc>
        <w:tc>
          <w:tcPr>
            <w:tcW w:w="2510" w:type="dxa"/>
            <w:tcBorders>
              <w:right w:val="single" w:color="000000" w:sz="4" w:space="0"/>
            </w:tcBorders>
          </w:tcPr>
          <w:p w14:paraId="52782D20">
            <w:pPr>
              <w:ind w:left="105" w:leftChars="50"/>
              <w:jc w:val="left"/>
              <w:rPr>
                <w:rFonts w:ascii="宋体" w:hAnsi="宋体" w:eastAsia="宋体" w:cs="宋体"/>
                <w:szCs w:val="21"/>
                <w:highlight w:val="none"/>
              </w:rPr>
            </w:pPr>
          </w:p>
        </w:tc>
        <w:tc>
          <w:tcPr>
            <w:tcW w:w="2196" w:type="dxa"/>
            <w:tcBorders>
              <w:left w:val="single" w:color="000000" w:sz="4" w:space="0"/>
            </w:tcBorders>
          </w:tcPr>
          <w:p w14:paraId="0D4C8921">
            <w:pPr>
              <w:ind w:left="105" w:leftChars="50"/>
              <w:jc w:val="left"/>
              <w:rPr>
                <w:rFonts w:ascii="宋体" w:hAnsi="宋体" w:eastAsia="宋体" w:cs="宋体"/>
                <w:szCs w:val="21"/>
                <w:highlight w:val="none"/>
              </w:rPr>
            </w:pPr>
          </w:p>
        </w:tc>
        <w:tc>
          <w:tcPr>
            <w:tcW w:w="964" w:type="dxa"/>
          </w:tcPr>
          <w:p w14:paraId="4F3DAD9B">
            <w:pPr>
              <w:rPr>
                <w:rFonts w:ascii="宋体" w:hAnsi="宋体" w:eastAsia="宋体" w:cs="宋体"/>
                <w:szCs w:val="21"/>
                <w:highlight w:val="none"/>
              </w:rPr>
            </w:pPr>
          </w:p>
        </w:tc>
      </w:tr>
      <w:tr w14:paraId="64765C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47BE1DC3">
            <w:pPr>
              <w:pStyle w:val="131"/>
              <w:adjustRightInd w:val="0"/>
              <w:snapToGrid w:val="0"/>
              <w:ind w:firstLine="0" w:firstLineChars="0"/>
              <w:jc w:val="center"/>
              <w:rPr>
                <w:rFonts w:ascii="宋体" w:hAnsi="宋体" w:eastAsia="宋体" w:cs="宋体"/>
                <w:szCs w:val="21"/>
                <w:highlight w:val="none"/>
              </w:rPr>
            </w:pPr>
            <w:r>
              <w:rPr>
                <w:rFonts w:hint="eastAsia" w:ascii="宋体" w:hAnsi="宋体" w:eastAsia="宋体" w:cs="宋体"/>
                <w:szCs w:val="21"/>
                <w:highlight w:val="none"/>
              </w:rPr>
              <w:t>2</w:t>
            </w:r>
          </w:p>
        </w:tc>
        <w:tc>
          <w:tcPr>
            <w:tcW w:w="2315" w:type="dxa"/>
            <w:gridSpan w:val="2"/>
            <w:shd w:val="clear" w:color="auto" w:fill="auto"/>
            <w:vAlign w:val="center"/>
          </w:tcPr>
          <w:p w14:paraId="77E97A99">
            <w:pPr>
              <w:jc w:val="center"/>
              <w:rPr>
                <w:rFonts w:ascii="宋体" w:hAnsi="宋体" w:eastAsia="宋体" w:cs="宋体"/>
                <w:szCs w:val="21"/>
                <w:highlight w:val="none"/>
              </w:rPr>
            </w:pPr>
          </w:p>
        </w:tc>
        <w:tc>
          <w:tcPr>
            <w:tcW w:w="1722" w:type="dxa"/>
          </w:tcPr>
          <w:p w14:paraId="17AD5290">
            <w:pPr>
              <w:jc w:val="center"/>
              <w:rPr>
                <w:rFonts w:ascii="宋体" w:hAnsi="宋体" w:eastAsia="宋体" w:cs="宋体"/>
                <w:szCs w:val="21"/>
                <w:highlight w:val="none"/>
              </w:rPr>
            </w:pPr>
            <w:r>
              <w:rPr>
                <w:rFonts w:hint="eastAsia" w:ascii="宋体" w:hAnsi="宋体" w:eastAsia="宋体" w:cs="宋体"/>
                <w:szCs w:val="21"/>
                <w:highlight w:val="none"/>
              </w:rPr>
              <w:t xml:space="preserve"> </w:t>
            </w:r>
          </w:p>
        </w:tc>
        <w:tc>
          <w:tcPr>
            <w:tcW w:w="703" w:type="dxa"/>
            <w:shd w:val="clear" w:color="auto" w:fill="auto"/>
            <w:vAlign w:val="center"/>
          </w:tcPr>
          <w:p w14:paraId="3B71F2CF">
            <w:pPr>
              <w:jc w:val="center"/>
              <w:rPr>
                <w:rFonts w:hint="eastAsia" w:ascii="Times New Roman" w:hAnsi="Times New Roman" w:eastAsia="宋体" w:cs="Times New Roman"/>
                <w:sz w:val="18"/>
                <w:szCs w:val="18"/>
                <w:highlight w:val="none"/>
                <w:lang w:val="en-US" w:eastAsia="zh-CN"/>
              </w:rPr>
            </w:pPr>
          </w:p>
        </w:tc>
        <w:tc>
          <w:tcPr>
            <w:tcW w:w="550" w:type="dxa"/>
            <w:shd w:val="clear" w:color="auto" w:fill="auto"/>
            <w:vAlign w:val="center"/>
          </w:tcPr>
          <w:p w14:paraId="3B0A3097">
            <w:pPr>
              <w:jc w:val="center"/>
              <w:rPr>
                <w:rFonts w:ascii="Times New Roman" w:hAnsi="Times New Roman" w:eastAsia="宋体" w:cs="Times New Roman"/>
                <w:sz w:val="18"/>
                <w:szCs w:val="18"/>
                <w:highlight w:val="none"/>
              </w:rPr>
            </w:pPr>
          </w:p>
        </w:tc>
        <w:tc>
          <w:tcPr>
            <w:tcW w:w="2550" w:type="dxa"/>
          </w:tcPr>
          <w:p w14:paraId="7D3B781F">
            <w:pPr>
              <w:rPr>
                <w:rFonts w:ascii="宋体" w:hAnsi="宋体" w:eastAsia="宋体" w:cs="宋体"/>
                <w:szCs w:val="21"/>
                <w:highlight w:val="none"/>
              </w:rPr>
            </w:pPr>
          </w:p>
        </w:tc>
        <w:tc>
          <w:tcPr>
            <w:tcW w:w="2510" w:type="dxa"/>
            <w:tcBorders>
              <w:right w:val="single" w:color="000000" w:sz="4" w:space="0"/>
            </w:tcBorders>
          </w:tcPr>
          <w:p w14:paraId="5CA975F7">
            <w:pPr>
              <w:ind w:left="105" w:leftChars="50"/>
              <w:jc w:val="left"/>
              <w:rPr>
                <w:rFonts w:ascii="宋体" w:hAnsi="宋体" w:eastAsia="宋体" w:cs="宋体"/>
                <w:szCs w:val="21"/>
                <w:highlight w:val="none"/>
              </w:rPr>
            </w:pPr>
          </w:p>
        </w:tc>
        <w:tc>
          <w:tcPr>
            <w:tcW w:w="2196" w:type="dxa"/>
            <w:tcBorders>
              <w:left w:val="single" w:color="000000" w:sz="4" w:space="0"/>
            </w:tcBorders>
          </w:tcPr>
          <w:p w14:paraId="48F1AC41">
            <w:pPr>
              <w:ind w:left="105" w:leftChars="50"/>
              <w:jc w:val="left"/>
              <w:rPr>
                <w:rFonts w:ascii="宋体" w:hAnsi="宋体" w:eastAsia="宋体" w:cs="宋体"/>
                <w:szCs w:val="21"/>
                <w:highlight w:val="none"/>
              </w:rPr>
            </w:pPr>
          </w:p>
        </w:tc>
        <w:tc>
          <w:tcPr>
            <w:tcW w:w="964" w:type="dxa"/>
          </w:tcPr>
          <w:p w14:paraId="55C8C4B9">
            <w:pPr>
              <w:rPr>
                <w:rFonts w:ascii="宋体" w:hAnsi="宋体" w:eastAsia="宋体" w:cs="宋体"/>
                <w:szCs w:val="21"/>
                <w:highlight w:val="none"/>
              </w:rPr>
            </w:pPr>
          </w:p>
        </w:tc>
      </w:tr>
      <w:tr w14:paraId="2F78DA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057884F0">
            <w:pPr>
              <w:pStyle w:val="131"/>
              <w:adjustRightInd w:val="0"/>
              <w:snapToGrid w:val="0"/>
              <w:ind w:firstLine="0" w:firstLineChars="0"/>
              <w:jc w:val="center"/>
              <w:rPr>
                <w:rFonts w:ascii="宋体" w:hAnsi="宋体" w:eastAsia="宋体" w:cs="宋体"/>
                <w:szCs w:val="21"/>
                <w:highlight w:val="none"/>
              </w:rPr>
            </w:pPr>
            <w:r>
              <w:rPr>
                <w:rFonts w:hint="eastAsia" w:ascii="宋体" w:hAnsi="宋体" w:eastAsia="宋体" w:cs="宋体"/>
                <w:szCs w:val="21"/>
                <w:highlight w:val="none"/>
              </w:rPr>
              <w:t>3</w:t>
            </w:r>
          </w:p>
        </w:tc>
        <w:tc>
          <w:tcPr>
            <w:tcW w:w="2315" w:type="dxa"/>
            <w:gridSpan w:val="2"/>
            <w:shd w:val="clear" w:color="auto" w:fill="auto"/>
            <w:vAlign w:val="center"/>
          </w:tcPr>
          <w:p w14:paraId="273949F1">
            <w:pPr>
              <w:jc w:val="center"/>
              <w:rPr>
                <w:rFonts w:ascii="宋体" w:hAnsi="宋体" w:eastAsia="宋体" w:cs="宋体"/>
                <w:szCs w:val="21"/>
                <w:highlight w:val="none"/>
              </w:rPr>
            </w:pPr>
          </w:p>
        </w:tc>
        <w:tc>
          <w:tcPr>
            <w:tcW w:w="1722" w:type="dxa"/>
          </w:tcPr>
          <w:p w14:paraId="226BCA50">
            <w:pPr>
              <w:jc w:val="center"/>
              <w:rPr>
                <w:rFonts w:ascii="宋体" w:hAnsi="宋体" w:eastAsia="宋体" w:cs="宋体"/>
                <w:szCs w:val="21"/>
                <w:highlight w:val="none"/>
              </w:rPr>
            </w:pPr>
            <w:r>
              <w:rPr>
                <w:rFonts w:hint="eastAsia" w:ascii="宋体" w:hAnsi="宋体" w:eastAsia="宋体" w:cs="宋体"/>
                <w:szCs w:val="21"/>
                <w:highlight w:val="none"/>
              </w:rPr>
              <w:t xml:space="preserve"> </w:t>
            </w:r>
          </w:p>
        </w:tc>
        <w:tc>
          <w:tcPr>
            <w:tcW w:w="703" w:type="dxa"/>
            <w:shd w:val="clear" w:color="auto" w:fill="auto"/>
            <w:vAlign w:val="center"/>
          </w:tcPr>
          <w:p w14:paraId="5B1AC031">
            <w:pPr>
              <w:jc w:val="center"/>
              <w:rPr>
                <w:rFonts w:ascii="Times New Roman" w:hAnsi="Times New Roman" w:eastAsia="宋体" w:cs="Times New Roman"/>
                <w:sz w:val="18"/>
                <w:szCs w:val="18"/>
                <w:highlight w:val="none"/>
              </w:rPr>
            </w:pPr>
          </w:p>
        </w:tc>
        <w:tc>
          <w:tcPr>
            <w:tcW w:w="550" w:type="dxa"/>
            <w:shd w:val="clear" w:color="auto" w:fill="auto"/>
            <w:vAlign w:val="center"/>
          </w:tcPr>
          <w:p w14:paraId="6ED9B375">
            <w:pPr>
              <w:jc w:val="center"/>
              <w:rPr>
                <w:rFonts w:ascii="Times New Roman" w:hAnsi="Times New Roman" w:eastAsia="宋体" w:cs="Times New Roman"/>
                <w:sz w:val="18"/>
                <w:szCs w:val="18"/>
                <w:highlight w:val="none"/>
              </w:rPr>
            </w:pPr>
          </w:p>
        </w:tc>
        <w:tc>
          <w:tcPr>
            <w:tcW w:w="2550" w:type="dxa"/>
          </w:tcPr>
          <w:p w14:paraId="14CAF05A">
            <w:pPr>
              <w:rPr>
                <w:rFonts w:ascii="宋体" w:hAnsi="宋体" w:eastAsia="宋体" w:cs="宋体"/>
                <w:szCs w:val="21"/>
                <w:highlight w:val="none"/>
              </w:rPr>
            </w:pPr>
          </w:p>
        </w:tc>
        <w:tc>
          <w:tcPr>
            <w:tcW w:w="2510" w:type="dxa"/>
            <w:tcBorders>
              <w:right w:val="single" w:color="000000" w:sz="4" w:space="0"/>
            </w:tcBorders>
          </w:tcPr>
          <w:p w14:paraId="029FDA41">
            <w:pPr>
              <w:ind w:left="105" w:leftChars="50"/>
              <w:jc w:val="left"/>
              <w:rPr>
                <w:rFonts w:ascii="宋体" w:hAnsi="宋体" w:eastAsia="宋体" w:cs="宋体"/>
                <w:szCs w:val="21"/>
                <w:highlight w:val="none"/>
              </w:rPr>
            </w:pPr>
          </w:p>
        </w:tc>
        <w:tc>
          <w:tcPr>
            <w:tcW w:w="2196" w:type="dxa"/>
            <w:tcBorders>
              <w:left w:val="single" w:color="000000" w:sz="4" w:space="0"/>
            </w:tcBorders>
          </w:tcPr>
          <w:p w14:paraId="4066AF5E">
            <w:pPr>
              <w:ind w:left="105" w:leftChars="50"/>
              <w:jc w:val="left"/>
              <w:rPr>
                <w:rFonts w:ascii="宋体" w:hAnsi="宋体" w:eastAsia="宋体" w:cs="宋体"/>
                <w:szCs w:val="21"/>
                <w:highlight w:val="none"/>
              </w:rPr>
            </w:pPr>
          </w:p>
        </w:tc>
        <w:tc>
          <w:tcPr>
            <w:tcW w:w="964" w:type="dxa"/>
          </w:tcPr>
          <w:p w14:paraId="059B9B86">
            <w:pPr>
              <w:rPr>
                <w:rFonts w:ascii="宋体" w:hAnsi="宋体" w:eastAsia="宋体" w:cs="宋体"/>
                <w:szCs w:val="21"/>
                <w:highlight w:val="none"/>
              </w:rPr>
            </w:pPr>
          </w:p>
        </w:tc>
      </w:tr>
      <w:tr w14:paraId="1047F3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06" w:type="dxa"/>
            <w:vAlign w:val="center"/>
          </w:tcPr>
          <w:p w14:paraId="48A86425">
            <w:pPr>
              <w:pStyle w:val="131"/>
              <w:adjustRightInd w:val="0"/>
              <w:snapToGrid w:val="0"/>
              <w:ind w:firstLine="0" w:firstLineChars="0"/>
              <w:jc w:val="center"/>
              <w:rPr>
                <w:rFonts w:ascii="宋体" w:hAnsi="宋体" w:eastAsia="宋体" w:cs="宋体"/>
                <w:szCs w:val="21"/>
                <w:highlight w:val="none"/>
              </w:rPr>
            </w:pPr>
            <w:r>
              <w:rPr>
                <w:rFonts w:hint="eastAsia" w:ascii="宋体" w:hAnsi="宋体" w:eastAsia="宋体" w:cs="宋体"/>
                <w:szCs w:val="21"/>
                <w:highlight w:val="none"/>
              </w:rPr>
              <w:t>4</w:t>
            </w:r>
          </w:p>
        </w:tc>
        <w:tc>
          <w:tcPr>
            <w:tcW w:w="2315" w:type="dxa"/>
            <w:gridSpan w:val="2"/>
            <w:shd w:val="clear" w:color="auto" w:fill="auto"/>
            <w:vAlign w:val="center"/>
          </w:tcPr>
          <w:p w14:paraId="71C2B4F1">
            <w:pPr>
              <w:jc w:val="center"/>
              <w:rPr>
                <w:rFonts w:ascii="宋体" w:hAnsi="宋体" w:eastAsia="宋体" w:cs="宋体"/>
                <w:szCs w:val="21"/>
                <w:highlight w:val="none"/>
              </w:rPr>
            </w:pPr>
          </w:p>
        </w:tc>
        <w:tc>
          <w:tcPr>
            <w:tcW w:w="1722" w:type="dxa"/>
          </w:tcPr>
          <w:p w14:paraId="2311C033">
            <w:pPr>
              <w:jc w:val="center"/>
              <w:rPr>
                <w:rFonts w:ascii="宋体" w:hAnsi="宋体" w:eastAsia="宋体" w:cs="宋体"/>
                <w:szCs w:val="21"/>
                <w:highlight w:val="none"/>
              </w:rPr>
            </w:pPr>
            <w:r>
              <w:rPr>
                <w:rFonts w:hint="eastAsia" w:ascii="宋体" w:hAnsi="宋体" w:eastAsia="宋体" w:cs="宋体"/>
                <w:szCs w:val="21"/>
                <w:highlight w:val="none"/>
              </w:rPr>
              <w:t xml:space="preserve"> </w:t>
            </w:r>
          </w:p>
        </w:tc>
        <w:tc>
          <w:tcPr>
            <w:tcW w:w="703" w:type="dxa"/>
            <w:shd w:val="clear" w:color="auto" w:fill="auto"/>
            <w:vAlign w:val="center"/>
          </w:tcPr>
          <w:p w14:paraId="71F0313D">
            <w:pPr>
              <w:jc w:val="center"/>
              <w:rPr>
                <w:rFonts w:ascii="Times New Roman" w:hAnsi="Times New Roman" w:eastAsia="宋体" w:cs="Times New Roman"/>
                <w:sz w:val="18"/>
                <w:szCs w:val="18"/>
                <w:highlight w:val="none"/>
              </w:rPr>
            </w:pPr>
          </w:p>
        </w:tc>
        <w:tc>
          <w:tcPr>
            <w:tcW w:w="550" w:type="dxa"/>
            <w:shd w:val="clear" w:color="auto" w:fill="auto"/>
            <w:vAlign w:val="center"/>
          </w:tcPr>
          <w:p w14:paraId="6754B8C8">
            <w:pPr>
              <w:jc w:val="center"/>
              <w:rPr>
                <w:rFonts w:ascii="Times New Roman" w:hAnsi="Times New Roman" w:eastAsia="宋体" w:cs="Times New Roman"/>
                <w:sz w:val="18"/>
                <w:szCs w:val="18"/>
                <w:highlight w:val="none"/>
              </w:rPr>
            </w:pPr>
          </w:p>
        </w:tc>
        <w:tc>
          <w:tcPr>
            <w:tcW w:w="2550" w:type="dxa"/>
          </w:tcPr>
          <w:p w14:paraId="013632EE">
            <w:pPr>
              <w:rPr>
                <w:rFonts w:ascii="宋体" w:hAnsi="宋体" w:eastAsia="宋体" w:cs="宋体"/>
                <w:szCs w:val="21"/>
                <w:highlight w:val="none"/>
              </w:rPr>
            </w:pPr>
          </w:p>
        </w:tc>
        <w:tc>
          <w:tcPr>
            <w:tcW w:w="2510" w:type="dxa"/>
            <w:tcBorders>
              <w:right w:val="single" w:color="000000" w:sz="4" w:space="0"/>
            </w:tcBorders>
          </w:tcPr>
          <w:p w14:paraId="4F6EC452">
            <w:pPr>
              <w:ind w:left="105" w:leftChars="50"/>
              <w:jc w:val="left"/>
              <w:rPr>
                <w:rFonts w:ascii="宋体" w:hAnsi="宋体" w:eastAsia="宋体" w:cs="宋体"/>
                <w:szCs w:val="21"/>
                <w:highlight w:val="none"/>
              </w:rPr>
            </w:pPr>
          </w:p>
        </w:tc>
        <w:tc>
          <w:tcPr>
            <w:tcW w:w="2196" w:type="dxa"/>
            <w:tcBorders>
              <w:left w:val="single" w:color="000000" w:sz="4" w:space="0"/>
            </w:tcBorders>
          </w:tcPr>
          <w:p w14:paraId="2B8A539C">
            <w:pPr>
              <w:ind w:left="105" w:leftChars="50"/>
              <w:jc w:val="left"/>
              <w:rPr>
                <w:rFonts w:ascii="宋体" w:hAnsi="宋体" w:eastAsia="宋体" w:cs="宋体"/>
                <w:szCs w:val="21"/>
                <w:highlight w:val="none"/>
              </w:rPr>
            </w:pPr>
          </w:p>
        </w:tc>
        <w:tc>
          <w:tcPr>
            <w:tcW w:w="964" w:type="dxa"/>
          </w:tcPr>
          <w:p w14:paraId="7435921F">
            <w:pPr>
              <w:rPr>
                <w:rFonts w:ascii="宋体" w:hAnsi="宋体" w:eastAsia="宋体" w:cs="宋体"/>
                <w:szCs w:val="21"/>
                <w:highlight w:val="none"/>
              </w:rPr>
            </w:pPr>
          </w:p>
        </w:tc>
      </w:tr>
      <w:tr w14:paraId="205D6F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0971CA48">
            <w:pPr>
              <w:pStyle w:val="131"/>
              <w:adjustRightInd w:val="0"/>
              <w:snapToGrid w:val="0"/>
              <w:ind w:firstLine="0" w:firstLineChars="0"/>
              <w:jc w:val="center"/>
              <w:rPr>
                <w:rFonts w:ascii="宋体" w:hAnsi="宋体" w:eastAsia="宋体" w:cs="宋体"/>
                <w:szCs w:val="21"/>
                <w:highlight w:val="none"/>
              </w:rPr>
            </w:pPr>
            <w:r>
              <w:rPr>
                <w:rFonts w:hint="eastAsia" w:ascii="宋体" w:hAnsi="宋体" w:eastAsia="宋体" w:cs="宋体"/>
                <w:szCs w:val="21"/>
                <w:highlight w:val="none"/>
              </w:rPr>
              <w:t>5</w:t>
            </w:r>
          </w:p>
        </w:tc>
        <w:tc>
          <w:tcPr>
            <w:tcW w:w="2315" w:type="dxa"/>
            <w:gridSpan w:val="2"/>
            <w:shd w:val="clear" w:color="auto" w:fill="auto"/>
            <w:vAlign w:val="center"/>
          </w:tcPr>
          <w:p w14:paraId="1ABBB0F4">
            <w:pPr>
              <w:jc w:val="center"/>
              <w:rPr>
                <w:rFonts w:ascii="宋体" w:hAnsi="宋体" w:eastAsia="宋体" w:cs="宋体"/>
                <w:szCs w:val="21"/>
                <w:highlight w:val="none"/>
              </w:rPr>
            </w:pPr>
          </w:p>
        </w:tc>
        <w:tc>
          <w:tcPr>
            <w:tcW w:w="1722" w:type="dxa"/>
          </w:tcPr>
          <w:p w14:paraId="20CF52FD">
            <w:pPr>
              <w:jc w:val="center"/>
              <w:rPr>
                <w:rFonts w:ascii="宋体" w:hAnsi="宋体" w:eastAsia="宋体" w:cs="宋体"/>
                <w:szCs w:val="21"/>
                <w:highlight w:val="none"/>
              </w:rPr>
            </w:pPr>
            <w:r>
              <w:rPr>
                <w:rFonts w:hint="eastAsia" w:ascii="宋体" w:hAnsi="宋体" w:eastAsia="宋体" w:cs="宋体"/>
                <w:szCs w:val="21"/>
                <w:highlight w:val="none"/>
              </w:rPr>
              <w:t xml:space="preserve"> </w:t>
            </w:r>
          </w:p>
        </w:tc>
        <w:tc>
          <w:tcPr>
            <w:tcW w:w="703" w:type="dxa"/>
            <w:shd w:val="clear" w:color="auto" w:fill="auto"/>
            <w:vAlign w:val="center"/>
          </w:tcPr>
          <w:p w14:paraId="2ABF6BB4">
            <w:pPr>
              <w:jc w:val="center"/>
              <w:rPr>
                <w:rFonts w:ascii="Times New Roman" w:hAnsi="Times New Roman" w:eastAsia="宋体" w:cs="Times New Roman"/>
                <w:sz w:val="18"/>
                <w:szCs w:val="18"/>
                <w:highlight w:val="none"/>
              </w:rPr>
            </w:pPr>
          </w:p>
        </w:tc>
        <w:tc>
          <w:tcPr>
            <w:tcW w:w="550" w:type="dxa"/>
            <w:shd w:val="clear" w:color="auto" w:fill="auto"/>
            <w:vAlign w:val="center"/>
          </w:tcPr>
          <w:p w14:paraId="1F5F41DC">
            <w:pPr>
              <w:jc w:val="center"/>
              <w:rPr>
                <w:rFonts w:ascii="Times New Roman" w:hAnsi="Times New Roman" w:eastAsia="宋体" w:cs="Times New Roman"/>
                <w:sz w:val="18"/>
                <w:szCs w:val="18"/>
                <w:highlight w:val="none"/>
              </w:rPr>
            </w:pPr>
          </w:p>
        </w:tc>
        <w:tc>
          <w:tcPr>
            <w:tcW w:w="2550" w:type="dxa"/>
          </w:tcPr>
          <w:p w14:paraId="7A74A778">
            <w:pPr>
              <w:rPr>
                <w:rFonts w:ascii="宋体" w:hAnsi="宋体" w:eastAsia="宋体" w:cs="宋体"/>
                <w:szCs w:val="21"/>
                <w:highlight w:val="none"/>
              </w:rPr>
            </w:pPr>
          </w:p>
        </w:tc>
        <w:tc>
          <w:tcPr>
            <w:tcW w:w="2510" w:type="dxa"/>
            <w:tcBorders>
              <w:right w:val="single" w:color="000000" w:sz="4" w:space="0"/>
            </w:tcBorders>
          </w:tcPr>
          <w:p w14:paraId="21D52CA7">
            <w:pPr>
              <w:ind w:left="105" w:leftChars="50"/>
              <w:jc w:val="left"/>
              <w:rPr>
                <w:rFonts w:ascii="宋体" w:hAnsi="宋体" w:eastAsia="宋体" w:cs="宋体"/>
                <w:szCs w:val="21"/>
                <w:highlight w:val="none"/>
              </w:rPr>
            </w:pPr>
          </w:p>
        </w:tc>
        <w:tc>
          <w:tcPr>
            <w:tcW w:w="2196" w:type="dxa"/>
            <w:tcBorders>
              <w:left w:val="single" w:color="000000" w:sz="4" w:space="0"/>
            </w:tcBorders>
          </w:tcPr>
          <w:p w14:paraId="5E0C0828">
            <w:pPr>
              <w:ind w:left="105" w:leftChars="50"/>
              <w:jc w:val="left"/>
              <w:rPr>
                <w:rFonts w:ascii="宋体" w:hAnsi="宋体" w:eastAsia="宋体" w:cs="宋体"/>
                <w:szCs w:val="21"/>
                <w:highlight w:val="none"/>
              </w:rPr>
            </w:pPr>
          </w:p>
        </w:tc>
        <w:tc>
          <w:tcPr>
            <w:tcW w:w="964" w:type="dxa"/>
          </w:tcPr>
          <w:p w14:paraId="29DA2037">
            <w:pPr>
              <w:rPr>
                <w:rFonts w:ascii="宋体" w:hAnsi="宋体" w:eastAsia="宋体" w:cs="宋体"/>
                <w:szCs w:val="21"/>
                <w:highlight w:val="none"/>
              </w:rPr>
            </w:pPr>
          </w:p>
        </w:tc>
      </w:tr>
      <w:tr w14:paraId="175015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1" w:hRule="atLeast"/>
        </w:trPr>
        <w:tc>
          <w:tcPr>
            <w:tcW w:w="606" w:type="dxa"/>
            <w:vAlign w:val="center"/>
          </w:tcPr>
          <w:p w14:paraId="37D23FFE">
            <w:pPr>
              <w:jc w:val="center"/>
              <w:rPr>
                <w:rFonts w:ascii="宋体" w:hAnsi="宋体" w:eastAsia="宋体" w:cs="宋体"/>
                <w:szCs w:val="21"/>
                <w:highlight w:val="none"/>
              </w:rPr>
            </w:pPr>
            <w:r>
              <w:rPr>
                <w:rFonts w:ascii="宋体" w:hAnsi="宋体" w:eastAsia="宋体" w:cs="宋体"/>
                <w:position w:val="1"/>
                <w:szCs w:val="21"/>
                <w:highlight w:val="none"/>
              </w:rPr>
              <w:t>…</w:t>
            </w:r>
          </w:p>
        </w:tc>
        <w:tc>
          <w:tcPr>
            <w:tcW w:w="2315" w:type="dxa"/>
            <w:gridSpan w:val="2"/>
            <w:shd w:val="clear" w:color="auto" w:fill="auto"/>
          </w:tcPr>
          <w:p w14:paraId="156DF61F">
            <w:pPr>
              <w:rPr>
                <w:rFonts w:ascii="宋体" w:hAnsi="宋体" w:eastAsia="宋体" w:cs="宋体"/>
                <w:szCs w:val="21"/>
                <w:highlight w:val="none"/>
              </w:rPr>
            </w:pPr>
            <w:r>
              <w:rPr>
                <w:rFonts w:hint="eastAsia" w:ascii="宋体" w:hAnsi="宋体" w:eastAsia="宋体" w:cs="Times New Roman"/>
                <w:sz w:val="18"/>
                <w:szCs w:val="18"/>
                <w:highlight w:val="none"/>
              </w:rPr>
              <w:t>以上投标设备不足之处请往下添加序号自行补充</w:t>
            </w:r>
          </w:p>
        </w:tc>
        <w:tc>
          <w:tcPr>
            <w:tcW w:w="1722" w:type="dxa"/>
          </w:tcPr>
          <w:p w14:paraId="20BC25D9">
            <w:pPr>
              <w:rPr>
                <w:rFonts w:ascii="Arial"/>
                <w:highlight w:val="none"/>
              </w:rPr>
            </w:pPr>
            <w:r>
              <w:rPr>
                <w:rFonts w:hint="eastAsia" w:ascii="宋体" w:hAnsi="宋体" w:eastAsia="宋体" w:cs="宋体"/>
                <w:szCs w:val="21"/>
                <w:highlight w:val="none"/>
              </w:rPr>
              <w:t xml:space="preserve"> </w:t>
            </w:r>
          </w:p>
        </w:tc>
        <w:tc>
          <w:tcPr>
            <w:tcW w:w="703" w:type="dxa"/>
          </w:tcPr>
          <w:p w14:paraId="175EA562">
            <w:pPr>
              <w:rPr>
                <w:rFonts w:ascii="Arial"/>
                <w:highlight w:val="none"/>
              </w:rPr>
            </w:pPr>
            <w:r>
              <w:rPr>
                <w:rFonts w:hint="eastAsia" w:ascii="宋体" w:hAnsi="宋体" w:eastAsia="宋体" w:cs="宋体"/>
                <w:szCs w:val="21"/>
                <w:highlight w:val="none"/>
              </w:rPr>
              <w:t xml:space="preserve"> </w:t>
            </w:r>
          </w:p>
        </w:tc>
        <w:tc>
          <w:tcPr>
            <w:tcW w:w="550" w:type="dxa"/>
          </w:tcPr>
          <w:p w14:paraId="398283C2">
            <w:pPr>
              <w:rPr>
                <w:rFonts w:ascii="Arial"/>
                <w:highlight w:val="none"/>
              </w:rPr>
            </w:pPr>
            <w:r>
              <w:rPr>
                <w:rFonts w:hint="eastAsia" w:ascii="宋体" w:hAnsi="宋体" w:eastAsia="宋体" w:cs="宋体"/>
                <w:szCs w:val="21"/>
                <w:highlight w:val="none"/>
              </w:rPr>
              <w:t xml:space="preserve"> </w:t>
            </w:r>
          </w:p>
        </w:tc>
        <w:tc>
          <w:tcPr>
            <w:tcW w:w="2550" w:type="dxa"/>
          </w:tcPr>
          <w:p w14:paraId="29956EAF">
            <w:pPr>
              <w:rPr>
                <w:rFonts w:ascii="Arial"/>
                <w:highlight w:val="none"/>
              </w:rPr>
            </w:pPr>
          </w:p>
        </w:tc>
        <w:tc>
          <w:tcPr>
            <w:tcW w:w="2510" w:type="dxa"/>
            <w:tcBorders>
              <w:right w:val="single" w:color="000000" w:sz="4" w:space="0"/>
            </w:tcBorders>
          </w:tcPr>
          <w:p w14:paraId="284661C4">
            <w:pPr>
              <w:rPr>
                <w:rFonts w:ascii="Arial"/>
                <w:highlight w:val="none"/>
              </w:rPr>
            </w:pPr>
          </w:p>
        </w:tc>
        <w:tc>
          <w:tcPr>
            <w:tcW w:w="2196" w:type="dxa"/>
            <w:tcBorders>
              <w:left w:val="single" w:color="000000" w:sz="4" w:space="0"/>
            </w:tcBorders>
          </w:tcPr>
          <w:p w14:paraId="2AB96B1F">
            <w:pPr>
              <w:rPr>
                <w:rFonts w:ascii="Arial"/>
                <w:highlight w:val="none"/>
              </w:rPr>
            </w:pPr>
          </w:p>
        </w:tc>
        <w:tc>
          <w:tcPr>
            <w:tcW w:w="964" w:type="dxa"/>
          </w:tcPr>
          <w:p w14:paraId="3969CFF1">
            <w:pPr>
              <w:rPr>
                <w:rFonts w:ascii="Arial"/>
                <w:highlight w:val="none"/>
              </w:rPr>
            </w:pPr>
          </w:p>
        </w:tc>
      </w:tr>
      <w:tr w14:paraId="343014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4" w:hRule="atLeast"/>
        </w:trPr>
        <w:tc>
          <w:tcPr>
            <w:tcW w:w="1516" w:type="dxa"/>
            <w:gridSpan w:val="2"/>
            <w:tcBorders>
              <w:right w:val="single" w:color="000000" w:sz="4" w:space="0"/>
            </w:tcBorders>
          </w:tcPr>
          <w:p w14:paraId="29205703">
            <w:pPr>
              <w:jc w:val="center"/>
              <w:rPr>
                <w:rFonts w:ascii="宋体" w:hAnsi="宋体" w:eastAsia="宋体" w:cs="宋体"/>
                <w:spacing w:val="-6"/>
                <w:szCs w:val="21"/>
                <w:highlight w:val="none"/>
              </w:rPr>
            </w:pPr>
          </w:p>
        </w:tc>
        <w:tc>
          <w:tcPr>
            <w:tcW w:w="9440" w:type="dxa"/>
            <w:gridSpan w:val="6"/>
            <w:tcBorders>
              <w:right w:val="single" w:color="000000" w:sz="4" w:space="0"/>
            </w:tcBorders>
          </w:tcPr>
          <w:p w14:paraId="6174D2CE">
            <w:pPr>
              <w:jc w:val="center"/>
              <w:rPr>
                <w:rFonts w:ascii="Arial"/>
                <w:highlight w:val="none"/>
              </w:rPr>
            </w:pPr>
            <w:r>
              <w:rPr>
                <w:rFonts w:ascii="宋体" w:hAnsi="宋体" w:eastAsia="宋体" w:cs="宋体"/>
                <w:spacing w:val="-6"/>
                <w:szCs w:val="21"/>
                <w:highlight w:val="none"/>
              </w:rPr>
              <w:t>总</w:t>
            </w:r>
            <w:r>
              <w:rPr>
                <w:rFonts w:ascii="宋体" w:hAnsi="宋体" w:eastAsia="宋体" w:cs="宋体"/>
                <w:spacing w:val="-4"/>
                <w:szCs w:val="21"/>
                <w:highlight w:val="none"/>
              </w:rPr>
              <w:t xml:space="preserve">价合计列入价格汇总表 </w:t>
            </w:r>
            <w:r>
              <w:rPr>
                <w:rFonts w:hint="eastAsia" w:ascii="宋体" w:hAnsi="宋体" w:eastAsia="宋体" w:cs="宋体"/>
                <w:spacing w:val="-4"/>
                <w:szCs w:val="21"/>
                <w:highlight w:val="none"/>
              </w:rPr>
              <w:t>9</w:t>
            </w:r>
            <w:r>
              <w:rPr>
                <w:rFonts w:ascii="宋体" w:hAnsi="宋体" w:eastAsia="宋体" w:cs="宋体"/>
                <w:spacing w:val="-4"/>
                <w:szCs w:val="21"/>
                <w:highlight w:val="none"/>
              </w:rPr>
              <w:t>-</w:t>
            </w:r>
            <w:r>
              <w:rPr>
                <w:rFonts w:hint="eastAsia" w:ascii="宋体" w:hAnsi="宋体" w:eastAsia="宋体" w:cs="宋体"/>
                <w:spacing w:val="-4"/>
                <w:szCs w:val="21"/>
                <w:highlight w:val="none"/>
              </w:rPr>
              <w:t>5</w:t>
            </w:r>
          </w:p>
        </w:tc>
        <w:tc>
          <w:tcPr>
            <w:tcW w:w="2196" w:type="dxa"/>
            <w:tcBorders>
              <w:left w:val="single" w:color="000000" w:sz="4" w:space="0"/>
            </w:tcBorders>
          </w:tcPr>
          <w:p w14:paraId="4C8C833D">
            <w:pPr>
              <w:rPr>
                <w:rFonts w:ascii="Arial"/>
                <w:highlight w:val="none"/>
              </w:rPr>
            </w:pPr>
          </w:p>
        </w:tc>
        <w:tc>
          <w:tcPr>
            <w:tcW w:w="964" w:type="dxa"/>
          </w:tcPr>
          <w:p w14:paraId="6E2B8EAF">
            <w:pPr>
              <w:rPr>
                <w:rFonts w:ascii="Arial"/>
                <w:highlight w:val="none"/>
              </w:rPr>
            </w:pPr>
          </w:p>
        </w:tc>
      </w:tr>
    </w:tbl>
    <w:p w14:paraId="62989CC0">
      <w:pPr>
        <w:spacing w:before="58" w:line="219" w:lineRule="auto"/>
        <w:ind w:left="8"/>
        <w:rPr>
          <w:rFonts w:ascii="宋体" w:hAnsi="宋体" w:eastAsia="宋体" w:cs="宋体"/>
          <w:spacing w:val="-8"/>
          <w:szCs w:val="21"/>
          <w:highlight w:val="none"/>
        </w:rPr>
      </w:pPr>
    </w:p>
    <w:p w14:paraId="2B934F63">
      <w:pPr>
        <w:spacing w:before="58" w:line="219" w:lineRule="auto"/>
        <w:ind w:left="8"/>
        <w:rPr>
          <w:rFonts w:ascii="宋体" w:hAnsi="宋体" w:eastAsia="宋体" w:cs="宋体"/>
          <w:spacing w:val="-4"/>
          <w:szCs w:val="21"/>
          <w:highlight w:val="none"/>
        </w:rPr>
      </w:pPr>
      <w:r>
        <w:rPr>
          <w:rFonts w:ascii="宋体" w:hAnsi="宋体" w:eastAsia="宋体" w:cs="宋体"/>
          <w:spacing w:val="-8"/>
          <w:szCs w:val="21"/>
          <w:highlight w:val="none"/>
        </w:rPr>
        <w:t>注：</w:t>
      </w:r>
      <w:r>
        <w:rPr>
          <w:rFonts w:hint="eastAsia" w:ascii="宋体" w:hAnsi="宋体" w:eastAsia="宋体" w:cs="宋体"/>
          <w:spacing w:val="-8"/>
          <w:szCs w:val="21"/>
          <w:highlight w:val="none"/>
        </w:rPr>
        <w:t xml:space="preserve"> </w:t>
      </w:r>
      <w:r>
        <w:rPr>
          <w:rFonts w:ascii="宋体" w:hAnsi="宋体" w:eastAsia="宋体" w:cs="宋体"/>
          <w:spacing w:val="-8"/>
          <w:szCs w:val="21"/>
          <w:highlight w:val="none"/>
        </w:rPr>
        <w:t>1.以上</w:t>
      </w:r>
      <w:r>
        <w:rPr>
          <w:rFonts w:ascii="宋体" w:hAnsi="宋体" w:eastAsia="宋体" w:cs="宋体"/>
          <w:spacing w:val="-5"/>
          <w:szCs w:val="21"/>
          <w:highlight w:val="none"/>
        </w:rPr>
        <w:t>是</w:t>
      </w:r>
      <w:r>
        <w:rPr>
          <w:rFonts w:ascii="宋体" w:hAnsi="宋体" w:eastAsia="宋体" w:cs="宋体"/>
          <w:spacing w:val="-4"/>
          <w:szCs w:val="21"/>
          <w:highlight w:val="none"/>
        </w:rPr>
        <w:t>各单体设备分项报价应包括的内容， 但不限于此，表中“总价合计”构成主机价格的一部分。</w:t>
      </w:r>
    </w:p>
    <w:p w14:paraId="313C6143">
      <w:pPr>
        <w:spacing w:line="219" w:lineRule="auto"/>
        <w:ind w:left="431"/>
        <w:rPr>
          <w:rFonts w:ascii="宋体" w:hAnsi="宋体" w:eastAsia="宋体" w:cs="宋体"/>
          <w:szCs w:val="21"/>
          <w:highlight w:val="none"/>
        </w:rPr>
      </w:pPr>
      <w:r>
        <w:rPr>
          <w:rFonts w:ascii="宋体" w:hAnsi="宋体" w:eastAsia="宋体" w:cs="宋体"/>
          <w:spacing w:val="-6"/>
          <w:szCs w:val="21"/>
          <w:highlight w:val="none"/>
        </w:rPr>
        <w:t>2.如果按单</w:t>
      </w:r>
      <w:r>
        <w:rPr>
          <w:rFonts w:ascii="宋体" w:hAnsi="宋体" w:eastAsia="宋体" w:cs="宋体"/>
          <w:spacing w:val="-5"/>
          <w:szCs w:val="21"/>
          <w:highlight w:val="none"/>
        </w:rPr>
        <w:t>价</w:t>
      </w:r>
      <w:r>
        <w:rPr>
          <w:rFonts w:ascii="宋体" w:hAnsi="宋体" w:eastAsia="宋体" w:cs="宋体"/>
          <w:spacing w:val="-3"/>
          <w:szCs w:val="21"/>
          <w:highlight w:val="none"/>
        </w:rPr>
        <w:t>计算的结果与总价不一致，以单价为准修正总价。</w:t>
      </w:r>
    </w:p>
    <w:p w14:paraId="7FE65612">
      <w:pPr>
        <w:spacing w:before="85" w:line="198" w:lineRule="auto"/>
        <w:ind w:left="432"/>
        <w:rPr>
          <w:highlight w:val="none"/>
        </w:rPr>
      </w:pPr>
      <w:r>
        <w:rPr>
          <w:rFonts w:ascii="宋体" w:hAnsi="宋体" w:eastAsia="宋体" w:cs="宋体"/>
          <w:spacing w:val="-4"/>
          <w:szCs w:val="21"/>
          <w:highlight w:val="none"/>
        </w:rPr>
        <w:t>3.此分项报价，仅是为</w:t>
      </w:r>
      <w:r>
        <w:rPr>
          <w:rFonts w:ascii="宋体" w:hAnsi="宋体" w:eastAsia="宋体" w:cs="宋体"/>
          <w:spacing w:val="-2"/>
          <w:szCs w:val="21"/>
          <w:highlight w:val="none"/>
        </w:rPr>
        <w:t>了方便招标人对投标文件进行分析比较，不作为限制订立合同的条件</w:t>
      </w:r>
      <w:r>
        <w:rPr>
          <w:rFonts w:ascii="宋体" w:hAnsi="宋体" w:eastAsia="宋体" w:cs="宋体"/>
          <w:spacing w:val="-2"/>
          <w:sz w:val="24"/>
          <w:szCs w:val="24"/>
          <w:highlight w:val="none"/>
        </w:rPr>
        <w:t>。</w:t>
      </w:r>
    </w:p>
    <w:p w14:paraId="5CEC94D2">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rPr>
        <w:t>4.如上表中的有关费用投标人免费提供，请注明“免费”字样。</w:t>
      </w:r>
    </w:p>
    <w:p w14:paraId="330845E4">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rPr>
        <w:t>5.该明细表所有信息均为必填项，不得删减，价格部分不得合并，可细化可增加。</w:t>
      </w:r>
    </w:p>
    <w:p w14:paraId="49158E0A">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rPr>
        <w:t>6.因填写不规范造成废标及终止招标的，责任由投标人自负。</w:t>
      </w:r>
    </w:p>
    <w:p w14:paraId="46F0AF2E">
      <w:pPr>
        <w:spacing w:before="78" w:line="219" w:lineRule="auto"/>
        <w:ind w:left="431"/>
        <w:rPr>
          <w:rFonts w:ascii="宋体" w:hAnsi="宋体" w:eastAsia="宋体" w:cs="宋体"/>
          <w:spacing w:val="-6"/>
          <w:szCs w:val="21"/>
          <w:highlight w:val="none"/>
        </w:rPr>
      </w:pPr>
    </w:p>
    <w:p w14:paraId="1DD2F077">
      <w:pPr>
        <w:spacing w:before="78" w:line="219" w:lineRule="auto"/>
        <w:ind w:left="431"/>
        <w:rPr>
          <w:rFonts w:ascii="宋体" w:hAnsi="宋体" w:eastAsia="宋体" w:cs="宋体"/>
          <w:spacing w:val="-6"/>
          <w:szCs w:val="21"/>
          <w:highlight w:val="none"/>
        </w:rPr>
      </w:pPr>
    </w:p>
    <w:p w14:paraId="39C96950">
      <w:pPr>
        <w:spacing w:before="78" w:line="219" w:lineRule="auto"/>
        <w:ind w:left="431"/>
        <w:rPr>
          <w:rFonts w:ascii="宋体" w:hAnsi="宋体" w:eastAsia="宋体" w:cs="宋体"/>
          <w:spacing w:val="-6"/>
          <w:szCs w:val="21"/>
          <w:highlight w:val="none"/>
        </w:rPr>
      </w:pPr>
    </w:p>
    <w:p w14:paraId="34ECFF60">
      <w:pPr>
        <w:spacing w:before="78" w:line="219" w:lineRule="auto"/>
        <w:ind w:left="431"/>
        <w:rPr>
          <w:rFonts w:ascii="宋体" w:hAnsi="宋体" w:eastAsia="宋体" w:cs="宋体"/>
          <w:spacing w:val="-6"/>
          <w:szCs w:val="21"/>
          <w:highlight w:val="none"/>
        </w:rPr>
      </w:pPr>
    </w:p>
    <w:p w14:paraId="2E9C3DB7">
      <w:pPr>
        <w:spacing w:before="85" w:line="198" w:lineRule="auto"/>
        <w:ind w:firstLine="696" w:firstLineChars="300"/>
        <w:rPr>
          <w:rFonts w:ascii="宋体" w:hAnsi="宋体" w:eastAsia="宋体" w:cs="宋体"/>
          <w:sz w:val="24"/>
          <w:szCs w:val="24"/>
          <w:highlight w:val="none"/>
        </w:rPr>
      </w:pPr>
      <w:r>
        <w:rPr>
          <w:rFonts w:hint="eastAsia" w:ascii="宋体" w:hAnsi="宋体" w:eastAsia="宋体" w:cs="宋体"/>
          <w:spacing w:val="-4"/>
          <w:sz w:val="24"/>
          <w:szCs w:val="24"/>
          <w:highlight w:val="none"/>
        </w:rPr>
        <w:t xml:space="preserve">投标人(章)：                                 </w:t>
      </w:r>
      <w:r>
        <w:rPr>
          <w:rFonts w:hint="eastAsia" w:ascii="宋体" w:hAnsi="宋体" w:eastAsia="宋体" w:cs="宋体"/>
          <w:spacing w:val="-2"/>
          <w:sz w:val="24"/>
          <w:szCs w:val="24"/>
          <w:highlight w:val="none"/>
        </w:rPr>
        <w:t>授权代表(签字)：</w:t>
      </w:r>
      <w:r>
        <w:rPr>
          <w:rFonts w:hint="eastAsia" w:ascii="宋体" w:hAnsi="宋体" w:eastAsia="宋体" w:cs="宋体"/>
          <w:spacing w:val="4"/>
          <w:sz w:val="24"/>
          <w:szCs w:val="24"/>
          <w:highlight w:val="none"/>
        </w:rPr>
        <w:t xml:space="preserve"> </w:t>
      </w:r>
      <w:r>
        <w:rPr>
          <w:rFonts w:hint="eastAsia" w:ascii="宋体" w:hAnsi="宋体" w:eastAsia="宋体" w:cs="宋体"/>
          <w:spacing w:val="3"/>
          <w:sz w:val="24"/>
          <w:szCs w:val="24"/>
          <w:highlight w:val="none"/>
        </w:rPr>
        <w:t xml:space="preserve">                         </w:t>
      </w:r>
      <w:r>
        <w:rPr>
          <w:rFonts w:hint="eastAsia" w:ascii="宋体" w:hAnsi="宋体" w:eastAsia="宋体" w:cs="宋体"/>
          <w:spacing w:val="-2"/>
          <w:sz w:val="24"/>
          <w:szCs w:val="24"/>
          <w:highlight w:val="none"/>
        </w:rPr>
        <w:t xml:space="preserve">年    月  </w:t>
      </w:r>
    </w:p>
    <w:p w14:paraId="25FCAF4F">
      <w:pPr>
        <w:rPr>
          <w:rFonts w:ascii="宋体" w:hAnsi="宋体" w:eastAsia="宋体" w:cs="宋体"/>
          <w:sz w:val="24"/>
          <w:szCs w:val="24"/>
          <w:highlight w:val="none"/>
        </w:rPr>
      </w:pPr>
    </w:p>
    <w:p w14:paraId="5FB08408">
      <w:pPr>
        <w:pStyle w:val="6"/>
        <w:jc w:val="left"/>
        <w:rPr>
          <w:rFonts w:ascii="宋体" w:hAnsi="宋体" w:eastAsia="宋体" w:cs="宋体"/>
          <w:spacing w:val="-10"/>
          <w:sz w:val="24"/>
          <w:szCs w:val="24"/>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highlight w:val="none"/>
          <w14:textOutline w14:w="3835" w14:cap="flat" w14:cmpd="sng" w14:algn="ctr">
            <w14:solidFill>
              <w14:srgbClr w14:val="000000"/>
            </w14:solidFill>
            <w14:prstDash w14:val="solid"/>
            <w14:miter w14:val="0"/>
          </w14:textOutline>
        </w:rPr>
        <w:t>表 9-2</w:t>
      </w:r>
    </w:p>
    <w:p w14:paraId="635EEA44">
      <w:pPr>
        <w:spacing w:before="186" w:line="224" w:lineRule="auto"/>
        <w:ind w:left="5342"/>
        <w:rPr>
          <w:rFonts w:ascii="宋体" w:hAnsi="宋体" w:eastAsia="宋体" w:cs="宋体"/>
          <w:sz w:val="24"/>
          <w:szCs w:val="24"/>
          <w:highlight w:val="none"/>
        </w:rPr>
      </w:pPr>
      <w:r>
        <w:rPr>
          <w:rFonts w:ascii="宋体" w:hAnsi="宋体" w:eastAsia="宋体" w:cs="宋体"/>
          <w:spacing w:val="16"/>
          <w:sz w:val="24"/>
          <w:szCs w:val="24"/>
          <w:highlight w:val="none"/>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highlight w:val="none"/>
          <w14:textOutline w14:w="5791" w14:cap="flat" w14:cmpd="sng" w14:algn="ctr">
            <w14:solidFill>
              <w14:srgbClr w14:val="000000"/>
            </w14:solidFill>
            <w14:prstDash w14:val="solid"/>
            <w14:miter w14:val="0"/>
          </w14:textOutline>
        </w:rPr>
        <w:t>输及服务分项报价表</w:t>
      </w:r>
    </w:p>
    <w:p w14:paraId="4957C0D8">
      <w:pPr>
        <w:spacing w:before="132" w:line="221" w:lineRule="auto"/>
        <w:ind w:left="310"/>
        <w:jc w:val="right"/>
        <w:rPr>
          <w:rFonts w:ascii="宋体" w:hAnsi="宋体" w:eastAsia="宋体" w:cs="宋体"/>
          <w:szCs w:val="21"/>
          <w:highlight w:val="none"/>
        </w:rPr>
      </w:pPr>
      <w:r>
        <w:rPr>
          <w:rFonts w:ascii="宋体" w:hAnsi="宋体" w:eastAsia="宋体" w:cs="宋体"/>
          <w:spacing w:val="-1"/>
          <w:szCs w:val="21"/>
          <w:highlight w:val="none"/>
        </w:rPr>
        <w:t xml:space="preserve">                                             </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6DBE65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6D0FE676">
            <w:pPr>
              <w:spacing w:line="296" w:lineRule="auto"/>
              <w:rPr>
                <w:rFonts w:ascii="Arial"/>
                <w:highlight w:val="none"/>
              </w:rPr>
            </w:pPr>
          </w:p>
          <w:p w14:paraId="448A5D08">
            <w:pPr>
              <w:spacing w:before="68" w:line="222" w:lineRule="auto"/>
              <w:ind w:left="194"/>
              <w:rPr>
                <w:rFonts w:ascii="宋体" w:hAnsi="宋体" w:eastAsia="宋体" w:cs="宋体"/>
                <w:szCs w:val="21"/>
                <w:highlight w:val="none"/>
              </w:rPr>
            </w:pPr>
            <w:r>
              <w:rPr>
                <w:rFonts w:ascii="宋体" w:hAnsi="宋体" w:eastAsia="宋体" w:cs="宋体"/>
                <w:spacing w:val="-1"/>
                <w:szCs w:val="21"/>
                <w:highlight w:val="none"/>
              </w:rPr>
              <w:t>序号</w:t>
            </w:r>
          </w:p>
        </w:tc>
        <w:tc>
          <w:tcPr>
            <w:tcW w:w="3530" w:type="dxa"/>
            <w:vMerge w:val="restart"/>
            <w:tcBorders>
              <w:bottom w:val="nil"/>
            </w:tcBorders>
          </w:tcPr>
          <w:p w14:paraId="146ECC04">
            <w:pPr>
              <w:spacing w:line="295" w:lineRule="auto"/>
              <w:rPr>
                <w:rFonts w:ascii="Arial"/>
                <w:highlight w:val="none"/>
              </w:rPr>
            </w:pPr>
          </w:p>
          <w:p w14:paraId="26BCA3B7">
            <w:pPr>
              <w:spacing w:before="68" w:line="221" w:lineRule="auto"/>
              <w:ind w:left="1476"/>
              <w:rPr>
                <w:rFonts w:ascii="宋体" w:hAnsi="宋体" w:eastAsia="宋体" w:cs="宋体"/>
                <w:szCs w:val="21"/>
                <w:highlight w:val="none"/>
              </w:rPr>
            </w:pPr>
            <w:r>
              <w:rPr>
                <w:rFonts w:ascii="宋体" w:hAnsi="宋体" w:eastAsia="宋体" w:cs="宋体"/>
                <w:spacing w:val="-1"/>
                <w:szCs w:val="21"/>
                <w:highlight w:val="none"/>
              </w:rPr>
              <w:t>内  容</w:t>
            </w:r>
          </w:p>
        </w:tc>
        <w:tc>
          <w:tcPr>
            <w:tcW w:w="2159" w:type="dxa"/>
          </w:tcPr>
          <w:p w14:paraId="4209ADAA">
            <w:pPr>
              <w:spacing w:before="130" w:line="221" w:lineRule="auto"/>
              <w:ind w:left="766"/>
              <w:rPr>
                <w:rFonts w:ascii="宋体" w:hAnsi="宋体" w:eastAsia="宋体" w:cs="宋体"/>
                <w:szCs w:val="21"/>
                <w:highlight w:val="none"/>
              </w:rPr>
            </w:pPr>
            <w:r>
              <w:rPr>
                <w:rFonts w:ascii="宋体" w:hAnsi="宋体" w:eastAsia="宋体" w:cs="宋体"/>
                <w:spacing w:val="-1"/>
                <w:szCs w:val="21"/>
                <w:highlight w:val="none"/>
              </w:rPr>
              <w:t>数  量</w:t>
            </w:r>
          </w:p>
        </w:tc>
        <w:tc>
          <w:tcPr>
            <w:tcW w:w="2186" w:type="dxa"/>
          </w:tcPr>
          <w:p w14:paraId="6DC8DD40">
            <w:pPr>
              <w:spacing w:before="131" w:line="219" w:lineRule="auto"/>
              <w:jc w:val="center"/>
              <w:rPr>
                <w:rFonts w:ascii="宋体" w:hAnsi="宋体" w:eastAsia="宋体" w:cs="宋体"/>
                <w:spacing w:val="-1"/>
                <w:szCs w:val="21"/>
                <w:highlight w:val="none"/>
              </w:rPr>
            </w:pPr>
            <w:r>
              <w:rPr>
                <w:rFonts w:ascii="宋体" w:hAnsi="宋体" w:eastAsia="宋体" w:cs="宋体"/>
                <w:spacing w:val="-1"/>
                <w:szCs w:val="21"/>
                <w:highlight w:val="none"/>
              </w:rPr>
              <w:t>单价(元)</w:t>
            </w:r>
            <w:r>
              <w:rPr>
                <w:rFonts w:hint="eastAsia" w:ascii="宋体" w:hAnsi="宋体" w:eastAsia="宋体" w:cs="宋体"/>
                <w:spacing w:val="-1"/>
                <w:szCs w:val="21"/>
                <w:highlight w:val="none"/>
              </w:rPr>
              <w:t>（不含税）</w:t>
            </w:r>
          </w:p>
        </w:tc>
        <w:tc>
          <w:tcPr>
            <w:tcW w:w="2596" w:type="dxa"/>
          </w:tcPr>
          <w:p w14:paraId="4A651BC8">
            <w:pPr>
              <w:spacing w:before="131" w:line="219" w:lineRule="auto"/>
              <w:jc w:val="center"/>
              <w:rPr>
                <w:rFonts w:ascii="宋体" w:hAnsi="宋体" w:eastAsia="宋体" w:cs="宋体"/>
                <w:spacing w:val="-1"/>
                <w:szCs w:val="21"/>
                <w:highlight w:val="none"/>
              </w:rPr>
            </w:pPr>
            <w:r>
              <w:rPr>
                <w:rFonts w:ascii="宋体" w:hAnsi="宋体" w:eastAsia="宋体" w:cs="宋体"/>
                <w:spacing w:val="-1"/>
                <w:szCs w:val="21"/>
                <w:highlight w:val="none"/>
              </w:rPr>
              <w:t>总价(元)</w:t>
            </w:r>
            <w:r>
              <w:rPr>
                <w:rFonts w:hint="eastAsia" w:ascii="宋体" w:hAnsi="宋体" w:eastAsia="宋体" w:cs="宋体"/>
                <w:spacing w:val="-1"/>
                <w:szCs w:val="21"/>
                <w:highlight w:val="none"/>
              </w:rPr>
              <w:t>（不含税）</w:t>
            </w:r>
          </w:p>
        </w:tc>
        <w:tc>
          <w:tcPr>
            <w:tcW w:w="2164" w:type="dxa"/>
          </w:tcPr>
          <w:p w14:paraId="3810BD16">
            <w:pPr>
              <w:spacing w:before="130" w:line="222" w:lineRule="auto"/>
              <w:ind w:left="770"/>
              <w:rPr>
                <w:rFonts w:ascii="宋体" w:hAnsi="宋体" w:eastAsia="宋体" w:cs="宋体"/>
                <w:szCs w:val="21"/>
                <w:highlight w:val="none"/>
              </w:rPr>
            </w:pPr>
            <w:r>
              <w:rPr>
                <w:rFonts w:ascii="宋体" w:hAnsi="宋体" w:eastAsia="宋体" w:cs="宋体"/>
                <w:spacing w:val="-1"/>
                <w:szCs w:val="21"/>
                <w:highlight w:val="none"/>
              </w:rPr>
              <w:t>备  注</w:t>
            </w:r>
          </w:p>
        </w:tc>
      </w:tr>
      <w:tr w14:paraId="74AFFE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071AB343">
            <w:pPr>
              <w:rPr>
                <w:rFonts w:ascii="Arial"/>
                <w:highlight w:val="none"/>
              </w:rPr>
            </w:pPr>
          </w:p>
        </w:tc>
        <w:tc>
          <w:tcPr>
            <w:tcW w:w="3530" w:type="dxa"/>
            <w:vMerge w:val="continue"/>
            <w:tcBorders>
              <w:top w:val="nil"/>
            </w:tcBorders>
          </w:tcPr>
          <w:p w14:paraId="7D56FC14">
            <w:pPr>
              <w:rPr>
                <w:rFonts w:ascii="Arial"/>
                <w:highlight w:val="none"/>
              </w:rPr>
            </w:pPr>
          </w:p>
        </w:tc>
        <w:tc>
          <w:tcPr>
            <w:tcW w:w="2159" w:type="dxa"/>
          </w:tcPr>
          <w:p w14:paraId="73D67BAB">
            <w:pPr>
              <w:spacing w:before="160" w:line="186" w:lineRule="auto"/>
              <w:ind w:left="1044"/>
              <w:rPr>
                <w:rFonts w:ascii="宋体" w:hAnsi="宋体" w:eastAsia="宋体" w:cs="宋体"/>
                <w:szCs w:val="21"/>
                <w:highlight w:val="none"/>
              </w:rPr>
            </w:pPr>
            <w:r>
              <w:rPr>
                <w:rFonts w:ascii="宋体" w:hAnsi="宋体" w:eastAsia="宋体" w:cs="宋体"/>
                <w:szCs w:val="21"/>
                <w:highlight w:val="none"/>
              </w:rPr>
              <w:t>1</w:t>
            </w:r>
          </w:p>
        </w:tc>
        <w:tc>
          <w:tcPr>
            <w:tcW w:w="2186" w:type="dxa"/>
          </w:tcPr>
          <w:p w14:paraId="4F89589E">
            <w:pPr>
              <w:spacing w:before="161" w:line="185" w:lineRule="auto"/>
              <w:ind w:left="1047"/>
              <w:rPr>
                <w:rFonts w:ascii="宋体" w:hAnsi="宋体" w:eastAsia="宋体" w:cs="宋体"/>
                <w:szCs w:val="21"/>
                <w:highlight w:val="none"/>
              </w:rPr>
            </w:pPr>
            <w:r>
              <w:rPr>
                <w:rFonts w:ascii="宋体" w:hAnsi="宋体" w:eastAsia="宋体" w:cs="宋体"/>
                <w:szCs w:val="21"/>
                <w:highlight w:val="none"/>
              </w:rPr>
              <w:t>2</w:t>
            </w:r>
          </w:p>
        </w:tc>
        <w:tc>
          <w:tcPr>
            <w:tcW w:w="2596" w:type="dxa"/>
          </w:tcPr>
          <w:p w14:paraId="125AB1D8">
            <w:pPr>
              <w:spacing w:before="126" w:line="223" w:lineRule="auto"/>
              <w:ind w:left="835"/>
              <w:rPr>
                <w:rFonts w:ascii="宋体" w:hAnsi="宋体" w:eastAsia="宋体" w:cs="宋体"/>
                <w:szCs w:val="21"/>
                <w:highlight w:val="none"/>
              </w:rPr>
            </w:pPr>
            <w:r>
              <w:rPr>
                <w:rFonts w:ascii="宋体" w:hAnsi="宋体" w:eastAsia="宋体" w:cs="宋体"/>
                <w:spacing w:val="-2"/>
                <w:szCs w:val="21"/>
                <w:highlight w:val="none"/>
              </w:rPr>
              <w:t>3 (1</w:t>
            </w:r>
            <w:r>
              <w:rPr>
                <w:rFonts w:ascii="宋体" w:hAnsi="宋体" w:eastAsia="宋体" w:cs="宋体"/>
                <w:spacing w:val="-1"/>
                <w:szCs w:val="21"/>
                <w:highlight w:val="none"/>
              </w:rPr>
              <w:t>×2)</w:t>
            </w:r>
          </w:p>
        </w:tc>
        <w:tc>
          <w:tcPr>
            <w:tcW w:w="2164" w:type="dxa"/>
          </w:tcPr>
          <w:p w14:paraId="64CCEC2C">
            <w:pPr>
              <w:spacing w:before="161" w:line="185" w:lineRule="auto"/>
              <w:ind w:left="1031"/>
              <w:rPr>
                <w:rFonts w:ascii="宋体" w:hAnsi="宋体" w:eastAsia="宋体" w:cs="宋体"/>
                <w:szCs w:val="21"/>
                <w:highlight w:val="none"/>
              </w:rPr>
            </w:pPr>
            <w:r>
              <w:rPr>
                <w:rFonts w:ascii="宋体" w:hAnsi="宋体" w:eastAsia="宋体" w:cs="宋体"/>
                <w:szCs w:val="21"/>
                <w:highlight w:val="none"/>
              </w:rPr>
              <w:t>4</w:t>
            </w:r>
          </w:p>
        </w:tc>
      </w:tr>
      <w:tr w14:paraId="16152A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633F492">
            <w:pPr>
              <w:spacing w:before="244" w:line="185" w:lineRule="auto"/>
              <w:ind w:left="353"/>
              <w:rPr>
                <w:rFonts w:ascii="宋体" w:hAnsi="宋体" w:eastAsia="宋体" w:cs="宋体"/>
                <w:szCs w:val="21"/>
                <w:highlight w:val="none"/>
              </w:rPr>
            </w:pPr>
            <w:r>
              <w:rPr>
                <w:rFonts w:hint="eastAsia" w:ascii="宋体" w:hAnsi="宋体" w:eastAsia="宋体" w:cs="宋体"/>
                <w:szCs w:val="21"/>
                <w:highlight w:val="none"/>
              </w:rPr>
              <w:t>1</w:t>
            </w:r>
          </w:p>
        </w:tc>
        <w:tc>
          <w:tcPr>
            <w:tcW w:w="3530" w:type="dxa"/>
          </w:tcPr>
          <w:p w14:paraId="61803E46">
            <w:pPr>
              <w:spacing w:before="209" w:line="221" w:lineRule="auto"/>
              <w:ind w:left="1450"/>
              <w:rPr>
                <w:rFonts w:ascii="宋体" w:hAnsi="宋体" w:eastAsia="宋体" w:cs="宋体"/>
                <w:szCs w:val="21"/>
                <w:highlight w:val="none"/>
              </w:rPr>
            </w:pPr>
            <w:r>
              <w:rPr>
                <w:rFonts w:ascii="宋体" w:hAnsi="宋体" w:eastAsia="宋体" w:cs="宋体"/>
                <w:spacing w:val="-2"/>
                <w:szCs w:val="21"/>
                <w:highlight w:val="none"/>
              </w:rPr>
              <w:t>包</w:t>
            </w:r>
            <w:r>
              <w:rPr>
                <w:rFonts w:ascii="宋体" w:hAnsi="宋体" w:eastAsia="宋体" w:cs="宋体"/>
                <w:spacing w:val="-1"/>
                <w:szCs w:val="21"/>
                <w:highlight w:val="none"/>
              </w:rPr>
              <w:t>装费</w:t>
            </w:r>
          </w:p>
        </w:tc>
        <w:tc>
          <w:tcPr>
            <w:tcW w:w="2159" w:type="dxa"/>
          </w:tcPr>
          <w:p w14:paraId="0BAAB5D9">
            <w:pPr>
              <w:rPr>
                <w:rFonts w:ascii="Arial"/>
                <w:highlight w:val="none"/>
              </w:rPr>
            </w:pPr>
          </w:p>
        </w:tc>
        <w:tc>
          <w:tcPr>
            <w:tcW w:w="2186" w:type="dxa"/>
          </w:tcPr>
          <w:p w14:paraId="107F4912">
            <w:pPr>
              <w:rPr>
                <w:rFonts w:ascii="Arial"/>
                <w:highlight w:val="none"/>
              </w:rPr>
            </w:pPr>
          </w:p>
        </w:tc>
        <w:tc>
          <w:tcPr>
            <w:tcW w:w="2596" w:type="dxa"/>
          </w:tcPr>
          <w:p w14:paraId="1654EB86">
            <w:pPr>
              <w:rPr>
                <w:rFonts w:ascii="Arial"/>
                <w:highlight w:val="none"/>
              </w:rPr>
            </w:pPr>
          </w:p>
        </w:tc>
        <w:tc>
          <w:tcPr>
            <w:tcW w:w="2164" w:type="dxa"/>
          </w:tcPr>
          <w:p w14:paraId="5B6AF30F">
            <w:pPr>
              <w:rPr>
                <w:rFonts w:ascii="Arial"/>
                <w:highlight w:val="none"/>
              </w:rPr>
            </w:pPr>
          </w:p>
        </w:tc>
      </w:tr>
      <w:tr w14:paraId="30430E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14A5DDA7">
            <w:pPr>
              <w:spacing w:before="245" w:line="183" w:lineRule="auto"/>
              <w:ind w:left="355"/>
              <w:rPr>
                <w:rFonts w:ascii="宋体" w:hAnsi="宋体" w:eastAsia="宋体" w:cs="宋体"/>
                <w:szCs w:val="21"/>
                <w:highlight w:val="none"/>
              </w:rPr>
            </w:pPr>
            <w:r>
              <w:rPr>
                <w:rFonts w:hint="eastAsia" w:ascii="宋体" w:hAnsi="宋体" w:eastAsia="宋体" w:cs="宋体"/>
                <w:szCs w:val="21"/>
                <w:highlight w:val="none"/>
              </w:rPr>
              <w:t>2</w:t>
            </w:r>
          </w:p>
        </w:tc>
        <w:tc>
          <w:tcPr>
            <w:tcW w:w="3530" w:type="dxa"/>
          </w:tcPr>
          <w:p w14:paraId="17CE8FAD">
            <w:pPr>
              <w:spacing w:before="209" w:line="221" w:lineRule="auto"/>
              <w:ind w:left="1450"/>
              <w:rPr>
                <w:rFonts w:ascii="宋体" w:hAnsi="宋体" w:eastAsia="宋体" w:cs="宋体"/>
                <w:szCs w:val="21"/>
                <w:highlight w:val="none"/>
              </w:rPr>
            </w:pPr>
            <w:r>
              <w:rPr>
                <w:rFonts w:ascii="宋体" w:hAnsi="宋体" w:eastAsia="宋体" w:cs="宋体"/>
                <w:spacing w:val="-2"/>
                <w:szCs w:val="21"/>
                <w:highlight w:val="none"/>
              </w:rPr>
              <w:t>运</w:t>
            </w:r>
            <w:r>
              <w:rPr>
                <w:rFonts w:ascii="宋体" w:hAnsi="宋体" w:eastAsia="宋体" w:cs="宋体"/>
                <w:spacing w:val="-1"/>
                <w:szCs w:val="21"/>
                <w:highlight w:val="none"/>
              </w:rPr>
              <w:t>输费</w:t>
            </w:r>
          </w:p>
        </w:tc>
        <w:tc>
          <w:tcPr>
            <w:tcW w:w="2159" w:type="dxa"/>
          </w:tcPr>
          <w:p w14:paraId="02D8D2E4">
            <w:pPr>
              <w:rPr>
                <w:rFonts w:ascii="Arial"/>
                <w:highlight w:val="none"/>
              </w:rPr>
            </w:pPr>
          </w:p>
        </w:tc>
        <w:tc>
          <w:tcPr>
            <w:tcW w:w="2186" w:type="dxa"/>
          </w:tcPr>
          <w:p w14:paraId="61EB34E2">
            <w:pPr>
              <w:rPr>
                <w:rFonts w:ascii="Arial"/>
                <w:highlight w:val="none"/>
              </w:rPr>
            </w:pPr>
          </w:p>
        </w:tc>
        <w:tc>
          <w:tcPr>
            <w:tcW w:w="2596" w:type="dxa"/>
          </w:tcPr>
          <w:p w14:paraId="67F8D967">
            <w:pPr>
              <w:rPr>
                <w:rFonts w:ascii="Arial"/>
                <w:highlight w:val="none"/>
              </w:rPr>
            </w:pPr>
          </w:p>
        </w:tc>
        <w:tc>
          <w:tcPr>
            <w:tcW w:w="2164" w:type="dxa"/>
            <w:vMerge w:val="restart"/>
            <w:tcBorders>
              <w:bottom w:val="nil"/>
            </w:tcBorders>
          </w:tcPr>
          <w:p w14:paraId="0933E753">
            <w:pPr>
              <w:spacing w:line="295" w:lineRule="auto"/>
              <w:rPr>
                <w:rFonts w:ascii="Arial"/>
                <w:highlight w:val="none"/>
              </w:rPr>
            </w:pPr>
          </w:p>
          <w:p w14:paraId="50C18EA0">
            <w:pPr>
              <w:spacing w:before="68" w:line="300" w:lineRule="auto"/>
              <w:ind w:left="873" w:right="133" w:hanging="734"/>
              <w:rPr>
                <w:rFonts w:ascii="宋体" w:hAnsi="宋体" w:eastAsia="宋体" w:cs="宋体"/>
                <w:szCs w:val="21"/>
                <w:highlight w:val="none"/>
              </w:rPr>
            </w:pPr>
            <w:r>
              <w:rPr>
                <w:rFonts w:ascii="宋体" w:hAnsi="宋体" w:eastAsia="宋体" w:cs="宋体"/>
                <w:spacing w:val="-1"/>
                <w:szCs w:val="21"/>
                <w:highlight w:val="none"/>
              </w:rPr>
              <w:t>运输方式及</w:t>
            </w:r>
            <w:r>
              <w:rPr>
                <w:rFonts w:ascii="宋体" w:hAnsi="宋体" w:eastAsia="宋体" w:cs="宋体"/>
                <w:szCs w:val="21"/>
                <w:highlight w:val="none"/>
              </w:rPr>
              <w:t xml:space="preserve">运输起止 </w:t>
            </w:r>
            <w:r>
              <w:rPr>
                <w:rFonts w:ascii="宋体" w:hAnsi="宋体" w:eastAsia="宋体" w:cs="宋体"/>
                <w:spacing w:val="-2"/>
                <w:szCs w:val="21"/>
                <w:highlight w:val="none"/>
              </w:rPr>
              <w:t>地</w:t>
            </w:r>
            <w:r>
              <w:rPr>
                <w:rFonts w:ascii="宋体" w:hAnsi="宋体" w:eastAsia="宋体" w:cs="宋体"/>
                <w:spacing w:val="-1"/>
                <w:szCs w:val="21"/>
                <w:highlight w:val="none"/>
              </w:rPr>
              <w:t>点</w:t>
            </w:r>
          </w:p>
        </w:tc>
      </w:tr>
      <w:tr w14:paraId="706F5C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16267188">
            <w:pPr>
              <w:spacing w:before="248" w:line="185" w:lineRule="auto"/>
              <w:ind w:left="350"/>
              <w:rPr>
                <w:rFonts w:ascii="宋体" w:hAnsi="宋体" w:eastAsia="宋体" w:cs="宋体"/>
                <w:szCs w:val="21"/>
                <w:highlight w:val="none"/>
              </w:rPr>
            </w:pPr>
            <w:r>
              <w:rPr>
                <w:rFonts w:hint="eastAsia" w:ascii="宋体" w:hAnsi="宋体" w:eastAsia="宋体" w:cs="宋体"/>
                <w:szCs w:val="21"/>
                <w:highlight w:val="none"/>
              </w:rPr>
              <w:t>3</w:t>
            </w:r>
          </w:p>
        </w:tc>
        <w:tc>
          <w:tcPr>
            <w:tcW w:w="3530" w:type="dxa"/>
          </w:tcPr>
          <w:p w14:paraId="6B7CEC7D">
            <w:pPr>
              <w:spacing w:before="212" w:line="221" w:lineRule="auto"/>
              <w:ind w:left="1241"/>
              <w:rPr>
                <w:rFonts w:ascii="宋体" w:hAnsi="宋体" w:eastAsia="宋体" w:cs="宋体"/>
                <w:szCs w:val="21"/>
                <w:highlight w:val="none"/>
              </w:rPr>
            </w:pPr>
            <w:r>
              <w:rPr>
                <w:rFonts w:ascii="宋体" w:hAnsi="宋体" w:eastAsia="宋体" w:cs="宋体"/>
                <w:spacing w:val="-1"/>
                <w:szCs w:val="21"/>
                <w:highlight w:val="none"/>
              </w:rPr>
              <w:t>运输保险费</w:t>
            </w:r>
          </w:p>
        </w:tc>
        <w:tc>
          <w:tcPr>
            <w:tcW w:w="2159" w:type="dxa"/>
          </w:tcPr>
          <w:p w14:paraId="3A9CE701">
            <w:pPr>
              <w:rPr>
                <w:rFonts w:ascii="Arial"/>
                <w:highlight w:val="none"/>
              </w:rPr>
            </w:pPr>
          </w:p>
        </w:tc>
        <w:tc>
          <w:tcPr>
            <w:tcW w:w="2186" w:type="dxa"/>
          </w:tcPr>
          <w:p w14:paraId="7044D69F">
            <w:pPr>
              <w:rPr>
                <w:rFonts w:ascii="Arial"/>
                <w:highlight w:val="none"/>
              </w:rPr>
            </w:pPr>
          </w:p>
        </w:tc>
        <w:tc>
          <w:tcPr>
            <w:tcW w:w="2596" w:type="dxa"/>
          </w:tcPr>
          <w:p w14:paraId="266E99B9">
            <w:pPr>
              <w:rPr>
                <w:rFonts w:ascii="Arial"/>
                <w:highlight w:val="none"/>
              </w:rPr>
            </w:pPr>
          </w:p>
        </w:tc>
        <w:tc>
          <w:tcPr>
            <w:tcW w:w="2164" w:type="dxa"/>
            <w:vMerge w:val="continue"/>
            <w:tcBorders>
              <w:top w:val="nil"/>
            </w:tcBorders>
          </w:tcPr>
          <w:p w14:paraId="129F60E0">
            <w:pPr>
              <w:rPr>
                <w:rFonts w:ascii="Arial"/>
                <w:highlight w:val="none"/>
              </w:rPr>
            </w:pPr>
          </w:p>
        </w:tc>
      </w:tr>
      <w:tr w14:paraId="2E808F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49A2F5E">
            <w:pPr>
              <w:spacing w:before="247" w:line="182" w:lineRule="auto"/>
              <w:ind w:left="355"/>
              <w:rPr>
                <w:rFonts w:ascii="宋体" w:hAnsi="宋体" w:eastAsia="宋体" w:cs="宋体"/>
                <w:szCs w:val="21"/>
                <w:highlight w:val="none"/>
              </w:rPr>
            </w:pPr>
            <w:r>
              <w:rPr>
                <w:rFonts w:hint="eastAsia" w:ascii="宋体" w:hAnsi="宋体" w:eastAsia="宋体" w:cs="宋体"/>
                <w:szCs w:val="21"/>
                <w:highlight w:val="none"/>
              </w:rPr>
              <w:t>4</w:t>
            </w:r>
          </w:p>
        </w:tc>
        <w:tc>
          <w:tcPr>
            <w:tcW w:w="3530" w:type="dxa"/>
          </w:tcPr>
          <w:p w14:paraId="05C4CD59">
            <w:pPr>
              <w:spacing w:before="210" w:line="221" w:lineRule="auto"/>
              <w:ind w:left="1450"/>
              <w:rPr>
                <w:rFonts w:ascii="宋体" w:hAnsi="宋体" w:eastAsia="宋体" w:cs="宋体"/>
                <w:szCs w:val="21"/>
                <w:highlight w:val="none"/>
              </w:rPr>
            </w:pPr>
            <w:r>
              <w:rPr>
                <w:rFonts w:ascii="宋体" w:hAnsi="宋体" w:eastAsia="宋体" w:cs="宋体"/>
                <w:spacing w:val="-2"/>
                <w:szCs w:val="21"/>
                <w:highlight w:val="none"/>
              </w:rPr>
              <w:t>装</w:t>
            </w:r>
            <w:r>
              <w:rPr>
                <w:rFonts w:ascii="宋体" w:hAnsi="宋体" w:eastAsia="宋体" w:cs="宋体"/>
                <w:spacing w:val="-1"/>
                <w:szCs w:val="21"/>
                <w:highlight w:val="none"/>
              </w:rPr>
              <w:t>卸费</w:t>
            </w:r>
          </w:p>
        </w:tc>
        <w:tc>
          <w:tcPr>
            <w:tcW w:w="2159" w:type="dxa"/>
          </w:tcPr>
          <w:p w14:paraId="4411AB2E">
            <w:pPr>
              <w:rPr>
                <w:rFonts w:ascii="Arial"/>
                <w:highlight w:val="none"/>
              </w:rPr>
            </w:pPr>
          </w:p>
        </w:tc>
        <w:tc>
          <w:tcPr>
            <w:tcW w:w="2186" w:type="dxa"/>
          </w:tcPr>
          <w:p w14:paraId="6AFFAD53">
            <w:pPr>
              <w:rPr>
                <w:rFonts w:ascii="Arial"/>
                <w:highlight w:val="none"/>
              </w:rPr>
            </w:pPr>
          </w:p>
        </w:tc>
        <w:tc>
          <w:tcPr>
            <w:tcW w:w="2596" w:type="dxa"/>
          </w:tcPr>
          <w:p w14:paraId="44CD508D">
            <w:pPr>
              <w:rPr>
                <w:rFonts w:ascii="Arial"/>
                <w:highlight w:val="none"/>
              </w:rPr>
            </w:pPr>
          </w:p>
        </w:tc>
        <w:tc>
          <w:tcPr>
            <w:tcW w:w="2164" w:type="dxa"/>
          </w:tcPr>
          <w:p w14:paraId="016E6C69">
            <w:pPr>
              <w:spacing w:before="210" w:line="221" w:lineRule="auto"/>
              <w:ind w:left="457"/>
              <w:rPr>
                <w:rFonts w:ascii="宋体" w:hAnsi="宋体" w:eastAsia="宋体" w:cs="宋体"/>
                <w:szCs w:val="21"/>
                <w:highlight w:val="none"/>
              </w:rPr>
            </w:pPr>
            <w:r>
              <w:rPr>
                <w:rFonts w:ascii="宋体" w:hAnsi="宋体" w:eastAsia="宋体" w:cs="宋体"/>
                <w:spacing w:val="-2"/>
                <w:szCs w:val="21"/>
                <w:highlight w:val="none"/>
              </w:rPr>
              <w:t>发生</w:t>
            </w:r>
            <w:r>
              <w:rPr>
                <w:rFonts w:ascii="宋体" w:hAnsi="宋体" w:eastAsia="宋体" w:cs="宋体"/>
                <w:spacing w:val="-1"/>
                <w:szCs w:val="21"/>
                <w:highlight w:val="none"/>
              </w:rPr>
              <w:t>费用地点</w:t>
            </w:r>
          </w:p>
        </w:tc>
      </w:tr>
      <w:tr w14:paraId="106B69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D85A540">
            <w:pPr>
              <w:spacing w:before="247" w:line="183" w:lineRule="auto"/>
              <w:ind w:left="352"/>
              <w:rPr>
                <w:rFonts w:ascii="宋体" w:hAnsi="宋体" w:eastAsia="宋体" w:cs="宋体"/>
                <w:szCs w:val="21"/>
                <w:highlight w:val="none"/>
              </w:rPr>
            </w:pPr>
            <w:r>
              <w:rPr>
                <w:rFonts w:hint="eastAsia" w:ascii="宋体" w:hAnsi="宋体" w:eastAsia="宋体" w:cs="宋体"/>
                <w:szCs w:val="21"/>
                <w:highlight w:val="none"/>
              </w:rPr>
              <w:t>5</w:t>
            </w:r>
          </w:p>
        </w:tc>
        <w:tc>
          <w:tcPr>
            <w:tcW w:w="3530" w:type="dxa"/>
          </w:tcPr>
          <w:p w14:paraId="73F60D81">
            <w:pPr>
              <w:spacing w:before="211" w:line="221" w:lineRule="auto"/>
              <w:rPr>
                <w:rFonts w:ascii="宋体" w:hAnsi="宋体" w:eastAsia="宋体" w:cs="宋体"/>
                <w:szCs w:val="21"/>
                <w:highlight w:val="none"/>
              </w:rPr>
            </w:pPr>
            <w:r>
              <w:rPr>
                <w:rFonts w:hint="eastAsia" w:ascii="宋体" w:hAnsi="宋体" w:eastAsia="宋体" w:cs="宋体"/>
                <w:spacing w:val="-2"/>
                <w:szCs w:val="21"/>
              </w:rPr>
              <w:t>.......以上</w:t>
            </w:r>
            <w:r>
              <w:rPr>
                <w:rFonts w:hint="eastAsia" w:ascii="宋体" w:hAnsi="宋体" w:eastAsia="宋体" w:cs="宋体"/>
              </w:rPr>
              <w:t>不足之处请往下添加序号自行补充</w:t>
            </w:r>
          </w:p>
        </w:tc>
        <w:tc>
          <w:tcPr>
            <w:tcW w:w="2159" w:type="dxa"/>
          </w:tcPr>
          <w:p w14:paraId="686B81CF">
            <w:pPr>
              <w:rPr>
                <w:rFonts w:ascii="Arial"/>
                <w:highlight w:val="none"/>
              </w:rPr>
            </w:pPr>
          </w:p>
        </w:tc>
        <w:tc>
          <w:tcPr>
            <w:tcW w:w="2186" w:type="dxa"/>
          </w:tcPr>
          <w:p w14:paraId="06FB25D6">
            <w:pPr>
              <w:rPr>
                <w:rFonts w:ascii="Arial"/>
                <w:highlight w:val="none"/>
              </w:rPr>
            </w:pPr>
          </w:p>
        </w:tc>
        <w:tc>
          <w:tcPr>
            <w:tcW w:w="2596" w:type="dxa"/>
          </w:tcPr>
          <w:p w14:paraId="0C319C2B">
            <w:pPr>
              <w:rPr>
                <w:rFonts w:ascii="Arial"/>
                <w:highlight w:val="none"/>
              </w:rPr>
            </w:pPr>
          </w:p>
        </w:tc>
        <w:tc>
          <w:tcPr>
            <w:tcW w:w="2164" w:type="dxa"/>
          </w:tcPr>
          <w:p w14:paraId="33220962">
            <w:pPr>
              <w:spacing w:before="210" w:line="221" w:lineRule="auto"/>
              <w:ind w:left="456"/>
              <w:rPr>
                <w:rFonts w:ascii="宋体" w:hAnsi="宋体" w:eastAsia="宋体" w:cs="宋体"/>
                <w:szCs w:val="21"/>
                <w:highlight w:val="none"/>
              </w:rPr>
            </w:pPr>
            <w:r>
              <w:rPr>
                <w:rFonts w:ascii="宋体" w:hAnsi="宋体" w:eastAsia="宋体" w:cs="宋体"/>
                <w:spacing w:val="-2"/>
                <w:szCs w:val="21"/>
                <w:highlight w:val="none"/>
              </w:rPr>
              <w:t>说明</w:t>
            </w:r>
            <w:r>
              <w:rPr>
                <w:rFonts w:ascii="宋体" w:hAnsi="宋体" w:eastAsia="宋体" w:cs="宋体"/>
                <w:spacing w:val="-1"/>
                <w:szCs w:val="21"/>
                <w:highlight w:val="none"/>
              </w:rPr>
              <w:t>具体内容</w:t>
            </w:r>
          </w:p>
        </w:tc>
      </w:tr>
      <w:tr w14:paraId="3E3B28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00B1AAC8">
            <w:pPr>
              <w:spacing w:before="211" w:line="219" w:lineRule="auto"/>
              <w:ind w:left="3008"/>
              <w:rPr>
                <w:rFonts w:ascii="宋体" w:hAnsi="宋体" w:eastAsia="宋体" w:cs="宋体"/>
                <w:szCs w:val="21"/>
                <w:highlight w:val="none"/>
              </w:rPr>
            </w:pPr>
            <w:r>
              <w:rPr>
                <w:rFonts w:ascii="宋体" w:hAnsi="宋体" w:eastAsia="宋体" w:cs="宋体"/>
                <w:spacing w:val="-6"/>
                <w:szCs w:val="21"/>
                <w:highlight w:val="none"/>
              </w:rPr>
              <w:t>总</w:t>
            </w:r>
            <w:r>
              <w:rPr>
                <w:rFonts w:ascii="宋体" w:hAnsi="宋体" w:eastAsia="宋体" w:cs="宋体"/>
                <w:spacing w:val="-4"/>
                <w:szCs w:val="21"/>
                <w:highlight w:val="none"/>
              </w:rPr>
              <w:t xml:space="preserve">价合计列入价格汇总表 </w:t>
            </w:r>
            <w:r>
              <w:rPr>
                <w:rFonts w:hint="eastAsia" w:ascii="宋体" w:hAnsi="宋体" w:eastAsia="宋体" w:cs="宋体"/>
                <w:spacing w:val="-4"/>
                <w:szCs w:val="21"/>
                <w:highlight w:val="none"/>
              </w:rPr>
              <w:t>9</w:t>
            </w:r>
            <w:r>
              <w:rPr>
                <w:rFonts w:ascii="宋体" w:hAnsi="宋体" w:eastAsia="宋体" w:cs="宋体"/>
                <w:spacing w:val="-4"/>
                <w:szCs w:val="21"/>
                <w:highlight w:val="none"/>
              </w:rPr>
              <w:t>-</w:t>
            </w:r>
            <w:r>
              <w:rPr>
                <w:rFonts w:hint="eastAsia" w:ascii="宋体" w:hAnsi="宋体" w:eastAsia="宋体" w:cs="宋体"/>
                <w:spacing w:val="-4"/>
                <w:szCs w:val="21"/>
                <w:highlight w:val="none"/>
              </w:rPr>
              <w:t>5</w:t>
            </w:r>
          </w:p>
        </w:tc>
        <w:tc>
          <w:tcPr>
            <w:tcW w:w="4760" w:type="dxa"/>
            <w:gridSpan w:val="2"/>
          </w:tcPr>
          <w:p w14:paraId="0F5D13D4">
            <w:pPr>
              <w:spacing w:before="211" w:line="219" w:lineRule="auto"/>
              <w:jc w:val="left"/>
              <w:rPr>
                <w:rFonts w:ascii="宋体" w:hAnsi="宋体" w:eastAsia="宋体" w:cs="宋体"/>
                <w:szCs w:val="21"/>
                <w:highlight w:val="none"/>
              </w:rPr>
            </w:pPr>
            <w:r>
              <w:rPr>
                <w:rFonts w:ascii="宋体" w:hAnsi="宋体" w:eastAsia="宋体" w:cs="宋体"/>
                <w:b/>
                <w:bCs/>
                <w:szCs w:val="21"/>
                <w:highlight w:val="none"/>
              </w:rPr>
              <w:t>总价合计</w:t>
            </w:r>
            <w:r>
              <w:rPr>
                <w:rFonts w:hint="eastAsia" w:ascii="宋体" w:hAnsi="宋体" w:eastAsia="宋体" w:cs="宋体"/>
                <w:b/>
                <w:bCs/>
                <w:szCs w:val="21"/>
                <w:highlight w:val="none"/>
              </w:rPr>
              <w:t>（不含税）</w:t>
            </w:r>
            <w:r>
              <w:rPr>
                <w:rFonts w:ascii="宋体" w:hAnsi="宋体" w:eastAsia="宋体" w:cs="宋体"/>
                <w:b/>
                <w:bCs/>
                <w:szCs w:val="21"/>
                <w:highlight w:val="none"/>
              </w:rPr>
              <w:t>￥    元</w:t>
            </w:r>
          </w:p>
        </w:tc>
      </w:tr>
    </w:tbl>
    <w:p w14:paraId="0C5FC7D4">
      <w:pPr>
        <w:spacing w:line="172" w:lineRule="exact"/>
        <w:rPr>
          <w:highlight w:val="none"/>
        </w:rPr>
      </w:pPr>
    </w:p>
    <w:p w14:paraId="5C9C4A1E">
      <w:pPr>
        <w:spacing w:before="59" w:line="219" w:lineRule="auto"/>
        <w:ind w:left="211"/>
        <w:rPr>
          <w:rFonts w:ascii="宋体" w:hAnsi="宋体" w:eastAsia="宋体" w:cs="宋体"/>
          <w:szCs w:val="21"/>
          <w:highlight w:val="none"/>
        </w:rPr>
      </w:pPr>
      <w:r>
        <w:rPr>
          <w:rFonts w:ascii="宋体" w:hAnsi="宋体" w:eastAsia="宋体" w:cs="宋体"/>
          <w:spacing w:val="-10"/>
          <w:szCs w:val="21"/>
          <w:highlight w:val="none"/>
        </w:rPr>
        <w:t>注：</w:t>
      </w:r>
      <w:r>
        <w:rPr>
          <w:rFonts w:hint="eastAsia" w:ascii="宋体" w:hAnsi="宋体" w:eastAsia="宋体" w:cs="宋体"/>
          <w:spacing w:val="-10"/>
          <w:szCs w:val="21"/>
          <w:highlight w:val="none"/>
        </w:rPr>
        <w:t xml:space="preserve"> </w:t>
      </w:r>
      <w:r>
        <w:rPr>
          <w:rFonts w:ascii="宋体" w:hAnsi="宋体" w:eastAsia="宋体" w:cs="宋体"/>
          <w:spacing w:val="-5"/>
          <w:szCs w:val="21"/>
          <w:highlight w:val="none"/>
        </w:rPr>
        <w:t>1.投标人需另附页给出价格的详细说明。</w:t>
      </w:r>
    </w:p>
    <w:p w14:paraId="48B656B9">
      <w:pPr>
        <w:spacing w:before="77"/>
        <w:ind w:left="633"/>
        <w:rPr>
          <w:rFonts w:ascii="宋体" w:hAnsi="宋体" w:eastAsia="宋体" w:cs="宋体"/>
          <w:szCs w:val="21"/>
          <w:highlight w:val="none"/>
        </w:rPr>
      </w:pPr>
      <w:r>
        <w:rPr>
          <w:rFonts w:ascii="宋体" w:hAnsi="宋体" w:eastAsia="宋体" w:cs="宋体"/>
          <w:spacing w:val="-1"/>
          <w:szCs w:val="21"/>
          <w:highlight w:val="none"/>
        </w:rPr>
        <w:t>2.如果按单价计算的结果与总价不一致，以单</w:t>
      </w:r>
      <w:r>
        <w:rPr>
          <w:rFonts w:ascii="宋体" w:hAnsi="宋体" w:eastAsia="宋体" w:cs="宋体"/>
          <w:szCs w:val="21"/>
          <w:highlight w:val="none"/>
        </w:rPr>
        <w:t>价为准修正总价。</w:t>
      </w:r>
    </w:p>
    <w:p w14:paraId="198BB937">
      <w:pPr>
        <w:spacing w:before="64" w:line="198" w:lineRule="auto"/>
        <w:ind w:firstLine="606" w:firstLineChars="300"/>
        <w:rPr>
          <w:rFonts w:ascii="宋体" w:hAnsi="宋体" w:eastAsia="宋体" w:cs="宋体"/>
          <w:sz w:val="24"/>
          <w:szCs w:val="24"/>
          <w:highlight w:val="none"/>
        </w:rPr>
      </w:pPr>
      <w:r>
        <w:rPr>
          <w:rFonts w:ascii="宋体" w:hAnsi="宋体" w:eastAsia="宋体" w:cs="宋体"/>
          <w:spacing w:val="-4"/>
          <w:szCs w:val="21"/>
          <w:highlight w:val="none"/>
        </w:rPr>
        <w:t>3.此分项报价， 仅是为了方</w:t>
      </w:r>
      <w:r>
        <w:rPr>
          <w:rFonts w:ascii="宋体" w:hAnsi="宋体" w:eastAsia="宋体" w:cs="宋体"/>
          <w:spacing w:val="-2"/>
          <w:szCs w:val="21"/>
          <w:highlight w:val="none"/>
        </w:rPr>
        <w:t>便招标人对投标文件进行比较，不作为限制订立合同的条件</w:t>
      </w:r>
      <w:r>
        <w:rPr>
          <w:rFonts w:ascii="宋体" w:hAnsi="宋体" w:eastAsia="宋体" w:cs="宋体"/>
          <w:spacing w:val="-2"/>
          <w:sz w:val="24"/>
          <w:szCs w:val="24"/>
          <w:highlight w:val="none"/>
        </w:rPr>
        <w:t>。</w:t>
      </w:r>
    </w:p>
    <w:p w14:paraId="1F3D05F2">
      <w:pPr>
        <w:spacing w:before="78" w:line="219" w:lineRule="auto"/>
        <w:ind w:firstLine="594" w:firstLineChars="300"/>
        <w:rPr>
          <w:rFonts w:ascii="宋体" w:hAnsi="宋体" w:eastAsia="宋体" w:cs="宋体"/>
          <w:spacing w:val="-6"/>
          <w:szCs w:val="21"/>
          <w:highlight w:val="none"/>
        </w:rPr>
      </w:pPr>
      <w:r>
        <w:rPr>
          <w:rFonts w:hint="eastAsia" w:ascii="宋体" w:hAnsi="宋体" w:eastAsia="宋体" w:cs="宋体"/>
          <w:spacing w:val="-6"/>
          <w:szCs w:val="21"/>
          <w:highlight w:val="none"/>
        </w:rPr>
        <w:t>4.如上表中的有关费用投标人免费提供，请注明“免费”字样。</w:t>
      </w:r>
    </w:p>
    <w:p w14:paraId="3B036A8A">
      <w:pPr>
        <w:spacing w:before="78" w:line="219" w:lineRule="auto"/>
        <w:ind w:firstLine="594" w:firstLineChars="300"/>
        <w:rPr>
          <w:rFonts w:ascii="宋体" w:hAnsi="宋体" w:eastAsia="宋体" w:cs="宋体"/>
          <w:spacing w:val="-6"/>
          <w:szCs w:val="21"/>
          <w:highlight w:val="none"/>
        </w:rPr>
      </w:pPr>
      <w:r>
        <w:rPr>
          <w:rFonts w:hint="eastAsia" w:ascii="宋体" w:hAnsi="宋体" w:eastAsia="宋体" w:cs="宋体"/>
          <w:spacing w:val="-6"/>
          <w:szCs w:val="21"/>
          <w:highlight w:val="none"/>
        </w:rPr>
        <w:t>5.该明细表所有信息均为必填项，不得删减，价格部分不得合并，可细化可增加。</w:t>
      </w:r>
    </w:p>
    <w:p w14:paraId="7204EDEA">
      <w:pPr>
        <w:spacing w:before="78" w:line="219" w:lineRule="auto"/>
        <w:ind w:firstLine="594" w:firstLineChars="300"/>
        <w:rPr>
          <w:rFonts w:ascii="宋体" w:hAnsi="宋体" w:eastAsia="宋体" w:cs="宋体"/>
          <w:spacing w:val="6"/>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highlight w:val="none"/>
        </w:rPr>
        <w:t>6.因填写不规范造成废标及终止招标的，责任由投标人自负。</w:t>
      </w:r>
    </w:p>
    <w:p w14:paraId="11029E25">
      <w:pPr>
        <w:spacing w:before="140" w:line="220" w:lineRule="auto"/>
        <w:ind w:left="2" w:firstLine="464" w:firstLineChars="200"/>
        <w:rPr>
          <w:rFonts w:ascii="宋体" w:hAnsi="宋体" w:eastAsia="宋体" w:cs="宋体"/>
          <w:spacing w:val="-2"/>
          <w:sz w:val="24"/>
          <w:szCs w:val="24"/>
          <w:highlight w:val="none"/>
        </w:rPr>
      </w:pPr>
      <w:r>
        <w:rPr>
          <w:rFonts w:ascii="宋体" w:hAnsi="宋体" w:eastAsia="宋体" w:cs="宋体"/>
          <w:spacing w:val="-4"/>
          <w:sz w:val="24"/>
          <w:szCs w:val="24"/>
          <w:highlight w:val="none"/>
        </w:rPr>
        <w:t>投标人(章)：</w:t>
      </w:r>
      <w:r>
        <w:rPr>
          <w:rFonts w:ascii="宋体" w:hAnsi="宋体" w:eastAsia="宋体" w:cs="宋体"/>
          <w:spacing w:val="6"/>
          <w:szCs w:val="21"/>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2"/>
          <w:sz w:val="24"/>
          <w:szCs w:val="24"/>
          <w:highlight w:val="none"/>
        </w:rPr>
        <w:t xml:space="preserve"> 授权代表(签字)：    </w:t>
      </w:r>
      <w:r>
        <w:rPr>
          <w:rFonts w:ascii="宋体" w:hAnsi="宋体" w:eastAsia="宋体" w:cs="宋体"/>
          <w:spacing w:val="3"/>
          <w:sz w:val="24"/>
          <w:szCs w:val="24"/>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2"/>
          <w:sz w:val="24"/>
          <w:szCs w:val="24"/>
          <w:highlight w:val="none"/>
        </w:rPr>
        <w:t>年  月  日</w:t>
      </w:r>
    </w:p>
    <w:p w14:paraId="7ED7E58E">
      <w:pPr>
        <w:rPr>
          <w:sz w:val="24"/>
          <w:szCs w:val="24"/>
          <w:highlight w:val="none"/>
        </w:rPr>
        <w:sectPr>
          <w:headerReference r:id="rId31" w:type="default"/>
          <w:footerReference r:id="rId32" w:type="default"/>
          <w:pgSz w:w="16841" w:h="11907"/>
          <w:pgMar w:top="400" w:right="1699" w:bottom="1184" w:left="1481" w:header="0" w:footer="1022" w:gutter="0"/>
          <w:pgNumType w:fmt="decimal"/>
          <w:cols w:space="720" w:num="1"/>
        </w:sectPr>
      </w:pPr>
    </w:p>
    <w:p w14:paraId="32B4D946">
      <w:pPr>
        <w:pStyle w:val="6"/>
        <w:jc w:val="left"/>
        <w:rPr>
          <w:rFonts w:ascii="宋体" w:hAnsi="宋体" w:eastAsia="宋体" w:cs="宋体"/>
          <w:spacing w:val="-10"/>
          <w:sz w:val="24"/>
          <w:szCs w:val="24"/>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highlight w:val="none"/>
          <w14:textOutline w14:w="3835" w14:cap="flat" w14:cmpd="sng" w14:algn="ctr">
            <w14:solidFill>
              <w14:srgbClr w14:val="000000"/>
            </w14:solidFill>
            <w14:prstDash w14:val="solid"/>
            <w14:miter w14:val="0"/>
          </w14:textOutline>
        </w:rPr>
        <w:t>表 9-3</w:t>
      </w:r>
    </w:p>
    <w:p w14:paraId="682431ED">
      <w:pPr>
        <w:spacing w:before="104" w:line="224" w:lineRule="auto"/>
        <w:ind w:left="5024"/>
        <w:rPr>
          <w:rFonts w:ascii="宋体" w:hAnsi="宋体" w:eastAsia="宋体" w:cs="宋体"/>
          <w:sz w:val="31"/>
          <w:szCs w:val="31"/>
          <w:highlight w:val="none"/>
        </w:rPr>
      </w:pPr>
      <w:r>
        <w:rPr>
          <w:rFonts w:ascii="宋体" w:hAnsi="宋体" w:eastAsia="宋体" w:cs="宋体"/>
          <w:spacing w:val="10"/>
          <w:sz w:val="24"/>
          <w:szCs w:val="24"/>
          <w:highlight w:val="none"/>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highlight w:val="none"/>
          <w14:textOutline w14:w="5791" w14:cap="flat" w14:cmpd="sng" w14:algn="ctr">
            <w14:solidFill>
              <w14:srgbClr w14:val="000000"/>
            </w14:solidFill>
            <w14:prstDash w14:val="solid"/>
            <w14:miter w14:val="0"/>
          </w14:textOutline>
        </w:rPr>
        <w:t>表</w:t>
      </w:r>
    </w:p>
    <w:p w14:paraId="7D7A8E6B">
      <w:pPr>
        <w:spacing w:before="134" w:line="221" w:lineRule="auto"/>
        <w:ind w:left="212"/>
        <w:jc w:val="right"/>
        <w:rPr>
          <w:rFonts w:ascii="宋体" w:hAnsi="宋体" w:eastAsia="宋体" w:cs="宋体"/>
          <w:szCs w:val="21"/>
          <w:highlight w:val="none"/>
        </w:rPr>
      </w:pPr>
      <w:r>
        <w:rPr>
          <w:rFonts w:ascii="宋体" w:hAnsi="宋体" w:eastAsia="宋体" w:cs="宋体"/>
          <w:spacing w:val="-1"/>
          <w:szCs w:val="21"/>
          <w:highlight w:val="none"/>
        </w:rPr>
        <w:t xml:space="preserve">                                       </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p w14:paraId="0D73C51B">
      <w:pPr>
        <w:rPr>
          <w:highlight w:val="none"/>
        </w:rPr>
      </w:pPr>
    </w:p>
    <w:p w14:paraId="2DC37376">
      <w:pPr>
        <w:spacing w:line="20" w:lineRule="exact"/>
        <w:rPr>
          <w:highlight w:val="none"/>
        </w:rPr>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4E4F98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3A2D0C40">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序号</w:t>
            </w:r>
          </w:p>
        </w:tc>
        <w:tc>
          <w:tcPr>
            <w:tcW w:w="3625" w:type="dxa"/>
            <w:vAlign w:val="center"/>
          </w:tcPr>
          <w:p w14:paraId="230FDACD">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内       容</w:t>
            </w:r>
          </w:p>
        </w:tc>
        <w:tc>
          <w:tcPr>
            <w:tcW w:w="1126" w:type="dxa"/>
            <w:vAlign w:val="center"/>
          </w:tcPr>
          <w:p w14:paraId="6CA117C1">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单位</w:t>
            </w:r>
          </w:p>
        </w:tc>
        <w:tc>
          <w:tcPr>
            <w:tcW w:w="1138" w:type="dxa"/>
            <w:vAlign w:val="center"/>
          </w:tcPr>
          <w:p w14:paraId="2BA53867">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单价(元)（不含税）</w:t>
            </w:r>
          </w:p>
        </w:tc>
        <w:tc>
          <w:tcPr>
            <w:tcW w:w="1138" w:type="dxa"/>
            <w:vAlign w:val="center"/>
          </w:tcPr>
          <w:p w14:paraId="66B54487">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数量</w:t>
            </w:r>
          </w:p>
        </w:tc>
        <w:tc>
          <w:tcPr>
            <w:tcW w:w="2449" w:type="dxa"/>
            <w:vAlign w:val="center"/>
          </w:tcPr>
          <w:p w14:paraId="6074126C">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价格(元)（不含税）</w:t>
            </w:r>
          </w:p>
        </w:tc>
        <w:tc>
          <w:tcPr>
            <w:tcW w:w="3328" w:type="dxa"/>
            <w:vAlign w:val="center"/>
          </w:tcPr>
          <w:p w14:paraId="413DD736">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详 细 说 明</w:t>
            </w:r>
          </w:p>
        </w:tc>
      </w:tr>
      <w:tr w14:paraId="31A964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78604ECF">
            <w:pPr>
              <w:spacing w:before="300" w:line="186" w:lineRule="auto"/>
              <w:jc w:val="center"/>
              <w:rPr>
                <w:rFonts w:ascii="宋体" w:hAnsi="宋体" w:eastAsia="宋体" w:cs="宋体"/>
                <w:szCs w:val="21"/>
                <w:highlight w:val="none"/>
              </w:rPr>
            </w:pPr>
            <w:r>
              <w:rPr>
                <w:rFonts w:ascii="宋体" w:hAnsi="宋体" w:eastAsia="宋体" w:cs="宋体"/>
                <w:szCs w:val="21"/>
                <w:highlight w:val="none"/>
              </w:rPr>
              <w:t>1</w:t>
            </w:r>
          </w:p>
        </w:tc>
        <w:tc>
          <w:tcPr>
            <w:tcW w:w="3625" w:type="dxa"/>
            <w:vAlign w:val="center"/>
          </w:tcPr>
          <w:p w14:paraId="4DD9959A">
            <w:pPr>
              <w:spacing w:before="266" w:line="221" w:lineRule="auto"/>
              <w:jc w:val="center"/>
              <w:rPr>
                <w:rFonts w:ascii="宋体" w:hAnsi="宋体" w:eastAsia="宋体" w:cs="宋体"/>
                <w:szCs w:val="21"/>
                <w:highlight w:val="none"/>
              </w:rPr>
            </w:pPr>
            <w:r>
              <w:rPr>
                <w:rFonts w:ascii="宋体" w:hAnsi="宋体" w:eastAsia="宋体" w:cs="宋体"/>
                <w:spacing w:val="-1"/>
                <w:szCs w:val="21"/>
                <w:highlight w:val="none"/>
              </w:rPr>
              <w:t>现场</w:t>
            </w:r>
            <w:r>
              <w:rPr>
                <w:rFonts w:hint="eastAsia" w:ascii="宋体" w:hAnsi="宋体" w:eastAsia="宋体" w:cs="宋体"/>
                <w:spacing w:val="-1"/>
                <w:szCs w:val="21"/>
                <w:highlight w:val="none"/>
              </w:rPr>
              <w:t>安装调试</w:t>
            </w:r>
          </w:p>
        </w:tc>
        <w:tc>
          <w:tcPr>
            <w:tcW w:w="1126" w:type="dxa"/>
          </w:tcPr>
          <w:p w14:paraId="1BD0AC3E">
            <w:pPr>
              <w:spacing w:before="266" w:line="221" w:lineRule="auto"/>
              <w:jc w:val="center"/>
              <w:rPr>
                <w:rFonts w:ascii="宋体" w:hAnsi="宋体" w:eastAsia="宋体" w:cs="宋体"/>
                <w:spacing w:val="-2"/>
                <w:szCs w:val="21"/>
                <w:highlight w:val="none"/>
              </w:rPr>
            </w:pPr>
            <w:r>
              <w:rPr>
                <w:rFonts w:ascii="宋体" w:hAnsi="宋体" w:eastAsia="宋体" w:cs="宋体"/>
                <w:spacing w:val="-1"/>
                <w:szCs w:val="21"/>
                <w:highlight w:val="none"/>
              </w:rPr>
              <w:t>人</w:t>
            </w:r>
            <w:r>
              <w:rPr>
                <w:rFonts w:hint="eastAsia" w:ascii="宋体" w:hAnsi="宋体" w:eastAsia="宋体" w:cs="宋体"/>
                <w:spacing w:val="-1"/>
                <w:szCs w:val="21"/>
                <w:highlight w:val="none"/>
              </w:rPr>
              <w:t>·</w:t>
            </w:r>
            <w:r>
              <w:rPr>
                <w:rFonts w:ascii="宋体" w:hAnsi="宋体" w:eastAsia="宋体" w:cs="宋体"/>
                <w:spacing w:val="-1"/>
                <w:szCs w:val="21"/>
                <w:highlight w:val="none"/>
              </w:rPr>
              <w:t>天</w:t>
            </w:r>
          </w:p>
        </w:tc>
        <w:tc>
          <w:tcPr>
            <w:tcW w:w="1138" w:type="dxa"/>
          </w:tcPr>
          <w:p w14:paraId="71BB37E6">
            <w:pPr>
              <w:spacing w:before="266" w:line="221" w:lineRule="auto"/>
              <w:jc w:val="center"/>
              <w:rPr>
                <w:rFonts w:ascii="宋体" w:hAnsi="宋体" w:eastAsia="宋体" w:cs="宋体"/>
                <w:spacing w:val="-2"/>
                <w:szCs w:val="21"/>
                <w:highlight w:val="none"/>
              </w:rPr>
            </w:pPr>
          </w:p>
        </w:tc>
        <w:tc>
          <w:tcPr>
            <w:tcW w:w="1138" w:type="dxa"/>
          </w:tcPr>
          <w:p w14:paraId="53A1C8DD">
            <w:pPr>
              <w:spacing w:before="266" w:line="221" w:lineRule="auto"/>
              <w:jc w:val="center"/>
              <w:rPr>
                <w:rFonts w:ascii="宋体" w:hAnsi="宋体" w:eastAsia="宋体" w:cs="宋体"/>
                <w:spacing w:val="-2"/>
                <w:szCs w:val="21"/>
                <w:highlight w:val="none"/>
              </w:rPr>
            </w:pPr>
          </w:p>
        </w:tc>
        <w:tc>
          <w:tcPr>
            <w:tcW w:w="2449" w:type="dxa"/>
          </w:tcPr>
          <w:p w14:paraId="0049A91B">
            <w:pPr>
              <w:rPr>
                <w:rFonts w:ascii="Arial"/>
                <w:highlight w:val="none"/>
              </w:rPr>
            </w:pPr>
          </w:p>
        </w:tc>
        <w:tc>
          <w:tcPr>
            <w:tcW w:w="3328" w:type="dxa"/>
          </w:tcPr>
          <w:p w14:paraId="72246C63">
            <w:pPr>
              <w:spacing w:before="266" w:line="221" w:lineRule="auto"/>
              <w:jc w:val="center"/>
              <w:rPr>
                <w:rFonts w:ascii="宋体" w:hAnsi="宋体" w:eastAsia="宋体" w:cs="宋体"/>
                <w:spacing w:val="-1"/>
                <w:szCs w:val="21"/>
                <w:highlight w:val="none"/>
              </w:rPr>
            </w:pPr>
            <w:r>
              <w:rPr>
                <w:rFonts w:ascii="宋体" w:hAnsi="宋体" w:eastAsia="宋体" w:cs="宋体"/>
                <w:spacing w:val="-1"/>
                <w:szCs w:val="21"/>
                <w:highlight w:val="none"/>
              </w:rPr>
              <w:t>(可另附页)</w:t>
            </w:r>
          </w:p>
        </w:tc>
      </w:tr>
      <w:tr w14:paraId="44C1FC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0AB411A6">
            <w:pPr>
              <w:spacing w:before="302" w:line="185" w:lineRule="auto"/>
              <w:jc w:val="center"/>
              <w:rPr>
                <w:rFonts w:ascii="宋体" w:hAnsi="宋体" w:eastAsia="宋体" w:cs="宋体"/>
                <w:szCs w:val="21"/>
                <w:highlight w:val="none"/>
              </w:rPr>
            </w:pPr>
            <w:r>
              <w:rPr>
                <w:rFonts w:ascii="宋体" w:hAnsi="宋体" w:eastAsia="宋体" w:cs="宋体"/>
                <w:szCs w:val="21"/>
                <w:highlight w:val="none"/>
              </w:rPr>
              <w:t>2</w:t>
            </w:r>
          </w:p>
        </w:tc>
        <w:tc>
          <w:tcPr>
            <w:tcW w:w="3625" w:type="dxa"/>
            <w:vAlign w:val="center"/>
          </w:tcPr>
          <w:p w14:paraId="56B691E6">
            <w:pPr>
              <w:spacing w:before="266" w:line="221" w:lineRule="auto"/>
              <w:jc w:val="center"/>
              <w:rPr>
                <w:rFonts w:ascii="宋体" w:hAnsi="宋体" w:eastAsia="宋体" w:cs="宋体"/>
                <w:szCs w:val="21"/>
                <w:highlight w:val="none"/>
              </w:rPr>
            </w:pPr>
            <w:r>
              <w:rPr>
                <w:rFonts w:ascii="宋体" w:hAnsi="宋体" w:eastAsia="宋体" w:cs="宋体"/>
                <w:spacing w:val="-1"/>
                <w:szCs w:val="21"/>
                <w:highlight w:val="none"/>
              </w:rPr>
              <w:t>性能考核验</w:t>
            </w:r>
            <w:r>
              <w:rPr>
                <w:rFonts w:ascii="宋体" w:hAnsi="宋体" w:eastAsia="宋体" w:cs="宋体"/>
                <w:szCs w:val="21"/>
                <w:highlight w:val="none"/>
              </w:rPr>
              <w:t>收</w:t>
            </w:r>
          </w:p>
        </w:tc>
        <w:tc>
          <w:tcPr>
            <w:tcW w:w="1126" w:type="dxa"/>
          </w:tcPr>
          <w:p w14:paraId="086641E3">
            <w:pPr>
              <w:spacing w:before="266" w:line="221" w:lineRule="auto"/>
              <w:jc w:val="center"/>
              <w:rPr>
                <w:rFonts w:ascii="宋体" w:hAnsi="宋体" w:eastAsia="宋体" w:cs="宋体"/>
                <w:spacing w:val="-2"/>
                <w:szCs w:val="21"/>
                <w:highlight w:val="none"/>
              </w:rPr>
            </w:pPr>
          </w:p>
        </w:tc>
        <w:tc>
          <w:tcPr>
            <w:tcW w:w="1138" w:type="dxa"/>
          </w:tcPr>
          <w:p w14:paraId="13206121">
            <w:pPr>
              <w:spacing w:before="266" w:line="221" w:lineRule="auto"/>
              <w:jc w:val="center"/>
              <w:rPr>
                <w:rFonts w:ascii="宋体" w:hAnsi="宋体" w:eastAsia="宋体" w:cs="宋体"/>
                <w:spacing w:val="-2"/>
                <w:szCs w:val="21"/>
                <w:highlight w:val="none"/>
              </w:rPr>
            </w:pPr>
          </w:p>
        </w:tc>
        <w:tc>
          <w:tcPr>
            <w:tcW w:w="1138" w:type="dxa"/>
          </w:tcPr>
          <w:p w14:paraId="030B5E41">
            <w:pPr>
              <w:spacing w:before="266" w:line="221" w:lineRule="auto"/>
              <w:jc w:val="center"/>
              <w:rPr>
                <w:rFonts w:ascii="宋体" w:hAnsi="宋体" w:eastAsia="宋体" w:cs="宋体"/>
                <w:spacing w:val="-2"/>
                <w:szCs w:val="21"/>
                <w:highlight w:val="none"/>
              </w:rPr>
            </w:pPr>
          </w:p>
        </w:tc>
        <w:tc>
          <w:tcPr>
            <w:tcW w:w="2449" w:type="dxa"/>
          </w:tcPr>
          <w:p w14:paraId="07ACED2B">
            <w:pPr>
              <w:rPr>
                <w:rFonts w:ascii="Arial"/>
                <w:highlight w:val="none"/>
              </w:rPr>
            </w:pPr>
          </w:p>
        </w:tc>
        <w:tc>
          <w:tcPr>
            <w:tcW w:w="3328" w:type="dxa"/>
          </w:tcPr>
          <w:p w14:paraId="638BD0B6">
            <w:pPr>
              <w:spacing w:before="266" w:line="221" w:lineRule="auto"/>
              <w:jc w:val="center"/>
              <w:rPr>
                <w:rFonts w:ascii="宋体" w:hAnsi="宋体" w:eastAsia="宋体" w:cs="宋体"/>
                <w:spacing w:val="-1"/>
                <w:szCs w:val="21"/>
                <w:highlight w:val="none"/>
              </w:rPr>
            </w:pPr>
            <w:r>
              <w:rPr>
                <w:rFonts w:ascii="宋体" w:hAnsi="宋体" w:eastAsia="宋体" w:cs="宋体"/>
                <w:spacing w:val="-1"/>
                <w:szCs w:val="21"/>
                <w:highlight w:val="none"/>
              </w:rPr>
              <w:t>(可另附页)</w:t>
            </w:r>
          </w:p>
        </w:tc>
      </w:tr>
      <w:tr w14:paraId="3A5AB1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vAlign w:val="center"/>
          </w:tcPr>
          <w:p w14:paraId="56B59855">
            <w:pPr>
              <w:spacing w:before="303" w:line="183" w:lineRule="auto"/>
              <w:jc w:val="center"/>
              <w:rPr>
                <w:rFonts w:ascii="宋体" w:hAnsi="宋体" w:eastAsia="宋体" w:cs="宋体"/>
                <w:szCs w:val="21"/>
                <w:highlight w:val="none"/>
              </w:rPr>
            </w:pPr>
            <w:r>
              <w:rPr>
                <w:rFonts w:ascii="宋体" w:hAnsi="宋体" w:eastAsia="宋体" w:cs="宋体"/>
                <w:szCs w:val="21"/>
                <w:highlight w:val="none"/>
              </w:rPr>
              <w:t>3</w:t>
            </w:r>
          </w:p>
        </w:tc>
        <w:tc>
          <w:tcPr>
            <w:tcW w:w="3625" w:type="dxa"/>
            <w:vAlign w:val="center"/>
          </w:tcPr>
          <w:p w14:paraId="04BDBE09">
            <w:pPr>
              <w:spacing w:before="266" w:line="221" w:lineRule="auto"/>
              <w:jc w:val="center"/>
              <w:rPr>
                <w:rFonts w:ascii="宋体" w:hAnsi="宋体" w:eastAsia="宋体" w:cs="宋体"/>
                <w:szCs w:val="21"/>
                <w:highlight w:val="none"/>
              </w:rPr>
            </w:pPr>
            <w:r>
              <w:rPr>
                <w:rFonts w:hint="eastAsia" w:ascii="宋体" w:hAnsi="宋体" w:eastAsia="宋体" w:cs="宋体"/>
                <w:spacing w:val="-2"/>
                <w:szCs w:val="21"/>
                <w:highlight w:val="none"/>
              </w:rPr>
              <w:t>技术</w:t>
            </w:r>
            <w:r>
              <w:rPr>
                <w:rFonts w:ascii="宋体" w:hAnsi="宋体" w:eastAsia="宋体" w:cs="宋体"/>
                <w:spacing w:val="-2"/>
                <w:szCs w:val="21"/>
                <w:highlight w:val="none"/>
              </w:rPr>
              <w:t>培</w:t>
            </w:r>
            <w:r>
              <w:rPr>
                <w:rFonts w:ascii="宋体" w:hAnsi="宋体" w:eastAsia="宋体" w:cs="宋体"/>
                <w:spacing w:val="-1"/>
                <w:szCs w:val="21"/>
                <w:highlight w:val="none"/>
              </w:rPr>
              <w:t>训费</w:t>
            </w:r>
          </w:p>
        </w:tc>
        <w:tc>
          <w:tcPr>
            <w:tcW w:w="1126" w:type="dxa"/>
          </w:tcPr>
          <w:p w14:paraId="67533F20">
            <w:pPr>
              <w:spacing w:before="266" w:line="221" w:lineRule="auto"/>
              <w:jc w:val="center"/>
              <w:rPr>
                <w:rFonts w:ascii="宋体" w:hAnsi="宋体" w:eastAsia="宋体" w:cs="宋体"/>
                <w:spacing w:val="-2"/>
                <w:szCs w:val="21"/>
                <w:highlight w:val="none"/>
              </w:rPr>
            </w:pPr>
            <w:r>
              <w:rPr>
                <w:rFonts w:ascii="宋体" w:hAnsi="宋体" w:eastAsia="宋体" w:cs="宋体"/>
                <w:spacing w:val="-1"/>
                <w:szCs w:val="21"/>
                <w:highlight w:val="none"/>
              </w:rPr>
              <w:t>人</w:t>
            </w:r>
            <w:r>
              <w:rPr>
                <w:rFonts w:hint="eastAsia" w:ascii="宋体" w:hAnsi="宋体" w:eastAsia="宋体" w:cs="宋体"/>
                <w:spacing w:val="-1"/>
                <w:szCs w:val="21"/>
                <w:highlight w:val="none"/>
              </w:rPr>
              <w:t>·</w:t>
            </w:r>
            <w:r>
              <w:rPr>
                <w:rFonts w:ascii="宋体" w:hAnsi="宋体" w:eastAsia="宋体" w:cs="宋体"/>
                <w:spacing w:val="-1"/>
                <w:szCs w:val="21"/>
                <w:highlight w:val="none"/>
              </w:rPr>
              <w:t>天</w:t>
            </w:r>
          </w:p>
        </w:tc>
        <w:tc>
          <w:tcPr>
            <w:tcW w:w="1138" w:type="dxa"/>
          </w:tcPr>
          <w:p w14:paraId="120CB069">
            <w:pPr>
              <w:spacing w:before="266" w:line="221" w:lineRule="auto"/>
              <w:jc w:val="center"/>
              <w:rPr>
                <w:rFonts w:ascii="宋体" w:hAnsi="宋体" w:eastAsia="宋体" w:cs="宋体"/>
                <w:spacing w:val="-2"/>
                <w:szCs w:val="21"/>
                <w:highlight w:val="none"/>
              </w:rPr>
            </w:pPr>
          </w:p>
        </w:tc>
        <w:tc>
          <w:tcPr>
            <w:tcW w:w="1138" w:type="dxa"/>
          </w:tcPr>
          <w:p w14:paraId="715E56BE">
            <w:pPr>
              <w:spacing w:before="266" w:line="221" w:lineRule="auto"/>
              <w:jc w:val="center"/>
              <w:rPr>
                <w:rFonts w:ascii="宋体" w:hAnsi="宋体" w:eastAsia="宋体" w:cs="宋体"/>
                <w:spacing w:val="-2"/>
                <w:szCs w:val="21"/>
                <w:highlight w:val="none"/>
              </w:rPr>
            </w:pPr>
          </w:p>
        </w:tc>
        <w:tc>
          <w:tcPr>
            <w:tcW w:w="2449" w:type="dxa"/>
          </w:tcPr>
          <w:p w14:paraId="2F12B5EC">
            <w:pPr>
              <w:rPr>
                <w:rFonts w:ascii="Arial"/>
                <w:highlight w:val="none"/>
              </w:rPr>
            </w:pPr>
          </w:p>
        </w:tc>
        <w:tc>
          <w:tcPr>
            <w:tcW w:w="3328" w:type="dxa"/>
          </w:tcPr>
          <w:p w14:paraId="7F86A789">
            <w:pPr>
              <w:spacing w:before="266" w:line="221" w:lineRule="auto"/>
              <w:jc w:val="center"/>
              <w:rPr>
                <w:rFonts w:ascii="宋体" w:hAnsi="宋体" w:eastAsia="宋体" w:cs="宋体"/>
                <w:spacing w:val="-1"/>
                <w:szCs w:val="21"/>
                <w:highlight w:val="none"/>
              </w:rPr>
            </w:pPr>
            <w:r>
              <w:rPr>
                <w:rFonts w:ascii="宋体" w:hAnsi="宋体" w:eastAsia="宋体" w:cs="宋体"/>
                <w:spacing w:val="-1"/>
                <w:szCs w:val="21"/>
                <w:highlight w:val="none"/>
              </w:rPr>
              <w:t>(可另附页)</w:t>
            </w:r>
          </w:p>
        </w:tc>
      </w:tr>
      <w:tr w14:paraId="7BC316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644FB478">
            <w:pPr>
              <w:spacing w:before="306" w:line="182" w:lineRule="auto"/>
              <w:jc w:val="center"/>
              <w:rPr>
                <w:rFonts w:ascii="宋体" w:hAnsi="宋体" w:eastAsia="宋体" w:cs="宋体"/>
                <w:szCs w:val="21"/>
                <w:highlight w:val="none"/>
              </w:rPr>
            </w:pPr>
            <w:r>
              <w:rPr>
                <w:rFonts w:hint="eastAsia" w:ascii="宋体" w:hAnsi="宋体" w:eastAsia="宋体" w:cs="宋体"/>
                <w:szCs w:val="21"/>
                <w:highlight w:val="none"/>
              </w:rPr>
              <w:t>4</w:t>
            </w:r>
          </w:p>
        </w:tc>
        <w:tc>
          <w:tcPr>
            <w:tcW w:w="3625" w:type="dxa"/>
            <w:vAlign w:val="center"/>
          </w:tcPr>
          <w:p w14:paraId="3C520278">
            <w:pPr>
              <w:spacing w:before="268" w:line="221" w:lineRule="auto"/>
              <w:jc w:val="center"/>
              <w:rPr>
                <w:rFonts w:ascii="宋体" w:hAnsi="宋体" w:eastAsia="宋体" w:cs="宋体"/>
                <w:szCs w:val="21"/>
                <w:highlight w:val="none"/>
              </w:rPr>
            </w:pPr>
            <w:r>
              <w:rPr>
                <w:rFonts w:ascii="宋体" w:hAnsi="宋体" w:eastAsia="宋体" w:cs="宋体"/>
                <w:spacing w:val="15"/>
                <w:szCs w:val="21"/>
                <w:highlight w:val="none"/>
              </w:rPr>
              <w:t>其</w:t>
            </w:r>
            <w:r>
              <w:rPr>
                <w:rFonts w:ascii="宋体" w:hAnsi="宋体" w:eastAsia="宋体" w:cs="宋体"/>
                <w:spacing w:val="12"/>
                <w:szCs w:val="21"/>
                <w:highlight w:val="none"/>
              </w:rPr>
              <w:t>它(列出明细)</w:t>
            </w:r>
          </w:p>
        </w:tc>
        <w:tc>
          <w:tcPr>
            <w:tcW w:w="1126" w:type="dxa"/>
          </w:tcPr>
          <w:p w14:paraId="3CEE6A8C">
            <w:pPr>
              <w:spacing w:before="266" w:line="221" w:lineRule="auto"/>
              <w:jc w:val="center"/>
              <w:rPr>
                <w:rFonts w:ascii="宋体" w:hAnsi="宋体" w:eastAsia="宋体" w:cs="宋体"/>
                <w:spacing w:val="-2"/>
                <w:szCs w:val="21"/>
                <w:highlight w:val="none"/>
              </w:rPr>
            </w:pPr>
          </w:p>
        </w:tc>
        <w:tc>
          <w:tcPr>
            <w:tcW w:w="1138" w:type="dxa"/>
          </w:tcPr>
          <w:p w14:paraId="65FA8849">
            <w:pPr>
              <w:spacing w:before="266" w:line="221" w:lineRule="auto"/>
              <w:jc w:val="center"/>
              <w:rPr>
                <w:rFonts w:ascii="宋体" w:hAnsi="宋体" w:eastAsia="宋体" w:cs="宋体"/>
                <w:spacing w:val="-2"/>
                <w:szCs w:val="21"/>
                <w:highlight w:val="none"/>
              </w:rPr>
            </w:pPr>
          </w:p>
        </w:tc>
        <w:tc>
          <w:tcPr>
            <w:tcW w:w="1138" w:type="dxa"/>
          </w:tcPr>
          <w:p w14:paraId="5A0B06D3">
            <w:pPr>
              <w:spacing w:before="266" w:line="221" w:lineRule="auto"/>
              <w:jc w:val="center"/>
              <w:rPr>
                <w:rFonts w:ascii="宋体" w:hAnsi="宋体" w:eastAsia="宋体" w:cs="宋体"/>
                <w:spacing w:val="-2"/>
                <w:szCs w:val="21"/>
                <w:highlight w:val="none"/>
              </w:rPr>
            </w:pPr>
          </w:p>
        </w:tc>
        <w:tc>
          <w:tcPr>
            <w:tcW w:w="2449" w:type="dxa"/>
          </w:tcPr>
          <w:p w14:paraId="0DB01D28">
            <w:pPr>
              <w:rPr>
                <w:rFonts w:ascii="Arial"/>
                <w:highlight w:val="none"/>
              </w:rPr>
            </w:pPr>
          </w:p>
        </w:tc>
        <w:tc>
          <w:tcPr>
            <w:tcW w:w="3328" w:type="dxa"/>
          </w:tcPr>
          <w:p w14:paraId="5B1BB646">
            <w:pPr>
              <w:spacing w:before="266" w:line="221" w:lineRule="auto"/>
              <w:jc w:val="center"/>
              <w:rPr>
                <w:rFonts w:ascii="宋体" w:hAnsi="宋体" w:eastAsia="宋体" w:cs="宋体"/>
                <w:spacing w:val="-1"/>
                <w:szCs w:val="21"/>
                <w:highlight w:val="none"/>
              </w:rPr>
            </w:pPr>
            <w:r>
              <w:rPr>
                <w:rFonts w:ascii="宋体" w:hAnsi="宋体" w:eastAsia="宋体" w:cs="宋体"/>
                <w:spacing w:val="-1"/>
                <w:szCs w:val="21"/>
                <w:highlight w:val="none"/>
              </w:rPr>
              <w:t>(可另附页)</w:t>
            </w:r>
          </w:p>
        </w:tc>
      </w:tr>
      <w:tr w14:paraId="6AED18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58222BE0">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9</w:t>
            </w: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5</w:t>
            </w:r>
          </w:p>
        </w:tc>
        <w:tc>
          <w:tcPr>
            <w:tcW w:w="1126" w:type="dxa"/>
            <w:tcBorders>
              <w:right w:val="nil"/>
            </w:tcBorders>
          </w:tcPr>
          <w:p w14:paraId="3BF3836F">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p>
        </w:tc>
        <w:tc>
          <w:tcPr>
            <w:tcW w:w="1138" w:type="dxa"/>
            <w:tcBorders>
              <w:right w:val="nil"/>
            </w:tcBorders>
          </w:tcPr>
          <w:p w14:paraId="43723B4D">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p>
        </w:tc>
        <w:tc>
          <w:tcPr>
            <w:tcW w:w="1138" w:type="dxa"/>
            <w:tcBorders>
              <w:right w:val="nil"/>
            </w:tcBorders>
          </w:tcPr>
          <w:p w14:paraId="0796E55B">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p>
        </w:tc>
        <w:tc>
          <w:tcPr>
            <w:tcW w:w="2449" w:type="dxa"/>
            <w:tcBorders>
              <w:right w:val="nil"/>
            </w:tcBorders>
          </w:tcPr>
          <w:p w14:paraId="4B8E80DA">
            <w:pPr>
              <w:spacing w:before="266" w:line="221" w:lineRule="auto"/>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highlight w:val="none"/>
              </w:rPr>
              <w:t>（不含税）</w:t>
            </w: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w:t>
            </w:r>
          </w:p>
        </w:tc>
        <w:tc>
          <w:tcPr>
            <w:tcW w:w="3328" w:type="dxa"/>
            <w:tcBorders>
              <w:left w:val="nil"/>
            </w:tcBorders>
          </w:tcPr>
          <w:p w14:paraId="59FF694F">
            <w:pPr>
              <w:spacing w:before="266" w:line="221" w:lineRule="auto"/>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元</w:t>
            </w:r>
          </w:p>
        </w:tc>
      </w:tr>
    </w:tbl>
    <w:p w14:paraId="16BFD22B">
      <w:pPr>
        <w:spacing w:before="78" w:line="224" w:lineRule="auto"/>
        <w:ind w:firstLine="178" w:firstLineChars="100"/>
        <w:rPr>
          <w:rFonts w:ascii="宋体" w:hAnsi="宋体" w:eastAsia="宋体" w:cs="宋体"/>
          <w:spacing w:val="-8"/>
          <w:szCs w:val="21"/>
          <w:highlight w:val="none"/>
        </w:rPr>
      </w:pPr>
      <w:r>
        <w:rPr>
          <w:rFonts w:ascii="宋体" w:hAnsi="宋体" w:eastAsia="宋体" w:cs="宋体"/>
          <w:spacing w:val="-16"/>
          <w:szCs w:val="21"/>
          <w:highlight w:val="none"/>
        </w:rPr>
        <w:t>注</w:t>
      </w:r>
      <w:r>
        <w:rPr>
          <w:rFonts w:ascii="宋体" w:hAnsi="宋体" w:eastAsia="宋体" w:cs="宋体"/>
          <w:spacing w:val="-8"/>
          <w:szCs w:val="21"/>
          <w:highlight w:val="none"/>
        </w:rPr>
        <w:t xml:space="preserve">： </w:t>
      </w:r>
      <w:r>
        <w:rPr>
          <w:rFonts w:hint="eastAsia" w:ascii="宋体" w:hAnsi="宋体" w:eastAsia="宋体" w:cs="宋体"/>
          <w:spacing w:val="-8"/>
          <w:szCs w:val="21"/>
          <w:highlight w:val="none"/>
        </w:rPr>
        <w:t xml:space="preserve">  </w:t>
      </w:r>
      <w:r>
        <w:rPr>
          <w:rFonts w:ascii="宋体" w:hAnsi="宋体" w:eastAsia="宋体" w:cs="宋体"/>
          <w:spacing w:val="-8"/>
          <w:szCs w:val="21"/>
          <w:highlight w:val="none"/>
        </w:rPr>
        <w:t>1.投标人需给出价格的详细说明。</w:t>
      </w:r>
    </w:p>
    <w:p w14:paraId="2369DE1F">
      <w:pPr>
        <w:spacing w:before="75" w:line="219" w:lineRule="auto"/>
        <w:ind w:left="409" w:firstLine="396" w:firstLineChars="200"/>
        <w:rPr>
          <w:highlight w:val="none"/>
        </w:rPr>
      </w:pPr>
      <w:r>
        <w:rPr>
          <w:rFonts w:ascii="宋体" w:hAnsi="宋体" w:eastAsia="宋体" w:cs="宋体"/>
          <w:spacing w:val="-6"/>
          <w:szCs w:val="21"/>
          <w:highlight w:val="none"/>
        </w:rPr>
        <w:t>2.如果按单</w:t>
      </w:r>
      <w:r>
        <w:rPr>
          <w:rFonts w:ascii="宋体" w:hAnsi="宋体" w:eastAsia="宋体" w:cs="宋体"/>
          <w:spacing w:val="-5"/>
          <w:szCs w:val="21"/>
          <w:highlight w:val="none"/>
        </w:rPr>
        <w:t>价</w:t>
      </w:r>
      <w:r>
        <w:rPr>
          <w:rFonts w:ascii="宋体" w:hAnsi="宋体" w:eastAsia="宋体" w:cs="宋体"/>
          <w:spacing w:val="-3"/>
          <w:szCs w:val="21"/>
          <w:highlight w:val="none"/>
        </w:rPr>
        <w:t>计算的结果与总价不一致， 以单价为准修正总价。</w:t>
      </w:r>
    </w:p>
    <w:p w14:paraId="094C2D7D">
      <w:pPr>
        <w:spacing w:before="35" w:line="239" w:lineRule="auto"/>
        <w:ind w:firstLine="824" w:firstLineChars="400"/>
        <w:rPr>
          <w:rFonts w:ascii="宋体" w:hAnsi="宋体" w:eastAsia="宋体" w:cs="宋体"/>
          <w:szCs w:val="21"/>
          <w:highlight w:val="none"/>
        </w:rPr>
      </w:pPr>
      <w:r>
        <w:rPr>
          <w:rFonts w:hint="eastAsia" w:ascii="宋体" w:hAnsi="宋体" w:eastAsia="宋体" w:cs="宋体"/>
          <w:spacing w:val="-2"/>
          <w:szCs w:val="21"/>
          <w:highlight w:val="none"/>
        </w:rPr>
        <w:t>3</w:t>
      </w:r>
      <w:r>
        <w:rPr>
          <w:rFonts w:ascii="宋体" w:hAnsi="宋体" w:eastAsia="宋体" w:cs="宋体"/>
          <w:spacing w:val="-2"/>
          <w:szCs w:val="21"/>
          <w:highlight w:val="none"/>
        </w:rPr>
        <w:t>.此分项</w:t>
      </w:r>
      <w:r>
        <w:rPr>
          <w:rFonts w:ascii="宋体" w:hAnsi="宋体" w:eastAsia="宋体" w:cs="宋体"/>
          <w:spacing w:val="-1"/>
          <w:szCs w:val="21"/>
          <w:highlight w:val="none"/>
        </w:rPr>
        <w:t>报价，仅是为了方便招标人对投标文件进行比较，不作为限制订立合同的条件。</w:t>
      </w:r>
    </w:p>
    <w:p w14:paraId="338F64C3">
      <w:pPr>
        <w:spacing w:before="78" w:line="219" w:lineRule="auto"/>
        <w:ind w:firstLine="792" w:firstLineChars="400"/>
        <w:rPr>
          <w:rFonts w:ascii="宋体" w:hAnsi="宋体" w:eastAsia="宋体" w:cs="宋体"/>
          <w:spacing w:val="-6"/>
          <w:szCs w:val="21"/>
          <w:highlight w:val="none"/>
        </w:rPr>
      </w:pPr>
      <w:r>
        <w:rPr>
          <w:rFonts w:hint="eastAsia" w:ascii="宋体" w:hAnsi="宋体" w:eastAsia="宋体" w:cs="宋体"/>
          <w:spacing w:val="-6"/>
          <w:szCs w:val="21"/>
          <w:highlight w:val="none"/>
        </w:rPr>
        <w:t>4.如上表中的有关费用投标人免费提供，请注明“免费”字样。</w:t>
      </w:r>
    </w:p>
    <w:p w14:paraId="05696796">
      <w:pPr>
        <w:spacing w:before="78" w:line="219" w:lineRule="auto"/>
        <w:ind w:firstLine="792" w:firstLineChars="400"/>
        <w:rPr>
          <w:rFonts w:ascii="宋体" w:hAnsi="宋体" w:eastAsia="宋体" w:cs="宋体"/>
          <w:spacing w:val="-6"/>
          <w:szCs w:val="21"/>
          <w:highlight w:val="none"/>
        </w:rPr>
      </w:pPr>
      <w:r>
        <w:rPr>
          <w:rFonts w:hint="eastAsia" w:ascii="宋体" w:hAnsi="宋体" w:eastAsia="宋体" w:cs="宋体"/>
          <w:spacing w:val="-6"/>
          <w:szCs w:val="21"/>
          <w:highlight w:val="none"/>
        </w:rPr>
        <w:t>5.该明细表所有信息均为必填项，不得删减，价格部分不得合并，可细化可增加。</w:t>
      </w:r>
    </w:p>
    <w:p w14:paraId="17BB09B4">
      <w:pPr>
        <w:spacing w:before="78" w:line="219" w:lineRule="auto"/>
        <w:ind w:firstLine="792" w:firstLineChars="400"/>
        <w:rPr>
          <w:rFonts w:ascii="宋体" w:hAnsi="宋体" w:eastAsia="宋体" w:cs="宋体"/>
          <w:spacing w:val="-6"/>
          <w:szCs w:val="21"/>
          <w:highlight w:val="none"/>
        </w:rPr>
      </w:pPr>
      <w:r>
        <w:rPr>
          <w:rFonts w:hint="eastAsia" w:ascii="宋体" w:hAnsi="宋体" w:eastAsia="宋体" w:cs="宋体"/>
          <w:spacing w:val="-6"/>
          <w:szCs w:val="21"/>
          <w:highlight w:val="none"/>
        </w:rPr>
        <w:t>6.因填写不规范造成废标及终止招标的，责任由投标人自负。</w:t>
      </w:r>
    </w:p>
    <w:p w14:paraId="780E4367">
      <w:pPr>
        <w:rPr>
          <w:highlight w:val="none"/>
        </w:rPr>
      </w:pPr>
    </w:p>
    <w:p w14:paraId="3795792C">
      <w:pPr>
        <w:pStyle w:val="17"/>
        <w:rPr>
          <w:highlight w:val="none"/>
        </w:rPr>
      </w:pPr>
    </w:p>
    <w:p w14:paraId="0DDB6059">
      <w:pPr>
        <w:spacing w:before="35" w:line="239" w:lineRule="auto"/>
        <w:ind w:left="724"/>
        <w:rPr>
          <w:rFonts w:ascii="宋体" w:hAnsi="宋体" w:eastAsia="宋体" w:cs="宋体"/>
          <w:spacing w:val="-1"/>
          <w:sz w:val="24"/>
          <w:szCs w:val="24"/>
          <w:highlight w:val="none"/>
        </w:rPr>
      </w:pPr>
      <w:r>
        <w:rPr>
          <w:rFonts w:ascii="宋体" w:hAnsi="宋体" w:eastAsia="宋体" w:cs="宋体"/>
          <w:spacing w:val="-2"/>
          <w:sz w:val="24"/>
          <w:szCs w:val="24"/>
          <w:highlight w:val="none"/>
        </w:rPr>
        <w:t>投标人(章)：</w:t>
      </w:r>
      <w:r>
        <w:rPr>
          <w:rFonts w:ascii="宋体" w:hAnsi="宋体" w:eastAsia="宋体" w:cs="宋体"/>
          <w:spacing w:val="6"/>
          <w:szCs w:val="21"/>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1"/>
          <w:sz w:val="24"/>
          <w:szCs w:val="24"/>
          <w:highlight w:val="none"/>
        </w:rPr>
        <w:t xml:space="preserve">授权代表(签字)： </w:t>
      </w:r>
      <w:r>
        <w:rPr>
          <w:rFonts w:ascii="宋体" w:hAnsi="宋体" w:eastAsia="宋体" w:cs="宋体"/>
          <w:spacing w:val="3"/>
          <w:szCs w:val="21"/>
          <w:highlight w:val="none"/>
        </w:rPr>
        <w:t xml:space="preserve">                             </w:t>
      </w:r>
      <w:r>
        <w:rPr>
          <w:rFonts w:ascii="宋体" w:hAnsi="宋体" w:eastAsia="宋体" w:cs="宋体"/>
          <w:spacing w:val="-1"/>
          <w:sz w:val="24"/>
          <w:szCs w:val="24"/>
          <w:highlight w:val="none"/>
        </w:rPr>
        <w:t>年  月  日</w:t>
      </w:r>
    </w:p>
    <w:p w14:paraId="63FBD02D">
      <w:pPr>
        <w:spacing w:before="35" w:line="239" w:lineRule="auto"/>
        <w:ind w:left="724"/>
        <w:rPr>
          <w:rFonts w:ascii="宋体" w:hAnsi="宋体" w:eastAsia="宋体" w:cs="宋体"/>
          <w:spacing w:val="-1"/>
          <w:sz w:val="24"/>
          <w:szCs w:val="24"/>
          <w:highlight w:val="none"/>
        </w:rPr>
        <w:sectPr>
          <w:footerReference r:id="rId33" w:type="default"/>
          <w:pgSz w:w="16841" w:h="11907"/>
          <w:pgMar w:top="400" w:right="1699" w:bottom="1184" w:left="1481" w:header="0" w:footer="1022" w:gutter="0"/>
          <w:pgNumType w:fmt="decimal"/>
          <w:cols w:space="720" w:num="1"/>
        </w:sectPr>
      </w:pPr>
    </w:p>
    <w:p w14:paraId="1001E4DE">
      <w:pPr>
        <w:pStyle w:val="6"/>
        <w:jc w:val="left"/>
        <w:rPr>
          <w:rFonts w:ascii="宋体" w:hAnsi="宋体" w:eastAsia="宋体" w:cs="宋体"/>
          <w:sz w:val="24"/>
          <w:szCs w:val="24"/>
          <w:highlight w:val="none"/>
        </w:rPr>
      </w:pPr>
      <w:r>
        <w:rPr>
          <w:rFonts w:ascii="宋体" w:hAnsi="宋体" w:eastAsia="宋体" w:cs="宋体"/>
          <w:spacing w:val="-10"/>
          <w:sz w:val="24"/>
          <w:szCs w:val="24"/>
          <w:highlight w:val="none"/>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highlight w:val="none"/>
        </w:rPr>
        <w:t xml:space="preserve"> </w:t>
      </w:r>
      <w:r>
        <w:rPr>
          <w:rFonts w:hint="eastAsia" w:ascii="宋体" w:hAnsi="宋体" w:eastAsia="宋体" w:cs="宋体"/>
          <w:spacing w:val="-9"/>
          <w:sz w:val="24"/>
          <w:szCs w:val="24"/>
          <w:highlight w:val="none"/>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highlight w:val="none"/>
          <w14:textOutline w14:w="3835" w14:cap="flat" w14:cmpd="sng" w14:algn="ctr">
            <w14:solidFill>
              <w14:srgbClr w14:val="000000"/>
            </w14:solidFill>
            <w14:prstDash w14:val="solid"/>
            <w14:miter w14:val="0"/>
          </w14:textOutline>
        </w:rPr>
        <w:t>4</w:t>
      </w:r>
    </w:p>
    <w:p w14:paraId="58E54BF4">
      <w:pPr>
        <w:spacing w:before="125" w:line="294" w:lineRule="auto"/>
        <w:ind w:left="6150" w:right="1626" w:hanging="4500"/>
        <w:rPr>
          <w:rFonts w:ascii="宋体" w:hAnsi="宋体" w:eastAsia="宋体" w:cs="宋体"/>
          <w:sz w:val="24"/>
          <w:szCs w:val="24"/>
          <w:highlight w:val="none"/>
        </w:rPr>
      </w:pPr>
      <w:r>
        <w:rPr>
          <w:rFonts w:ascii="宋体" w:hAnsi="宋体" w:eastAsia="宋体" w:cs="宋体"/>
          <w:spacing w:val="10"/>
          <w:sz w:val="24"/>
          <w:szCs w:val="24"/>
          <w:highlight w:val="none"/>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highlight w:val="none"/>
        </w:rPr>
        <w:t xml:space="preserve"> </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highlight w:val="none"/>
          <w14:textOutline w14:w="5791" w14:cap="flat" w14:cmpd="sng" w14:algn="ctr">
            <w14:solidFill>
              <w14:srgbClr w14:val="000000"/>
            </w14:solidFill>
            <w14:prstDash w14:val="solid"/>
            <w14:miter w14:val="0"/>
          </w14:textOutline>
        </w:rPr>
        <w:t>表</w:t>
      </w:r>
    </w:p>
    <w:p w14:paraId="5E96D79F">
      <w:pPr>
        <w:spacing w:line="220" w:lineRule="auto"/>
        <w:ind w:left="1"/>
        <w:jc w:val="right"/>
        <w:rPr>
          <w:rFonts w:ascii="宋体" w:hAnsi="宋体" w:eastAsia="宋体" w:cs="宋体"/>
          <w:szCs w:val="21"/>
          <w:highlight w:val="none"/>
        </w:rPr>
      </w:pPr>
      <w:r>
        <w:rPr>
          <w:rFonts w:ascii="宋体" w:hAnsi="宋体" w:eastAsia="宋体" w:cs="宋体"/>
          <w:spacing w:val="-1"/>
          <w:szCs w:val="21"/>
          <w:highlight w:val="none"/>
        </w:rPr>
        <w:t xml:space="preserve">                                          </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p w14:paraId="36CC3430">
      <w:pPr>
        <w:spacing w:line="172" w:lineRule="exact"/>
        <w:rPr>
          <w:highlight w:val="none"/>
        </w:rPr>
      </w:pPr>
    </w:p>
    <w:tbl>
      <w:tblPr>
        <w:tblStyle w:val="133"/>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118335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14EA7C73">
            <w:pPr>
              <w:spacing w:before="100" w:line="186" w:lineRule="auto"/>
              <w:ind w:left="223"/>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1</w:t>
            </w:r>
          </w:p>
        </w:tc>
        <w:tc>
          <w:tcPr>
            <w:tcW w:w="2543" w:type="dxa"/>
          </w:tcPr>
          <w:p w14:paraId="0DD54503">
            <w:pPr>
              <w:spacing w:before="101" w:line="185" w:lineRule="auto"/>
              <w:ind w:left="122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2</w:t>
            </w:r>
          </w:p>
        </w:tc>
        <w:tc>
          <w:tcPr>
            <w:tcW w:w="2100" w:type="dxa"/>
          </w:tcPr>
          <w:p w14:paraId="1BA47085">
            <w:pPr>
              <w:spacing w:before="102" w:line="183" w:lineRule="auto"/>
              <w:ind w:left="100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3</w:t>
            </w:r>
          </w:p>
        </w:tc>
        <w:tc>
          <w:tcPr>
            <w:tcW w:w="840" w:type="dxa"/>
          </w:tcPr>
          <w:p w14:paraId="230F4FBC">
            <w:pPr>
              <w:spacing w:before="101" w:line="185" w:lineRule="auto"/>
              <w:ind w:left="371"/>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4</w:t>
            </w:r>
          </w:p>
        </w:tc>
        <w:tc>
          <w:tcPr>
            <w:tcW w:w="2239" w:type="dxa"/>
          </w:tcPr>
          <w:p w14:paraId="25C229AE">
            <w:pPr>
              <w:spacing w:before="103" w:line="182" w:lineRule="auto"/>
              <w:ind w:left="107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5</w:t>
            </w:r>
          </w:p>
        </w:tc>
        <w:tc>
          <w:tcPr>
            <w:tcW w:w="1498" w:type="dxa"/>
          </w:tcPr>
          <w:p w14:paraId="2B5C37A9">
            <w:pPr>
              <w:spacing w:before="102" w:line="183" w:lineRule="auto"/>
              <w:ind w:left="58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6</w:t>
            </w:r>
          </w:p>
        </w:tc>
        <w:tc>
          <w:tcPr>
            <w:tcW w:w="1861" w:type="dxa"/>
          </w:tcPr>
          <w:p w14:paraId="05ABDE87">
            <w:pPr>
              <w:spacing w:before="103" w:line="182" w:lineRule="auto"/>
              <w:ind w:left="1010"/>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7</w:t>
            </w:r>
          </w:p>
        </w:tc>
        <w:tc>
          <w:tcPr>
            <w:tcW w:w="1120" w:type="dxa"/>
          </w:tcPr>
          <w:p w14:paraId="217FD9EF">
            <w:pPr>
              <w:spacing w:before="102" w:line="183" w:lineRule="auto"/>
              <w:ind w:left="516"/>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8</w:t>
            </w:r>
          </w:p>
        </w:tc>
        <w:tc>
          <w:tcPr>
            <w:tcW w:w="1125" w:type="dxa"/>
          </w:tcPr>
          <w:p w14:paraId="4AAC3DF6">
            <w:pPr>
              <w:spacing w:before="102" w:line="183" w:lineRule="auto"/>
              <w:ind w:left="51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9</w:t>
            </w:r>
          </w:p>
        </w:tc>
      </w:tr>
      <w:tr w14:paraId="51B7EA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7E676E9F">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序 号</w:t>
            </w:r>
          </w:p>
        </w:tc>
        <w:tc>
          <w:tcPr>
            <w:tcW w:w="2543" w:type="dxa"/>
            <w:vAlign w:val="center"/>
          </w:tcPr>
          <w:p w14:paraId="0C45B574">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工具名称</w:t>
            </w:r>
          </w:p>
        </w:tc>
        <w:tc>
          <w:tcPr>
            <w:tcW w:w="2100" w:type="dxa"/>
            <w:vAlign w:val="center"/>
          </w:tcPr>
          <w:p w14:paraId="5D6F4280">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规格</w:t>
            </w:r>
          </w:p>
        </w:tc>
        <w:tc>
          <w:tcPr>
            <w:tcW w:w="840" w:type="dxa"/>
            <w:vAlign w:val="center"/>
          </w:tcPr>
          <w:p w14:paraId="303D373B">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数量</w:t>
            </w:r>
          </w:p>
        </w:tc>
        <w:tc>
          <w:tcPr>
            <w:tcW w:w="2239" w:type="dxa"/>
            <w:vAlign w:val="center"/>
          </w:tcPr>
          <w:p w14:paraId="0B5A2987">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原产地和</w:t>
            </w:r>
          </w:p>
          <w:p w14:paraId="59F5F06F">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名称</w:t>
            </w:r>
          </w:p>
        </w:tc>
        <w:tc>
          <w:tcPr>
            <w:tcW w:w="1498" w:type="dxa"/>
            <w:vAlign w:val="center"/>
          </w:tcPr>
          <w:p w14:paraId="32DEDA07">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单价（不含税）</w:t>
            </w:r>
          </w:p>
          <w:p w14:paraId="2E848661">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(元)</w:t>
            </w:r>
          </w:p>
        </w:tc>
        <w:tc>
          <w:tcPr>
            <w:tcW w:w="1861" w:type="dxa"/>
            <w:vAlign w:val="center"/>
          </w:tcPr>
          <w:p w14:paraId="4F2F98EB">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4×6]（不含税）(元)</w:t>
            </w:r>
          </w:p>
        </w:tc>
        <w:tc>
          <w:tcPr>
            <w:tcW w:w="1120" w:type="dxa"/>
            <w:vAlign w:val="center"/>
          </w:tcPr>
          <w:p w14:paraId="1ADF6AD0">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更换</w:t>
            </w:r>
          </w:p>
          <w:p w14:paraId="1257ED49">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周期</w:t>
            </w:r>
          </w:p>
        </w:tc>
        <w:tc>
          <w:tcPr>
            <w:tcW w:w="1125" w:type="dxa"/>
            <w:vAlign w:val="center"/>
          </w:tcPr>
          <w:p w14:paraId="01C56C20">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 xml:space="preserve">  注</w:t>
            </w:r>
          </w:p>
        </w:tc>
      </w:tr>
      <w:tr w14:paraId="320E0C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185759C5">
            <w:pPr>
              <w:spacing w:before="237" w:line="186" w:lineRule="auto"/>
              <w:ind w:left="223"/>
              <w:rPr>
                <w:rFonts w:ascii="宋体" w:hAnsi="宋体" w:eastAsia="宋体" w:cs="宋体"/>
                <w:szCs w:val="21"/>
                <w:highlight w:val="none"/>
              </w:rPr>
            </w:pPr>
            <w:r>
              <w:rPr>
                <w:rFonts w:ascii="宋体" w:hAnsi="宋体" w:eastAsia="宋体" w:cs="宋体"/>
                <w:szCs w:val="21"/>
                <w:highlight w:val="none"/>
              </w:rPr>
              <w:t>1</w:t>
            </w:r>
          </w:p>
        </w:tc>
        <w:tc>
          <w:tcPr>
            <w:tcW w:w="2543" w:type="dxa"/>
          </w:tcPr>
          <w:p w14:paraId="59150D65">
            <w:pPr>
              <w:rPr>
                <w:rFonts w:ascii="Arial"/>
                <w:highlight w:val="none"/>
              </w:rPr>
            </w:pPr>
          </w:p>
        </w:tc>
        <w:tc>
          <w:tcPr>
            <w:tcW w:w="2100" w:type="dxa"/>
          </w:tcPr>
          <w:p w14:paraId="6085C675">
            <w:pPr>
              <w:rPr>
                <w:rFonts w:ascii="Arial"/>
                <w:highlight w:val="none"/>
              </w:rPr>
            </w:pPr>
          </w:p>
        </w:tc>
        <w:tc>
          <w:tcPr>
            <w:tcW w:w="840" w:type="dxa"/>
          </w:tcPr>
          <w:p w14:paraId="6D843028">
            <w:pPr>
              <w:rPr>
                <w:rFonts w:ascii="Arial"/>
                <w:highlight w:val="none"/>
              </w:rPr>
            </w:pPr>
          </w:p>
        </w:tc>
        <w:tc>
          <w:tcPr>
            <w:tcW w:w="2239" w:type="dxa"/>
          </w:tcPr>
          <w:p w14:paraId="41E8955E">
            <w:pPr>
              <w:rPr>
                <w:rFonts w:ascii="Arial"/>
                <w:highlight w:val="none"/>
              </w:rPr>
            </w:pPr>
          </w:p>
        </w:tc>
        <w:tc>
          <w:tcPr>
            <w:tcW w:w="1498" w:type="dxa"/>
          </w:tcPr>
          <w:p w14:paraId="7C1A703F">
            <w:pPr>
              <w:rPr>
                <w:rFonts w:ascii="Arial"/>
                <w:highlight w:val="none"/>
              </w:rPr>
            </w:pPr>
          </w:p>
        </w:tc>
        <w:tc>
          <w:tcPr>
            <w:tcW w:w="1861" w:type="dxa"/>
          </w:tcPr>
          <w:p w14:paraId="22D4BCE1">
            <w:pPr>
              <w:rPr>
                <w:rFonts w:ascii="Arial"/>
                <w:highlight w:val="none"/>
              </w:rPr>
            </w:pPr>
          </w:p>
        </w:tc>
        <w:tc>
          <w:tcPr>
            <w:tcW w:w="1120" w:type="dxa"/>
          </w:tcPr>
          <w:p w14:paraId="1755D0B8">
            <w:pPr>
              <w:rPr>
                <w:rFonts w:ascii="Arial"/>
                <w:highlight w:val="none"/>
              </w:rPr>
            </w:pPr>
          </w:p>
        </w:tc>
        <w:tc>
          <w:tcPr>
            <w:tcW w:w="1125" w:type="dxa"/>
          </w:tcPr>
          <w:p w14:paraId="759F228D">
            <w:pPr>
              <w:rPr>
                <w:rFonts w:ascii="Arial"/>
                <w:highlight w:val="none"/>
              </w:rPr>
            </w:pPr>
          </w:p>
        </w:tc>
      </w:tr>
      <w:tr w14:paraId="7469EB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0EE6ECAB">
            <w:pPr>
              <w:spacing w:before="239" w:line="185" w:lineRule="auto"/>
              <w:ind w:left="210"/>
              <w:rPr>
                <w:rFonts w:ascii="宋体" w:hAnsi="宋体" w:eastAsia="宋体" w:cs="宋体"/>
                <w:szCs w:val="21"/>
                <w:highlight w:val="none"/>
              </w:rPr>
            </w:pPr>
            <w:r>
              <w:rPr>
                <w:rFonts w:ascii="宋体" w:hAnsi="宋体" w:eastAsia="宋体" w:cs="宋体"/>
                <w:szCs w:val="21"/>
                <w:highlight w:val="none"/>
              </w:rPr>
              <w:t>2</w:t>
            </w:r>
          </w:p>
        </w:tc>
        <w:tc>
          <w:tcPr>
            <w:tcW w:w="2543" w:type="dxa"/>
          </w:tcPr>
          <w:p w14:paraId="662E35D9">
            <w:pPr>
              <w:rPr>
                <w:rFonts w:ascii="Arial"/>
                <w:highlight w:val="none"/>
              </w:rPr>
            </w:pPr>
          </w:p>
        </w:tc>
        <w:tc>
          <w:tcPr>
            <w:tcW w:w="2100" w:type="dxa"/>
          </w:tcPr>
          <w:p w14:paraId="7BD3642A">
            <w:pPr>
              <w:rPr>
                <w:rFonts w:ascii="Arial"/>
                <w:highlight w:val="none"/>
              </w:rPr>
            </w:pPr>
          </w:p>
        </w:tc>
        <w:tc>
          <w:tcPr>
            <w:tcW w:w="840" w:type="dxa"/>
          </w:tcPr>
          <w:p w14:paraId="1C849A57">
            <w:pPr>
              <w:rPr>
                <w:rFonts w:ascii="Arial"/>
                <w:highlight w:val="none"/>
              </w:rPr>
            </w:pPr>
          </w:p>
        </w:tc>
        <w:tc>
          <w:tcPr>
            <w:tcW w:w="2239" w:type="dxa"/>
          </w:tcPr>
          <w:p w14:paraId="60BEB874">
            <w:pPr>
              <w:rPr>
                <w:rFonts w:ascii="Arial"/>
                <w:highlight w:val="none"/>
              </w:rPr>
            </w:pPr>
          </w:p>
        </w:tc>
        <w:tc>
          <w:tcPr>
            <w:tcW w:w="1498" w:type="dxa"/>
          </w:tcPr>
          <w:p w14:paraId="793D0882">
            <w:pPr>
              <w:rPr>
                <w:rFonts w:ascii="Arial"/>
                <w:highlight w:val="none"/>
              </w:rPr>
            </w:pPr>
          </w:p>
        </w:tc>
        <w:tc>
          <w:tcPr>
            <w:tcW w:w="1861" w:type="dxa"/>
          </w:tcPr>
          <w:p w14:paraId="2206586F">
            <w:pPr>
              <w:rPr>
                <w:rFonts w:ascii="Arial"/>
                <w:highlight w:val="none"/>
              </w:rPr>
            </w:pPr>
          </w:p>
        </w:tc>
        <w:tc>
          <w:tcPr>
            <w:tcW w:w="1120" w:type="dxa"/>
          </w:tcPr>
          <w:p w14:paraId="794A8B36">
            <w:pPr>
              <w:rPr>
                <w:rFonts w:ascii="Arial"/>
                <w:highlight w:val="none"/>
              </w:rPr>
            </w:pPr>
          </w:p>
        </w:tc>
        <w:tc>
          <w:tcPr>
            <w:tcW w:w="1125" w:type="dxa"/>
          </w:tcPr>
          <w:p w14:paraId="011EC352">
            <w:pPr>
              <w:rPr>
                <w:rFonts w:ascii="Arial"/>
                <w:highlight w:val="none"/>
              </w:rPr>
            </w:pPr>
          </w:p>
        </w:tc>
      </w:tr>
      <w:tr w14:paraId="3F1F3D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12C86E06">
            <w:pPr>
              <w:rPr>
                <w:rFonts w:ascii="Arial"/>
                <w:highlight w:val="none"/>
              </w:rPr>
            </w:pPr>
          </w:p>
        </w:tc>
        <w:tc>
          <w:tcPr>
            <w:tcW w:w="2543" w:type="dxa"/>
          </w:tcPr>
          <w:p w14:paraId="542CDEFD">
            <w:pPr>
              <w:rPr>
                <w:rFonts w:ascii="Arial"/>
                <w:highlight w:val="none"/>
              </w:rPr>
            </w:pPr>
          </w:p>
        </w:tc>
        <w:tc>
          <w:tcPr>
            <w:tcW w:w="2100" w:type="dxa"/>
          </w:tcPr>
          <w:p w14:paraId="55356907">
            <w:pPr>
              <w:rPr>
                <w:rFonts w:ascii="Arial"/>
                <w:highlight w:val="none"/>
              </w:rPr>
            </w:pPr>
          </w:p>
        </w:tc>
        <w:tc>
          <w:tcPr>
            <w:tcW w:w="840" w:type="dxa"/>
          </w:tcPr>
          <w:p w14:paraId="5DEB1C5F">
            <w:pPr>
              <w:rPr>
                <w:rFonts w:ascii="Arial"/>
                <w:highlight w:val="none"/>
              </w:rPr>
            </w:pPr>
          </w:p>
        </w:tc>
        <w:tc>
          <w:tcPr>
            <w:tcW w:w="2239" w:type="dxa"/>
          </w:tcPr>
          <w:p w14:paraId="238E5ADE">
            <w:pPr>
              <w:rPr>
                <w:rFonts w:ascii="Arial"/>
                <w:highlight w:val="none"/>
              </w:rPr>
            </w:pPr>
          </w:p>
        </w:tc>
        <w:tc>
          <w:tcPr>
            <w:tcW w:w="1498" w:type="dxa"/>
          </w:tcPr>
          <w:p w14:paraId="13E0971E">
            <w:pPr>
              <w:rPr>
                <w:rFonts w:ascii="Arial"/>
                <w:highlight w:val="none"/>
              </w:rPr>
            </w:pPr>
          </w:p>
        </w:tc>
        <w:tc>
          <w:tcPr>
            <w:tcW w:w="1861" w:type="dxa"/>
          </w:tcPr>
          <w:p w14:paraId="5DE7F6A5">
            <w:pPr>
              <w:rPr>
                <w:rFonts w:ascii="Arial"/>
                <w:highlight w:val="none"/>
              </w:rPr>
            </w:pPr>
          </w:p>
        </w:tc>
        <w:tc>
          <w:tcPr>
            <w:tcW w:w="1120" w:type="dxa"/>
          </w:tcPr>
          <w:p w14:paraId="2126FBB9">
            <w:pPr>
              <w:rPr>
                <w:rFonts w:ascii="Arial"/>
                <w:highlight w:val="none"/>
              </w:rPr>
            </w:pPr>
          </w:p>
        </w:tc>
        <w:tc>
          <w:tcPr>
            <w:tcW w:w="1125" w:type="dxa"/>
          </w:tcPr>
          <w:p w14:paraId="026C0701">
            <w:pPr>
              <w:rPr>
                <w:rFonts w:ascii="Arial"/>
                <w:highlight w:val="none"/>
              </w:rPr>
            </w:pPr>
          </w:p>
        </w:tc>
      </w:tr>
      <w:tr w14:paraId="6B3B60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361535AD">
            <w:pPr>
              <w:rPr>
                <w:rFonts w:ascii="Arial"/>
                <w:highlight w:val="none"/>
              </w:rPr>
            </w:pPr>
          </w:p>
        </w:tc>
        <w:tc>
          <w:tcPr>
            <w:tcW w:w="2543" w:type="dxa"/>
          </w:tcPr>
          <w:p w14:paraId="079B0F17">
            <w:pPr>
              <w:rPr>
                <w:rFonts w:ascii="Arial"/>
                <w:highlight w:val="none"/>
              </w:rPr>
            </w:pPr>
          </w:p>
        </w:tc>
        <w:tc>
          <w:tcPr>
            <w:tcW w:w="2100" w:type="dxa"/>
          </w:tcPr>
          <w:p w14:paraId="711DFC53">
            <w:pPr>
              <w:rPr>
                <w:rFonts w:ascii="Arial"/>
                <w:highlight w:val="none"/>
              </w:rPr>
            </w:pPr>
          </w:p>
        </w:tc>
        <w:tc>
          <w:tcPr>
            <w:tcW w:w="840" w:type="dxa"/>
          </w:tcPr>
          <w:p w14:paraId="06627944">
            <w:pPr>
              <w:rPr>
                <w:rFonts w:ascii="Arial"/>
                <w:highlight w:val="none"/>
              </w:rPr>
            </w:pPr>
          </w:p>
        </w:tc>
        <w:tc>
          <w:tcPr>
            <w:tcW w:w="2239" w:type="dxa"/>
          </w:tcPr>
          <w:p w14:paraId="70B57D69">
            <w:pPr>
              <w:rPr>
                <w:rFonts w:ascii="Arial"/>
                <w:highlight w:val="none"/>
              </w:rPr>
            </w:pPr>
          </w:p>
        </w:tc>
        <w:tc>
          <w:tcPr>
            <w:tcW w:w="1498" w:type="dxa"/>
          </w:tcPr>
          <w:p w14:paraId="2A9A7498">
            <w:pPr>
              <w:rPr>
                <w:rFonts w:ascii="Arial"/>
                <w:highlight w:val="none"/>
              </w:rPr>
            </w:pPr>
          </w:p>
        </w:tc>
        <w:tc>
          <w:tcPr>
            <w:tcW w:w="1861" w:type="dxa"/>
          </w:tcPr>
          <w:p w14:paraId="610DE532">
            <w:pPr>
              <w:rPr>
                <w:rFonts w:ascii="Arial"/>
                <w:highlight w:val="none"/>
              </w:rPr>
            </w:pPr>
          </w:p>
        </w:tc>
        <w:tc>
          <w:tcPr>
            <w:tcW w:w="1120" w:type="dxa"/>
          </w:tcPr>
          <w:p w14:paraId="1106740F">
            <w:pPr>
              <w:rPr>
                <w:rFonts w:ascii="Arial"/>
                <w:highlight w:val="none"/>
              </w:rPr>
            </w:pPr>
          </w:p>
        </w:tc>
        <w:tc>
          <w:tcPr>
            <w:tcW w:w="1125" w:type="dxa"/>
          </w:tcPr>
          <w:p w14:paraId="2EF21CAC">
            <w:pPr>
              <w:rPr>
                <w:rFonts w:ascii="Arial"/>
                <w:highlight w:val="none"/>
              </w:rPr>
            </w:pPr>
          </w:p>
        </w:tc>
      </w:tr>
      <w:tr w14:paraId="0206C6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7DF14AC0">
            <w:pPr>
              <w:rPr>
                <w:rFonts w:ascii="Arial"/>
                <w:highlight w:val="none"/>
              </w:rPr>
            </w:pPr>
          </w:p>
        </w:tc>
        <w:tc>
          <w:tcPr>
            <w:tcW w:w="2543" w:type="dxa"/>
          </w:tcPr>
          <w:p w14:paraId="10102E70">
            <w:pPr>
              <w:rPr>
                <w:rFonts w:ascii="Arial"/>
                <w:highlight w:val="none"/>
              </w:rPr>
            </w:pPr>
          </w:p>
        </w:tc>
        <w:tc>
          <w:tcPr>
            <w:tcW w:w="2100" w:type="dxa"/>
          </w:tcPr>
          <w:p w14:paraId="710D1218">
            <w:pPr>
              <w:rPr>
                <w:rFonts w:ascii="Arial"/>
                <w:highlight w:val="none"/>
              </w:rPr>
            </w:pPr>
          </w:p>
        </w:tc>
        <w:tc>
          <w:tcPr>
            <w:tcW w:w="840" w:type="dxa"/>
          </w:tcPr>
          <w:p w14:paraId="3F7AC014">
            <w:pPr>
              <w:rPr>
                <w:rFonts w:ascii="Arial"/>
                <w:highlight w:val="none"/>
              </w:rPr>
            </w:pPr>
          </w:p>
        </w:tc>
        <w:tc>
          <w:tcPr>
            <w:tcW w:w="2239" w:type="dxa"/>
          </w:tcPr>
          <w:p w14:paraId="6893F29E">
            <w:pPr>
              <w:rPr>
                <w:rFonts w:ascii="Arial"/>
                <w:highlight w:val="none"/>
              </w:rPr>
            </w:pPr>
          </w:p>
        </w:tc>
        <w:tc>
          <w:tcPr>
            <w:tcW w:w="1498" w:type="dxa"/>
          </w:tcPr>
          <w:p w14:paraId="77B00C90">
            <w:pPr>
              <w:rPr>
                <w:rFonts w:ascii="Arial"/>
                <w:highlight w:val="none"/>
              </w:rPr>
            </w:pPr>
          </w:p>
        </w:tc>
        <w:tc>
          <w:tcPr>
            <w:tcW w:w="1861" w:type="dxa"/>
          </w:tcPr>
          <w:p w14:paraId="18D929BF">
            <w:pPr>
              <w:rPr>
                <w:rFonts w:ascii="Arial"/>
                <w:highlight w:val="none"/>
              </w:rPr>
            </w:pPr>
          </w:p>
        </w:tc>
        <w:tc>
          <w:tcPr>
            <w:tcW w:w="1120" w:type="dxa"/>
          </w:tcPr>
          <w:p w14:paraId="1782197C">
            <w:pPr>
              <w:rPr>
                <w:rFonts w:ascii="Arial"/>
                <w:highlight w:val="none"/>
              </w:rPr>
            </w:pPr>
          </w:p>
        </w:tc>
        <w:tc>
          <w:tcPr>
            <w:tcW w:w="1125" w:type="dxa"/>
          </w:tcPr>
          <w:p w14:paraId="01D98A5F">
            <w:pPr>
              <w:rPr>
                <w:rFonts w:ascii="Arial"/>
                <w:highlight w:val="none"/>
              </w:rPr>
            </w:pPr>
          </w:p>
        </w:tc>
      </w:tr>
      <w:tr w14:paraId="012A3B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4D7BA0D9">
            <w:pPr>
              <w:spacing w:before="207" w:line="219" w:lineRule="auto"/>
              <w:ind w:left="3416"/>
              <w:rPr>
                <w:rFonts w:ascii="宋体" w:hAnsi="宋体" w:eastAsia="宋体" w:cs="宋体"/>
                <w:szCs w:val="21"/>
                <w:highlight w:val="none"/>
              </w:rPr>
            </w:pPr>
            <w:r>
              <w:rPr>
                <w:rFonts w:ascii="宋体" w:hAnsi="宋体" w:eastAsia="宋体" w:cs="宋体"/>
                <w:spacing w:val="-6"/>
                <w:szCs w:val="21"/>
                <w:highlight w:val="none"/>
              </w:rPr>
              <w:t>总</w:t>
            </w:r>
            <w:r>
              <w:rPr>
                <w:rFonts w:ascii="宋体" w:hAnsi="宋体" w:eastAsia="宋体" w:cs="宋体"/>
                <w:spacing w:val="-4"/>
                <w:szCs w:val="21"/>
                <w:highlight w:val="none"/>
              </w:rPr>
              <w:t xml:space="preserve">价合计列入价格汇总表 </w:t>
            </w:r>
            <w:r>
              <w:rPr>
                <w:rFonts w:hint="eastAsia" w:ascii="宋体" w:hAnsi="宋体" w:eastAsia="宋体" w:cs="宋体"/>
                <w:spacing w:val="-4"/>
                <w:szCs w:val="21"/>
                <w:highlight w:val="none"/>
              </w:rPr>
              <w:t>9</w:t>
            </w:r>
            <w:r>
              <w:rPr>
                <w:rFonts w:ascii="宋体" w:hAnsi="宋体" w:eastAsia="宋体" w:cs="宋体"/>
                <w:spacing w:val="-4"/>
                <w:szCs w:val="21"/>
                <w:highlight w:val="none"/>
              </w:rPr>
              <w:t>-</w:t>
            </w:r>
            <w:r>
              <w:rPr>
                <w:rFonts w:hint="eastAsia" w:ascii="宋体" w:hAnsi="宋体" w:eastAsia="宋体" w:cs="宋体"/>
                <w:spacing w:val="-4"/>
                <w:szCs w:val="21"/>
                <w:highlight w:val="none"/>
              </w:rPr>
              <w:t>5</w:t>
            </w:r>
          </w:p>
        </w:tc>
        <w:tc>
          <w:tcPr>
            <w:tcW w:w="4106" w:type="dxa"/>
            <w:gridSpan w:val="3"/>
          </w:tcPr>
          <w:p w14:paraId="573C8F48">
            <w:pPr>
              <w:spacing w:before="207" w:line="219" w:lineRule="auto"/>
              <w:jc w:val="left"/>
              <w:rPr>
                <w:rFonts w:ascii="宋体" w:hAnsi="宋体" w:eastAsia="宋体" w:cs="宋体"/>
                <w:szCs w:val="21"/>
                <w:highlight w:val="none"/>
              </w:rPr>
            </w:pPr>
            <w:r>
              <w:rPr>
                <w:rFonts w:ascii="宋体" w:hAnsi="宋体" w:eastAsia="宋体" w:cs="宋体"/>
                <w:b/>
                <w:bCs/>
                <w:szCs w:val="21"/>
                <w:highlight w:val="none"/>
              </w:rPr>
              <w:t>总价合计</w:t>
            </w:r>
            <w:r>
              <w:rPr>
                <w:rFonts w:hint="eastAsia" w:ascii="宋体" w:hAnsi="宋体" w:eastAsia="宋体" w:cs="宋体"/>
                <w:b/>
                <w:bCs/>
                <w:szCs w:val="21"/>
                <w:highlight w:val="none"/>
              </w:rPr>
              <w:t>（不含税）</w:t>
            </w:r>
            <w:r>
              <w:rPr>
                <w:rFonts w:ascii="宋体" w:hAnsi="宋体" w:eastAsia="宋体" w:cs="宋体"/>
                <w:b/>
                <w:bCs/>
                <w:szCs w:val="21"/>
                <w:highlight w:val="none"/>
              </w:rPr>
              <w:t>￥    元</w:t>
            </w:r>
          </w:p>
        </w:tc>
      </w:tr>
    </w:tbl>
    <w:p w14:paraId="1C36780F">
      <w:pPr>
        <w:spacing w:before="69" w:line="219" w:lineRule="auto"/>
        <w:rPr>
          <w:rFonts w:ascii="宋体" w:hAnsi="宋体" w:eastAsia="宋体" w:cs="宋体"/>
          <w:szCs w:val="21"/>
          <w:highlight w:val="none"/>
        </w:rPr>
      </w:pPr>
      <w:r>
        <w:rPr>
          <w:rFonts w:ascii="宋体" w:hAnsi="宋体" w:eastAsia="宋体" w:cs="宋体"/>
          <w:spacing w:val="-3"/>
          <w:szCs w:val="21"/>
          <w:highlight w:val="none"/>
        </w:rPr>
        <w:t>注：1.本表须详细列出质保期内全部随机备品备件和专用工具等的详细价格</w:t>
      </w:r>
      <w:r>
        <w:rPr>
          <w:rFonts w:ascii="宋体" w:hAnsi="宋体" w:eastAsia="宋体" w:cs="宋体"/>
          <w:spacing w:val="-1"/>
          <w:szCs w:val="21"/>
          <w:highlight w:val="none"/>
        </w:rPr>
        <w:t>。</w:t>
      </w:r>
    </w:p>
    <w:p w14:paraId="2578C059">
      <w:pPr>
        <w:spacing w:before="75" w:line="219" w:lineRule="auto"/>
        <w:ind w:left="409"/>
        <w:rPr>
          <w:rFonts w:ascii="宋体" w:hAnsi="宋体" w:eastAsia="宋体" w:cs="宋体"/>
          <w:szCs w:val="21"/>
          <w:highlight w:val="none"/>
        </w:rPr>
      </w:pPr>
      <w:r>
        <w:rPr>
          <w:rFonts w:ascii="宋体" w:hAnsi="宋体" w:eastAsia="宋体" w:cs="宋体"/>
          <w:spacing w:val="-6"/>
          <w:szCs w:val="21"/>
          <w:highlight w:val="none"/>
        </w:rPr>
        <w:t>2.如果按单</w:t>
      </w:r>
      <w:r>
        <w:rPr>
          <w:rFonts w:ascii="宋体" w:hAnsi="宋体" w:eastAsia="宋体" w:cs="宋体"/>
          <w:spacing w:val="-5"/>
          <w:szCs w:val="21"/>
          <w:highlight w:val="none"/>
        </w:rPr>
        <w:t>价</w:t>
      </w:r>
      <w:r>
        <w:rPr>
          <w:rFonts w:ascii="宋体" w:hAnsi="宋体" w:eastAsia="宋体" w:cs="宋体"/>
          <w:spacing w:val="-3"/>
          <w:szCs w:val="21"/>
          <w:highlight w:val="none"/>
        </w:rPr>
        <w:t>计算的结果与总价不一致， 以单价为准修正总价。</w:t>
      </w:r>
    </w:p>
    <w:p w14:paraId="0D0F5D71">
      <w:pPr>
        <w:spacing w:before="87" w:line="198" w:lineRule="auto"/>
        <w:ind w:left="411"/>
        <w:rPr>
          <w:rFonts w:ascii="宋体" w:hAnsi="宋体" w:eastAsia="宋体" w:cs="宋体"/>
          <w:sz w:val="24"/>
          <w:szCs w:val="24"/>
          <w:highlight w:val="none"/>
        </w:rPr>
      </w:pPr>
      <w:r>
        <w:rPr>
          <w:rFonts w:ascii="宋体" w:hAnsi="宋体" w:eastAsia="宋体" w:cs="宋体"/>
          <w:spacing w:val="-4"/>
          <w:szCs w:val="21"/>
          <w:highlight w:val="none"/>
        </w:rPr>
        <w:t>3.此分项报价， 仅是为了方</w:t>
      </w:r>
      <w:r>
        <w:rPr>
          <w:rFonts w:ascii="宋体" w:hAnsi="宋体" w:eastAsia="宋体" w:cs="宋体"/>
          <w:spacing w:val="-2"/>
          <w:szCs w:val="21"/>
          <w:highlight w:val="none"/>
        </w:rPr>
        <w:t>便招标人对投标文件进行比较，不作为限制订立合同的条件</w:t>
      </w:r>
      <w:r>
        <w:rPr>
          <w:rFonts w:ascii="宋体" w:hAnsi="宋体" w:eastAsia="宋体" w:cs="宋体"/>
          <w:spacing w:val="-2"/>
          <w:sz w:val="24"/>
          <w:szCs w:val="24"/>
          <w:highlight w:val="none"/>
        </w:rPr>
        <w:t>。</w:t>
      </w:r>
    </w:p>
    <w:p w14:paraId="00851C3E">
      <w:pPr>
        <w:spacing w:before="78" w:line="219" w:lineRule="auto"/>
        <w:ind w:firstLine="396" w:firstLineChars="200"/>
        <w:rPr>
          <w:rFonts w:ascii="宋体" w:hAnsi="宋体" w:eastAsia="宋体" w:cs="宋体"/>
          <w:spacing w:val="-6"/>
          <w:szCs w:val="21"/>
          <w:highlight w:val="none"/>
        </w:rPr>
      </w:pPr>
      <w:r>
        <w:rPr>
          <w:rFonts w:hint="eastAsia" w:ascii="宋体" w:hAnsi="宋体" w:eastAsia="宋体" w:cs="宋体"/>
          <w:spacing w:val="-6"/>
          <w:szCs w:val="21"/>
          <w:highlight w:val="none"/>
        </w:rPr>
        <w:t>4.如上表中的有关费用投标人免费提供，请注明“免费”字样。</w:t>
      </w:r>
    </w:p>
    <w:p w14:paraId="02BC85B8">
      <w:pPr>
        <w:spacing w:before="78" w:line="219" w:lineRule="auto"/>
        <w:ind w:firstLine="396" w:firstLineChars="200"/>
        <w:rPr>
          <w:rFonts w:ascii="宋体" w:hAnsi="宋体" w:eastAsia="宋体" w:cs="宋体"/>
          <w:spacing w:val="-6"/>
          <w:szCs w:val="21"/>
          <w:highlight w:val="none"/>
        </w:rPr>
      </w:pPr>
      <w:r>
        <w:rPr>
          <w:rFonts w:hint="eastAsia" w:ascii="宋体" w:hAnsi="宋体" w:eastAsia="宋体" w:cs="宋体"/>
          <w:spacing w:val="-6"/>
          <w:szCs w:val="21"/>
          <w:highlight w:val="none"/>
        </w:rPr>
        <w:t>5.该明细表所有信息均为必填项，不得删减，价格部分不得合并，可细化可增加。</w:t>
      </w:r>
    </w:p>
    <w:p w14:paraId="487C056E">
      <w:pPr>
        <w:spacing w:before="78" w:line="219" w:lineRule="auto"/>
        <w:ind w:firstLine="396" w:firstLineChars="200"/>
        <w:rPr>
          <w:rFonts w:ascii="宋体" w:hAnsi="宋体" w:eastAsia="宋体" w:cs="宋体"/>
          <w:spacing w:val="-6"/>
          <w:szCs w:val="21"/>
          <w:highlight w:val="none"/>
        </w:rPr>
      </w:pPr>
      <w:r>
        <w:rPr>
          <w:rFonts w:hint="eastAsia" w:ascii="宋体" w:hAnsi="宋体" w:eastAsia="宋体" w:cs="宋体"/>
          <w:spacing w:val="-6"/>
          <w:szCs w:val="21"/>
          <w:highlight w:val="none"/>
        </w:rPr>
        <w:t>6.因填写不规范造成废标及终止招标的，责任由投标人自负。</w:t>
      </w:r>
    </w:p>
    <w:p w14:paraId="10F2DC76">
      <w:pPr>
        <w:spacing w:before="140" w:line="220" w:lineRule="auto"/>
        <w:ind w:left="215"/>
        <w:rPr>
          <w:rFonts w:ascii="宋体" w:hAnsi="宋体" w:eastAsia="宋体" w:cs="宋体"/>
          <w:spacing w:val="6"/>
          <w:szCs w:val="21"/>
          <w:highlight w:val="none"/>
          <w14:textOutline w14:w="3835" w14:cap="flat" w14:cmpd="sng" w14:algn="ctr">
            <w14:solidFill>
              <w14:srgbClr w14:val="000000"/>
            </w14:solidFill>
            <w14:prstDash w14:val="solid"/>
            <w14:miter w14:val="0"/>
          </w14:textOutline>
        </w:rPr>
      </w:pPr>
    </w:p>
    <w:p w14:paraId="4912629E">
      <w:pPr>
        <w:spacing w:before="140" w:line="220" w:lineRule="auto"/>
        <w:ind w:left="215"/>
        <w:rPr>
          <w:rFonts w:ascii="宋体" w:hAnsi="宋体" w:eastAsia="宋体" w:cs="宋体"/>
          <w:spacing w:val="6"/>
          <w:szCs w:val="21"/>
          <w:highlight w:val="none"/>
          <w14:textOutline w14:w="3835" w14:cap="flat" w14:cmpd="sng" w14:algn="ctr">
            <w14:solidFill>
              <w14:srgbClr w14:val="000000"/>
            </w14:solidFill>
            <w14:prstDash w14:val="solid"/>
            <w14:miter w14:val="0"/>
          </w14:textOutline>
        </w:rPr>
      </w:pPr>
    </w:p>
    <w:p w14:paraId="018FF8E4">
      <w:pPr>
        <w:spacing w:before="87" w:line="198" w:lineRule="auto"/>
        <w:ind w:left="411"/>
        <w:rPr>
          <w:rFonts w:ascii="宋体" w:hAnsi="宋体" w:eastAsia="宋体" w:cs="宋体"/>
          <w:spacing w:val="-2"/>
          <w:sz w:val="24"/>
          <w:szCs w:val="24"/>
          <w:highlight w:val="none"/>
        </w:rPr>
      </w:pPr>
      <w:r>
        <w:rPr>
          <w:rFonts w:ascii="宋体" w:hAnsi="宋体" w:eastAsia="宋体" w:cs="宋体"/>
          <w:spacing w:val="-4"/>
          <w:sz w:val="24"/>
          <w:szCs w:val="24"/>
          <w:highlight w:val="none"/>
        </w:rPr>
        <w:t xml:space="preserve">投标人(章)： </w:t>
      </w:r>
      <w:r>
        <w:rPr>
          <w:rFonts w:ascii="宋体" w:hAnsi="宋体" w:eastAsia="宋体" w:cs="宋体"/>
          <w:spacing w:val="6"/>
          <w:sz w:val="24"/>
          <w:szCs w:val="24"/>
          <w:highlight w:val="none"/>
        </w:rPr>
        <w:t xml:space="preserve">    </w:t>
      </w:r>
      <w:r>
        <w:rPr>
          <w:rFonts w:ascii="宋体" w:hAnsi="宋体" w:eastAsia="宋体" w:cs="宋体"/>
          <w:spacing w:val="4"/>
          <w:sz w:val="24"/>
          <w:szCs w:val="24"/>
          <w:highlight w:val="none"/>
        </w:rPr>
        <w:t xml:space="preserve"> </w:t>
      </w:r>
      <w:r>
        <w:rPr>
          <w:rFonts w:ascii="宋体" w:hAnsi="宋体" w:eastAsia="宋体" w:cs="宋体"/>
          <w:spacing w:val="3"/>
          <w:sz w:val="24"/>
          <w:szCs w:val="24"/>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2"/>
          <w:sz w:val="24"/>
          <w:szCs w:val="24"/>
          <w:highlight w:val="none"/>
        </w:rPr>
        <w:t xml:space="preserve">授权代表(签字)：  </w:t>
      </w:r>
      <w:r>
        <w:rPr>
          <w:rFonts w:ascii="宋体" w:hAnsi="宋体" w:eastAsia="宋体" w:cs="宋体"/>
          <w:spacing w:val="3"/>
          <w:szCs w:val="21"/>
          <w:highlight w:val="none"/>
        </w:rPr>
        <w:t xml:space="preserve">                         </w:t>
      </w:r>
      <w:r>
        <w:rPr>
          <w:rFonts w:ascii="宋体" w:hAnsi="宋体" w:eastAsia="宋体" w:cs="宋体"/>
          <w:spacing w:val="3"/>
          <w:sz w:val="24"/>
          <w:szCs w:val="24"/>
          <w:highlight w:val="none"/>
        </w:rPr>
        <w:t xml:space="preserve">  </w:t>
      </w:r>
      <w:r>
        <w:rPr>
          <w:rFonts w:ascii="宋体" w:hAnsi="宋体" w:eastAsia="宋体" w:cs="宋体"/>
          <w:spacing w:val="-2"/>
          <w:sz w:val="24"/>
          <w:szCs w:val="24"/>
          <w:highlight w:val="none"/>
        </w:rPr>
        <w:t>年  月  日</w:t>
      </w:r>
    </w:p>
    <w:p w14:paraId="7496DB6E">
      <w:pPr>
        <w:spacing w:before="87" w:line="198" w:lineRule="auto"/>
        <w:ind w:left="411"/>
        <w:rPr>
          <w:rFonts w:ascii="宋体" w:hAnsi="宋体" w:eastAsia="宋体" w:cs="宋体"/>
          <w:spacing w:val="-2"/>
          <w:sz w:val="24"/>
          <w:szCs w:val="24"/>
          <w:highlight w:val="none"/>
        </w:rPr>
        <w:sectPr>
          <w:footerReference r:id="rId34" w:type="default"/>
          <w:pgSz w:w="16841" w:h="11907"/>
          <w:pgMar w:top="400" w:right="1500" w:bottom="1184" w:left="1480" w:header="0" w:footer="1022" w:gutter="0"/>
          <w:pgNumType w:fmt="decimal"/>
          <w:cols w:space="720" w:num="1"/>
        </w:sectPr>
      </w:pPr>
    </w:p>
    <w:p w14:paraId="6189B236">
      <w:pPr>
        <w:pStyle w:val="6"/>
        <w:jc w:val="left"/>
        <w:rPr>
          <w:rFonts w:ascii="宋体" w:hAnsi="宋体" w:eastAsia="宋体" w:cs="宋体"/>
          <w:spacing w:val="-10"/>
          <w:sz w:val="24"/>
          <w:szCs w:val="24"/>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highlight w:val="none"/>
          <w14:textOutline w14:w="3835" w14:cap="flat" w14:cmpd="sng" w14:algn="ctr">
            <w14:solidFill>
              <w14:srgbClr w14:val="000000"/>
            </w14:solidFill>
            <w14:prstDash w14:val="solid"/>
            <w14:miter w14:val="0"/>
          </w14:textOutline>
        </w:rPr>
        <w:t>表 9-5</w:t>
      </w:r>
    </w:p>
    <w:p w14:paraId="60BCC1B9">
      <w:pPr>
        <w:spacing w:before="253" w:line="224" w:lineRule="auto"/>
        <w:ind w:left="6488"/>
        <w:rPr>
          <w:rFonts w:ascii="宋体" w:hAnsi="宋体" w:eastAsia="宋体" w:cs="宋体"/>
          <w:sz w:val="31"/>
          <w:szCs w:val="31"/>
          <w:highlight w:val="none"/>
        </w:rPr>
      </w:pPr>
      <w:r>
        <w:rPr>
          <w:rFonts w:ascii="宋体" w:hAnsi="宋体" w:eastAsia="宋体" w:cs="宋体"/>
          <w:spacing w:val="9"/>
          <w:sz w:val="24"/>
          <w:szCs w:val="24"/>
          <w:highlight w:val="none"/>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格汇总表</w:t>
      </w:r>
    </w:p>
    <w:p w14:paraId="41479BAF">
      <w:pPr>
        <w:spacing w:before="24" w:line="221" w:lineRule="auto"/>
        <w:ind w:left="211" w:firstLine="2310" w:firstLineChars="1100"/>
        <w:jc w:val="right"/>
        <w:rPr>
          <w:rFonts w:ascii="宋体" w:hAnsi="宋体" w:eastAsia="宋体" w:cs="宋体"/>
          <w:szCs w:val="21"/>
          <w:highlight w:val="none"/>
        </w:rPr>
      </w:pP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p w14:paraId="66A89BA2">
      <w:pPr>
        <w:spacing w:line="127" w:lineRule="exact"/>
        <w:rPr>
          <w:highlight w:val="none"/>
        </w:rPr>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5309FB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6F5DF10D">
            <w:pPr>
              <w:spacing w:before="276" w:line="222" w:lineRule="auto"/>
              <w:ind w:left="334"/>
              <w:rPr>
                <w:rFonts w:ascii="宋体" w:hAnsi="宋体" w:eastAsia="宋体" w:cs="宋体"/>
                <w:szCs w:val="21"/>
                <w:highlight w:val="none"/>
              </w:rPr>
            </w:pPr>
            <w:r>
              <w:rPr>
                <w:rFonts w:ascii="宋体" w:hAnsi="宋体" w:eastAsia="宋体" w:cs="宋体"/>
                <w:spacing w:val="-2"/>
                <w:szCs w:val="21"/>
                <w:highlight w:val="none"/>
              </w:rPr>
              <w:t>序</w:t>
            </w:r>
            <w:r>
              <w:rPr>
                <w:rFonts w:ascii="宋体" w:hAnsi="宋体" w:eastAsia="宋体" w:cs="宋体"/>
                <w:spacing w:val="-1"/>
                <w:szCs w:val="21"/>
                <w:highlight w:val="none"/>
              </w:rPr>
              <w:t>号</w:t>
            </w:r>
          </w:p>
        </w:tc>
        <w:tc>
          <w:tcPr>
            <w:tcW w:w="5765" w:type="dxa"/>
          </w:tcPr>
          <w:p w14:paraId="1D3D7841">
            <w:pPr>
              <w:spacing w:before="276" w:line="221" w:lineRule="auto"/>
              <w:ind w:left="2544"/>
              <w:rPr>
                <w:rFonts w:ascii="宋体" w:hAnsi="宋体" w:eastAsia="宋体" w:cs="宋体"/>
                <w:szCs w:val="21"/>
                <w:highlight w:val="none"/>
              </w:rPr>
            </w:pPr>
            <w:r>
              <w:rPr>
                <w:rFonts w:ascii="宋体" w:hAnsi="宋体" w:eastAsia="宋体" w:cs="宋体"/>
                <w:spacing w:val="-6"/>
                <w:szCs w:val="21"/>
                <w:highlight w:val="none"/>
              </w:rPr>
              <w:t>内</w:t>
            </w:r>
            <w:r>
              <w:rPr>
                <w:rFonts w:ascii="宋体" w:hAnsi="宋体" w:eastAsia="宋体" w:cs="宋体"/>
                <w:spacing w:val="-4"/>
                <w:szCs w:val="21"/>
                <w:highlight w:val="none"/>
              </w:rPr>
              <w:t xml:space="preserve">   容</w:t>
            </w:r>
          </w:p>
        </w:tc>
        <w:tc>
          <w:tcPr>
            <w:tcW w:w="3354" w:type="dxa"/>
          </w:tcPr>
          <w:p w14:paraId="4AFE15DE">
            <w:pPr>
              <w:spacing w:before="276" w:line="219" w:lineRule="auto"/>
              <w:jc w:val="center"/>
              <w:rPr>
                <w:rFonts w:ascii="宋体" w:hAnsi="宋体" w:eastAsia="宋体" w:cs="宋体"/>
                <w:szCs w:val="21"/>
                <w:highlight w:val="none"/>
              </w:rPr>
            </w:pPr>
            <w:r>
              <w:rPr>
                <w:rFonts w:ascii="宋体" w:hAnsi="宋体" w:eastAsia="宋体" w:cs="宋体"/>
                <w:spacing w:val="18"/>
                <w:szCs w:val="21"/>
                <w:highlight w:val="none"/>
              </w:rPr>
              <w:t>总</w:t>
            </w:r>
            <w:r>
              <w:rPr>
                <w:rFonts w:ascii="宋体" w:hAnsi="宋体" w:eastAsia="宋体" w:cs="宋体"/>
                <w:spacing w:val="14"/>
                <w:szCs w:val="21"/>
                <w:highlight w:val="none"/>
              </w:rPr>
              <w:t>价(元)</w:t>
            </w:r>
            <w:r>
              <w:rPr>
                <w:rFonts w:hint="eastAsia" w:ascii="宋体" w:hAnsi="宋体" w:eastAsia="宋体" w:cs="宋体"/>
                <w:spacing w:val="-3"/>
                <w:szCs w:val="21"/>
                <w:highlight w:val="none"/>
                <w14:textOutline w14:w="3835" w14:cap="flat" w14:cmpd="sng" w14:algn="ctr">
                  <w14:solidFill>
                    <w14:srgbClr w14:val="000000"/>
                  </w14:solidFill>
                  <w14:prstDash w14:val="solid"/>
                  <w14:miter w14:val="0"/>
                </w14:textOutline>
              </w:rPr>
              <w:t>（不含税）</w:t>
            </w:r>
          </w:p>
        </w:tc>
        <w:tc>
          <w:tcPr>
            <w:tcW w:w="3362" w:type="dxa"/>
          </w:tcPr>
          <w:p w14:paraId="012A74F5">
            <w:pPr>
              <w:spacing w:before="276" w:line="222" w:lineRule="auto"/>
              <w:ind w:left="1215"/>
              <w:rPr>
                <w:rFonts w:ascii="宋体" w:hAnsi="宋体" w:eastAsia="宋体" w:cs="宋体"/>
                <w:szCs w:val="21"/>
                <w:highlight w:val="none"/>
              </w:rPr>
            </w:pPr>
            <w:r>
              <w:rPr>
                <w:rFonts w:ascii="宋体" w:hAnsi="宋体" w:eastAsia="宋体" w:cs="宋体"/>
                <w:spacing w:val="-1"/>
                <w:szCs w:val="21"/>
                <w:highlight w:val="none"/>
              </w:rPr>
              <w:t>备</w:t>
            </w:r>
            <w:r>
              <w:rPr>
                <w:rFonts w:ascii="宋体" w:hAnsi="宋体" w:eastAsia="宋体" w:cs="宋体"/>
                <w:szCs w:val="21"/>
                <w:highlight w:val="none"/>
              </w:rPr>
              <w:t xml:space="preserve">     注</w:t>
            </w:r>
          </w:p>
        </w:tc>
      </w:tr>
      <w:tr w14:paraId="3AC210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350F0679">
            <w:pPr>
              <w:spacing w:before="309" w:line="186" w:lineRule="auto"/>
              <w:ind w:left="508"/>
              <w:rPr>
                <w:rFonts w:ascii="宋体" w:hAnsi="宋体" w:eastAsia="宋体" w:cs="宋体"/>
                <w:szCs w:val="21"/>
                <w:highlight w:val="none"/>
              </w:rPr>
            </w:pPr>
            <w:r>
              <w:rPr>
                <w:rFonts w:ascii="宋体" w:hAnsi="宋体" w:eastAsia="宋体" w:cs="宋体"/>
                <w:szCs w:val="21"/>
                <w:highlight w:val="none"/>
              </w:rPr>
              <w:t>1</w:t>
            </w:r>
          </w:p>
        </w:tc>
        <w:tc>
          <w:tcPr>
            <w:tcW w:w="5765" w:type="dxa"/>
          </w:tcPr>
          <w:p w14:paraId="6A46EA03">
            <w:pPr>
              <w:spacing w:before="275" w:line="222" w:lineRule="auto"/>
              <w:ind w:left="2378"/>
              <w:rPr>
                <w:rFonts w:ascii="宋体" w:hAnsi="宋体" w:eastAsia="宋体" w:cs="宋体"/>
                <w:szCs w:val="21"/>
                <w:highlight w:val="none"/>
              </w:rPr>
            </w:pPr>
            <w:r>
              <w:rPr>
                <w:rFonts w:ascii="宋体" w:hAnsi="宋体" w:eastAsia="宋体" w:cs="宋体"/>
                <w:spacing w:val="-17"/>
                <w:szCs w:val="21"/>
                <w:highlight w:val="none"/>
              </w:rPr>
              <w:t>表</w:t>
            </w:r>
            <w:r>
              <w:rPr>
                <w:rFonts w:ascii="宋体" w:hAnsi="宋体" w:eastAsia="宋体" w:cs="宋体"/>
                <w:spacing w:val="-11"/>
                <w:szCs w:val="21"/>
                <w:highlight w:val="none"/>
              </w:rPr>
              <w:t xml:space="preserve"> </w:t>
            </w:r>
            <w:r>
              <w:rPr>
                <w:rFonts w:hint="eastAsia" w:ascii="Times New Roman" w:hAnsi="Times New Roman" w:eastAsia="宋体" w:cs="Times New Roman"/>
                <w:spacing w:val="-11"/>
                <w:szCs w:val="21"/>
                <w:highlight w:val="none"/>
              </w:rPr>
              <w:t>9</w:t>
            </w:r>
            <w:r>
              <w:rPr>
                <w:rFonts w:ascii="Times New Roman" w:hAnsi="Times New Roman" w:eastAsia="Times New Roman" w:cs="Times New Roman"/>
                <w:spacing w:val="-11"/>
                <w:szCs w:val="21"/>
                <w:highlight w:val="none"/>
              </w:rPr>
              <w:t xml:space="preserve">- 1 </w:t>
            </w:r>
            <w:r>
              <w:rPr>
                <w:rFonts w:ascii="宋体" w:hAnsi="宋体" w:eastAsia="宋体" w:cs="宋体"/>
                <w:spacing w:val="-11"/>
                <w:szCs w:val="21"/>
                <w:highlight w:val="none"/>
              </w:rPr>
              <w:t>总计</w:t>
            </w:r>
          </w:p>
        </w:tc>
        <w:tc>
          <w:tcPr>
            <w:tcW w:w="3354" w:type="dxa"/>
          </w:tcPr>
          <w:p w14:paraId="61B0C75B">
            <w:pPr>
              <w:rPr>
                <w:rFonts w:ascii="Arial"/>
                <w:highlight w:val="none"/>
              </w:rPr>
            </w:pPr>
          </w:p>
        </w:tc>
        <w:tc>
          <w:tcPr>
            <w:tcW w:w="3362" w:type="dxa"/>
          </w:tcPr>
          <w:p w14:paraId="3A17E4B7">
            <w:pPr>
              <w:rPr>
                <w:rFonts w:ascii="Arial"/>
                <w:highlight w:val="none"/>
              </w:rPr>
            </w:pPr>
          </w:p>
        </w:tc>
      </w:tr>
      <w:tr w14:paraId="06D562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0DEEAA21">
            <w:pPr>
              <w:spacing w:before="299" w:line="185" w:lineRule="auto"/>
              <w:ind w:left="495"/>
              <w:rPr>
                <w:rFonts w:ascii="宋体" w:hAnsi="宋体" w:eastAsia="宋体" w:cs="宋体"/>
                <w:szCs w:val="21"/>
                <w:highlight w:val="none"/>
              </w:rPr>
            </w:pPr>
            <w:r>
              <w:rPr>
                <w:rFonts w:ascii="宋体" w:hAnsi="宋体" w:eastAsia="宋体" w:cs="宋体"/>
                <w:szCs w:val="21"/>
                <w:highlight w:val="none"/>
              </w:rPr>
              <w:t>2</w:t>
            </w:r>
          </w:p>
        </w:tc>
        <w:tc>
          <w:tcPr>
            <w:tcW w:w="5765" w:type="dxa"/>
          </w:tcPr>
          <w:p w14:paraId="4522B51A">
            <w:pPr>
              <w:spacing w:before="263" w:line="222" w:lineRule="auto"/>
              <w:ind w:left="2378"/>
              <w:rPr>
                <w:rFonts w:ascii="宋体" w:hAnsi="宋体" w:eastAsia="宋体" w:cs="宋体"/>
                <w:szCs w:val="21"/>
                <w:highlight w:val="none"/>
              </w:rPr>
            </w:pPr>
            <w:r>
              <w:rPr>
                <w:rFonts w:ascii="宋体" w:hAnsi="宋体" w:eastAsia="宋体" w:cs="宋体"/>
                <w:spacing w:val="-11"/>
                <w:szCs w:val="21"/>
                <w:highlight w:val="none"/>
              </w:rPr>
              <w:t>表</w:t>
            </w:r>
            <w:r>
              <w:rPr>
                <w:rFonts w:ascii="宋体" w:hAnsi="宋体" w:eastAsia="宋体" w:cs="宋体"/>
                <w:spacing w:val="-6"/>
                <w:szCs w:val="21"/>
                <w:highlight w:val="none"/>
              </w:rPr>
              <w:t xml:space="preserve"> </w:t>
            </w:r>
            <w:r>
              <w:rPr>
                <w:rFonts w:hint="eastAsia" w:ascii="Times New Roman" w:hAnsi="Times New Roman" w:eastAsia="宋体" w:cs="Times New Roman"/>
                <w:spacing w:val="-6"/>
                <w:szCs w:val="21"/>
                <w:highlight w:val="none"/>
              </w:rPr>
              <w:t>9</w:t>
            </w:r>
            <w:r>
              <w:rPr>
                <w:rFonts w:ascii="Times New Roman" w:hAnsi="Times New Roman" w:eastAsia="Times New Roman" w:cs="Times New Roman"/>
                <w:spacing w:val="-6"/>
                <w:szCs w:val="21"/>
                <w:highlight w:val="none"/>
              </w:rPr>
              <w:t xml:space="preserve">-2 </w:t>
            </w:r>
            <w:r>
              <w:rPr>
                <w:rFonts w:ascii="宋体" w:hAnsi="宋体" w:eastAsia="宋体" w:cs="宋体"/>
                <w:spacing w:val="-6"/>
                <w:szCs w:val="21"/>
                <w:highlight w:val="none"/>
              </w:rPr>
              <w:t>总计</w:t>
            </w:r>
          </w:p>
        </w:tc>
        <w:tc>
          <w:tcPr>
            <w:tcW w:w="3354" w:type="dxa"/>
          </w:tcPr>
          <w:p w14:paraId="27C527D9">
            <w:pPr>
              <w:rPr>
                <w:rFonts w:ascii="Arial"/>
                <w:highlight w:val="none"/>
              </w:rPr>
            </w:pPr>
          </w:p>
        </w:tc>
        <w:tc>
          <w:tcPr>
            <w:tcW w:w="3362" w:type="dxa"/>
          </w:tcPr>
          <w:p w14:paraId="1B556E91">
            <w:pPr>
              <w:rPr>
                <w:rFonts w:ascii="Arial"/>
                <w:highlight w:val="none"/>
              </w:rPr>
            </w:pPr>
          </w:p>
        </w:tc>
      </w:tr>
      <w:tr w14:paraId="077232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006FB484">
            <w:pPr>
              <w:rPr>
                <w:rFonts w:ascii="Arial"/>
                <w:highlight w:val="none"/>
              </w:rPr>
            </w:pPr>
          </w:p>
          <w:p w14:paraId="22637EC0">
            <w:pPr>
              <w:spacing w:before="68" w:line="183" w:lineRule="auto"/>
              <w:ind w:left="497"/>
              <w:rPr>
                <w:rFonts w:ascii="宋体" w:hAnsi="宋体" w:eastAsia="宋体" w:cs="宋体"/>
                <w:szCs w:val="21"/>
                <w:highlight w:val="none"/>
              </w:rPr>
            </w:pPr>
            <w:r>
              <w:rPr>
                <w:rFonts w:ascii="宋体" w:hAnsi="宋体" w:eastAsia="宋体" w:cs="宋体"/>
                <w:szCs w:val="21"/>
                <w:highlight w:val="none"/>
              </w:rPr>
              <w:t>3</w:t>
            </w:r>
          </w:p>
        </w:tc>
        <w:tc>
          <w:tcPr>
            <w:tcW w:w="5765" w:type="dxa"/>
          </w:tcPr>
          <w:p w14:paraId="16DD76BE">
            <w:pPr>
              <w:spacing w:before="274" w:line="222" w:lineRule="auto"/>
              <w:ind w:left="2378"/>
              <w:rPr>
                <w:rFonts w:ascii="宋体" w:hAnsi="宋体" w:eastAsia="宋体" w:cs="宋体"/>
                <w:szCs w:val="21"/>
                <w:highlight w:val="none"/>
              </w:rPr>
            </w:pPr>
            <w:r>
              <w:rPr>
                <w:rFonts w:ascii="宋体" w:hAnsi="宋体" w:eastAsia="宋体" w:cs="宋体"/>
                <w:spacing w:val="-11"/>
                <w:szCs w:val="21"/>
                <w:highlight w:val="none"/>
              </w:rPr>
              <w:t>表</w:t>
            </w:r>
            <w:r>
              <w:rPr>
                <w:rFonts w:ascii="宋体" w:hAnsi="宋体" w:eastAsia="宋体" w:cs="宋体"/>
                <w:spacing w:val="-6"/>
                <w:szCs w:val="21"/>
                <w:highlight w:val="none"/>
              </w:rPr>
              <w:t xml:space="preserve"> </w:t>
            </w:r>
            <w:r>
              <w:rPr>
                <w:rFonts w:hint="eastAsia" w:ascii="Times New Roman" w:hAnsi="Times New Roman" w:eastAsia="宋体" w:cs="Times New Roman"/>
                <w:spacing w:val="-6"/>
                <w:szCs w:val="21"/>
                <w:highlight w:val="none"/>
              </w:rPr>
              <w:t>9</w:t>
            </w:r>
            <w:r>
              <w:rPr>
                <w:rFonts w:ascii="Times New Roman" w:hAnsi="Times New Roman" w:eastAsia="Times New Roman" w:cs="Times New Roman"/>
                <w:spacing w:val="-6"/>
                <w:szCs w:val="21"/>
                <w:highlight w:val="none"/>
              </w:rPr>
              <w:t xml:space="preserve">-3 </w:t>
            </w:r>
            <w:r>
              <w:rPr>
                <w:rFonts w:ascii="宋体" w:hAnsi="宋体" w:eastAsia="宋体" w:cs="宋体"/>
                <w:spacing w:val="-6"/>
                <w:szCs w:val="21"/>
                <w:highlight w:val="none"/>
              </w:rPr>
              <w:t>总计</w:t>
            </w:r>
          </w:p>
        </w:tc>
        <w:tc>
          <w:tcPr>
            <w:tcW w:w="3354" w:type="dxa"/>
          </w:tcPr>
          <w:p w14:paraId="0048225A">
            <w:pPr>
              <w:rPr>
                <w:rFonts w:ascii="Arial"/>
                <w:highlight w:val="none"/>
              </w:rPr>
            </w:pPr>
          </w:p>
        </w:tc>
        <w:tc>
          <w:tcPr>
            <w:tcW w:w="3362" w:type="dxa"/>
          </w:tcPr>
          <w:p w14:paraId="22116065">
            <w:pPr>
              <w:rPr>
                <w:rFonts w:ascii="Arial"/>
                <w:highlight w:val="none"/>
              </w:rPr>
            </w:pPr>
          </w:p>
        </w:tc>
      </w:tr>
      <w:tr w14:paraId="224072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19418536">
            <w:pPr>
              <w:spacing w:before="300" w:line="185" w:lineRule="auto"/>
              <w:ind w:left="492"/>
              <w:rPr>
                <w:rFonts w:ascii="宋体" w:hAnsi="宋体" w:eastAsia="宋体" w:cs="宋体"/>
                <w:szCs w:val="21"/>
                <w:highlight w:val="none"/>
              </w:rPr>
            </w:pPr>
            <w:r>
              <w:rPr>
                <w:rFonts w:ascii="宋体" w:hAnsi="宋体" w:eastAsia="宋体" w:cs="宋体"/>
                <w:szCs w:val="21"/>
                <w:highlight w:val="none"/>
              </w:rPr>
              <w:t>4</w:t>
            </w:r>
          </w:p>
        </w:tc>
        <w:tc>
          <w:tcPr>
            <w:tcW w:w="5765" w:type="dxa"/>
          </w:tcPr>
          <w:p w14:paraId="4A064F60">
            <w:pPr>
              <w:spacing w:before="265" w:line="222" w:lineRule="auto"/>
              <w:ind w:left="2378"/>
              <w:rPr>
                <w:rFonts w:ascii="宋体" w:hAnsi="宋体" w:eastAsia="宋体" w:cs="宋体"/>
                <w:szCs w:val="21"/>
                <w:highlight w:val="none"/>
              </w:rPr>
            </w:pPr>
            <w:r>
              <w:rPr>
                <w:rFonts w:ascii="宋体" w:hAnsi="宋体" w:eastAsia="宋体" w:cs="宋体"/>
                <w:spacing w:val="-11"/>
                <w:szCs w:val="21"/>
                <w:highlight w:val="none"/>
              </w:rPr>
              <w:t>表</w:t>
            </w:r>
            <w:r>
              <w:rPr>
                <w:rFonts w:ascii="宋体" w:hAnsi="宋体" w:eastAsia="宋体" w:cs="宋体"/>
                <w:spacing w:val="-6"/>
                <w:szCs w:val="21"/>
                <w:highlight w:val="none"/>
              </w:rPr>
              <w:t xml:space="preserve"> </w:t>
            </w:r>
            <w:r>
              <w:rPr>
                <w:rFonts w:hint="eastAsia" w:ascii="Times New Roman" w:hAnsi="Times New Roman" w:eastAsia="宋体" w:cs="Times New Roman"/>
                <w:spacing w:val="-6"/>
                <w:szCs w:val="21"/>
                <w:highlight w:val="none"/>
              </w:rPr>
              <w:t>9</w:t>
            </w:r>
            <w:r>
              <w:rPr>
                <w:rFonts w:ascii="Times New Roman" w:hAnsi="Times New Roman" w:eastAsia="Times New Roman" w:cs="Times New Roman"/>
                <w:spacing w:val="-6"/>
                <w:szCs w:val="21"/>
                <w:highlight w:val="none"/>
              </w:rPr>
              <w:t xml:space="preserve">-4 </w:t>
            </w:r>
            <w:r>
              <w:rPr>
                <w:rFonts w:ascii="宋体" w:hAnsi="宋体" w:eastAsia="宋体" w:cs="宋体"/>
                <w:spacing w:val="-6"/>
                <w:szCs w:val="21"/>
                <w:highlight w:val="none"/>
              </w:rPr>
              <w:t>总计</w:t>
            </w:r>
          </w:p>
        </w:tc>
        <w:tc>
          <w:tcPr>
            <w:tcW w:w="3354" w:type="dxa"/>
          </w:tcPr>
          <w:p w14:paraId="3769CC70">
            <w:pPr>
              <w:rPr>
                <w:rFonts w:ascii="Arial"/>
                <w:highlight w:val="none"/>
              </w:rPr>
            </w:pPr>
          </w:p>
        </w:tc>
        <w:tc>
          <w:tcPr>
            <w:tcW w:w="3362" w:type="dxa"/>
          </w:tcPr>
          <w:p w14:paraId="52933600">
            <w:pPr>
              <w:rPr>
                <w:rFonts w:ascii="Arial"/>
                <w:highlight w:val="none"/>
              </w:rPr>
            </w:pPr>
          </w:p>
        </w:tc>
      </w:tr>
      <w:tr w14:paraId="5D4F26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33FD5A33">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471696C8">
            <w:pPr>
              <w:spacing w:before="266" w:line="221" w:lineRule="auto"/>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highlight w:val="none"/>
              </w:rPr>
              <w:t>（不含税）</w:t>
            </w: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043EC325">
            <w:pPr>
              <w:spacing w:before="266" w:line="221" w:lineRule="auto"/>
              <w:ind w:firstLine="416" w:firstLineChars="200"/>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元</w:t>
            </w:r>
          </w:p>
        </w:tc>
      </w:tr>
      <w:tr w14:paraId="53E688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51BFCFD5">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142A7A5C">
            <w:pPr>
              <w:spacing w:before="266" w:line="221" w:lineRule="auto"/>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highlight w:val="none"/>
              </w:rPr>
              <w:t>（含税）</w:t>
            </w: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5433D363">
            <w:pPr>
              <w:spacing w:before="266" w:line="221" w:lineRule="auto"/>
              <w:ind w:firstLine="416" w:firstLineChars="200"/>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highlight w:val="none"/>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w:t>
            </w:r>
          </w:p>
        </w:tc>
      </w:tr>
    </w:tbl>
    <w:p w14:paraId="5C473461">
      <w:pPr>
        <w:spacing w:line="291" w:lineRule="auto"/>
        <w:rPr>
          <w:rFonts w:ascii="Arial"/>
          <w:highlight w:val="none"/>
        </w:rPr>
      </w:pPr>
    </w:p>
    <w:p w14:paraId="6DADD2D2">
      <w:pPr>
        <w:spacing w:before="78" w:line="198" w:lineRule="auto"/>
        <w:ind w:left="211" w:firstLine="202" w:firstLineChars="100"/>
        <w:rPr>
          <w:rFonts w:ascii="宋体" w:hAnsi="宋体" w:eastAsia="宋体" w:cs="宋体"/>
          <w:sz w:val="24"/>
          <w:szCs w:val="24"/>
          <w:highlight w:val="none"/>
        </w:rPr>
      </w:pPr>
      <w:r>
        <w:rPr>
          <w:rFonts w:ascii="宋体" w:hAnsi="宋体" w:eastAsia="宋体" w:cs="宋体"/>
          <w:spacing w:val="-4"/>
          <w:szCs w:val="21"/>
          <w:highlight w:val="none"/>
        </w:rPr>
        <w:t xml:space="preserve">注： </w:t>
      </w:r>
      <w:r>
        <w:rPr>
          <w:rFonts w:hint="eastAsia" w:ascii="宋体" w:hAnsi="宋体" w:eastAsia="宋体" w:cs="宋体"/>
          <w:spacing w:val="-4"/>
          <w:szCs w:val="21"/>
          <w:highlight w:val="none"/>
        </w:rPr>
        <w:t xml:space="preserve"> </w:t>
      </w:r>
      <w:r>
        <w:rPr>
          <w:rFonts w:ascii="宋体" w:hAnsi="宋体" w:eastAsia="宋体" w:cs="宋体"/>
          <w:spacing w:val="-4"/>
          <w:szCs w:val="21"/>
          <w:highlight w:val="none"/>
        </w:rPr>
        <w:t>1.此表格中的总价合</w:t>
      </w:r>
      <w:r>
        <w:rPr>
          <w:rFonts w:ascii="宋体" w:hAnsi="宋体" w:eastAsia="宋体" w:cs="宋体"/>
          <w:spacing w:val="-2"/>
          <w:szCs w:val="21"/>
          <w:highlight w:val="none"/>
        </w:rPr>
        <w:t>计应与“投标货物数量及价目表”及开标一览表的价格一致</w:t>
      </w:r>
      <w:r>
        <w:rPr>
          <w:rFonts w:ascii="宋体" w:hAnsi="宋体" w:eastAsia="宋体" w:cs="宋体"/>
          <w:spacing w:val="-2"/>
          <w:sz w:val="24"/>
          <w:szCs w:val="24"/>
          <w:highlight w:val="none"/>
        </w:rPr>
        <w:t>。</w:t>
      </w:r>
    </w:p>
    <w:p w14:paraId="110A0929">
      <w:pPr>
        <w:spacing w:before="78" w:line="219" w:lineRule="auto"/>
        <w:ind w:firstLine="990" w:firstLineChars="500"/>
        <w:rPr>
          <w:rFonts w:ascii="宋体" w:hAnsi="宋体" w:eastAsia="宋体" w:cs="宋体"/>
          <w:spacing w:val="-6"/>
          <w:szCs w:val="21"/>
          <w:highlight w:val="none"/>
        </w:rPr>
      </w:pPr>
      <w:r>
        <w:rPr>
          <w:rFonts w:hint="eastAsia" w:ascii="宋体" w:hAnsi="宋体" w:eastAsia="宋体" w:cs="宋体"/>
          <w:spacing w:val="-6"/>
          <w:szCs w:val="21"/>
          <w:highlight w:val="none"/>
        </w:rPr>
        <w:t>2.该明细表所有信息均为必填项，不得删减，价格部分不得合并，可细化可增加。</w:t>
      </w:r>
    </w:p>
    <w:p w14:paraId="3C97A08D">
      <w:pPr>
        <w:spacing w:before="78" w:line="219" w:lineRule="auto"/>
        <w:ind w:firstLine="990" w:firstLineChars="500"/>
        <w:rPr>
          <w:rFonts w:ascii="宋体" w:hAnsi="宋体" w:eastAsia="宋体" w:cs="宋体"/>
          <w:spacing w:val="-6"/>
          <w:szCs w:val="21"/>
          <w:highlight w:val="none"/>
        </w:rPr>
      </w:pPr>
      <w:r>
        <w:rPr>
          <w:rFonts w:hint="eastAsia" w:ascii="宋体" w:hAnsi="宋体" w:eastAsia="宋体" w:cs="宋体"/>
          <w:spacing w:val="-6"/>
          <w:szCs w:val="21"/>
          <w:highlight w:val="none"/>
        </w:rPr>
        <w:t>3.因填写不规范造成废标及终止招标的，责任由投标人自负。</w:t>
      </w:r>
    </w:p>
    <w:p w14:paraId="4A285531">
      <w:pPr>
        <w:pStyle w:val="17"/>
        <w:rPr>
          <w:highlight w:val="none"/>
        </w:rPr>
      </w:pPr>
    </w:p>
    <w:p w14:paraId="72B90C41">
      <w:pPr>
        <w:pStyle w:val="17"/>
        <w:rPr>
          <w:highlight w:val="none"/>
        </w:rPr>
      </w:pPr>
    </w:p>
    <w:p w14:paraId="54DAACEA">
      <w:pPr>
        <w:spacing w:before="140" w:line="220" w:lineRule="auto"/>
        <w:ind w:left="2" w:firstLine="464" w:firstLineChars="200"/>
        <w:rPr>
          <w:rFonts w:ascii="宋体" w:hAnsi="宋体" w:eastAsia="宋体" w:cs="宋体"/>
          <w:spacing w:val="-2"/>
          <w:szCs w:val="21"/>
          <w:highlight w:val="none"/>
        </w:rPr>
        <w:sectPr>
          <w:footerReference r:id="rId35" w:type="default"/>
          <w:pgSz w:w="16841" w:h="11907"/>
          <w:pgMar w:top="400" w:right="1699" w:bottom="1168" w:left="1481" w:header="0" w:footer="990" w:gutter="0"/>
          <w:pgNumType w:fmt="decimal"/>
          <w:cols w:equalWidth="0" w:num="1">
            <w:col w:w="13660"/>
          </w:cols>
        </w:sectPr>
      </w:pPr>
      <w:r>
        <w:rPr>
          <w:rFonts w:ascii="宋体" w:hAnsi="宋体" w:eastAsia="宋体" w:cs="宋体"/>
          <w:spacing w:val="-4"/>
          <w:sz w:val="24"/>
          <w:szCs w:val="24"/>
          <w:highlight w:val="none"/>
        </w:rPr>
        <w:t xml:space="preserve">投标人(章)： </w:t>
      </w:r>
      <w:r>
        <w:rPr>
          <w:rFonts w:ascii="宋体" w:hAnsi="宋体" w:eastAsia="宋体" w:cs="宋体"/>
          <w:spacing w:val="6"/>
          <w:sz w:val="24"/>
          <w:szCs w:val="24"/>
          <w:highlight w:val="none"/>
        </w:rPr>
        <w:t xml:space="preserve"> </w:t>
      </w:r>
      <w:r>
        <w:rPr>
          <w:rFonts w:ascii="宋体" w:hAnsi="宋体" w:eastAsia="宋体" w:cs="宋体"/>
          <w:spacing w:val="6"/>
          <w:szCs w:val="21"/>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3"/>
          <w:sz w:val="24"/>
          <w:szCs w:val="24"/>
          <w:highlight w:val="none"/>
        </w:rPr>
        <w:t xml:space="preserve"> </w:t>
      </w:r>
      <w:r>
        <w:rPr>
          <w:rFonts w:ascii="宋体" w:hAnsi="宋体" w:eastAsia="宋体" w:cs="宋体"/>
          <w:spacing w:val="-2"/>
          <w:sz w:val="24"/>
          <w:szCs w:val="24"/>
          <w:highlight w:val="none"/>
        </w:rPr>
        <w:t xml:space="preserve"> 授权代表(签字)：</w:t>
      </w:r>
      <w:r>
        <w:rPr>
          <w:rFonts w:ascii="宋体" w:hAnsi="宋体" w:eastAsia="宋体" w:cs="宋体"/>
          <w:spacing w:val="-2"/>
          <w:szCs w:val="21"/>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3"/>
          <w:sz w:val="24"/>
          <w:szCs w:val="24"/>
          <w:highlight w:val="none"/>
        </w:rPr>
        <w:t xml:space="preserve">  </w:t>
      </w:r>
      <w:r>
        <w:rPr>
          <w:rFonts w:ascii="宋体" w:hAnsi="宋体" w:eastAsia="宋体" w:cs="宋体"/>
          <w:spacing w:val="-2"/>
          <w:sz w:val="24"/>
          <w:szCs w:val="24"/>
          <w:highlight w:val="none"/>
        </w:rPr>
        <w:t xml:space="preserve">年  月  </w:t>
      </w:r>
      <w:r>
        <w:rPr>
          <w:rFonts w:hint="eastAsia" w:ascii="宋体" w:hAnsi="宋体" w:eastAsia="宋体" w:cs="宋体"/>
          <w:spacing w:val="-2"/>
          <w:sz w:val="24"/>
          <w:szCs w:val="24"/>
          <w:highlight w:val="none"/>
        </w:rPr>
        <w:t>日</w:t>
      </w:r>
    </w:p>
    <w:p w14:paraId="1F1CBF2E">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附件10</w:t>
      </w:r>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商务条款偏离表</w:t>
      </w:r>
    </w:p>
    <w:p w14:paraId="7D1C5CC2">
      <w:pPr>
        <w:rPr>
          <w:rFonts w:ascii="Calibri" w:hAnsi="Calibri" w:eastAsia="宋体" w:cs="Times New Roman"/>
          <w:szCs w:val="20"/>
          <w:highlight w:val="none"/>
        </w:rPr>
      </w:pPr>
    </w:p>
    <w:tbl>
      <w:tblPr>
        <w:tblStyle w:val="36"/>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7A752FD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EB461DE">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lang w:val="en-US" w:eastAsia="zh-CN"/>
              </w:rPr>
              <w:t xml:space="preserve"> XX</w:t>
            </w:r>
            <w:r>
              <w:rPr>
                <w:rFonts w:hint="eastAsia" w:ascii="Times New Roman" w:hAnsi="Times New Roman" w:eastAsia="宋体" w:cs="Times New Roman"/>
                <w:b/>
                <w:szCs w:val="20"/>
                <w:highlight w:val="none"/>
              </w:rPr>
              <w:t>项目</w:t>
            </w:r>
          </w:p>
        </w:tc>
        <w:tc>
          <w:tcPr>
            <w:tcW w:w="2875" w:type="dxa"/>
            <w:tcBorders>
              <w:top w:val="single" w:color="auto" w:sz="4" w:space="0"/>
              <w:left w:val="single" w:color="auto" w:sz="4" w:space="0"/>
              <w:bottom w:val="single" w:color="auto" w:sz="4" w:space="0"/>
              <w:right w:val="single" w:color="auto" w:sz="4" w:space="0"/>
            </w:tcBorders>
            <w:vAlign w:val="center"/>
          </w:tcPr>
          <w:p w14:paraId="304F27E6">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0FACBA4C">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响应规格</w:t>
            </w:r>
          </w:p>
        </w:tc>
        <w:tc>
          <w:tcPr>
            <w:tcW w:w="1645" w:type="dxa"/>
            <w:tcBorders>
              <w:top w:val="single" w:color="auto" w:sz="4" w:space="0"/>
              <w:left w:val="single" w:color="auto" w:sz="4" w:space="0"/>
              <w:bottom w:val="single" w:color="auto" w:sz="4" w:space="0"/>
            </w:tcBorders>
            <w:vAlign w:val="center"/>
          </w:tcPr>
          <w:p w14:paraId="12D62FA6">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是否偏离</w:t>
            </w:r>
          </w:p>
          <w:p w14:paraId="23459AFE">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（提供说明）</w:t>
            </w:r>
          </w:p>
        </w:tc>
      </w:tr>
      <w:tr w14:paraId="22567D6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80DA225">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58E5769B">
            <w:pPr>
              <w:jc w:val="center"/>
              <w:rPr>
                <w:rFonts w:ascii="Times New Roman" w:hAnsi="Times New Roman" w:eastAsia="宋体" w:cs="Times New Roman"/>
                <w:b/>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285C98AF">
            <w:pPr>
              <w:jc w:val="center"/>
              <w:rPr>
                <w:rFonts w:ascii="Times New Roman" w:hAnsi="Times New Roman" w:eastAsia="宋体" w:cs="Times New Roman"/>
                <w:b/>
                <w:szCs w:val="21"/>
                <w:highlight w:val="none"/>
              </w:rPr>
            </w:pPr>
          </w:p>
        </w:tc>
        <w:tc>
          <w:tcPr>
            <w:tcW w:w="1645" w:type="dxa"/>
            <w:tcBorders>
              <w:top w:val="single" w:color="auto" w:sz="4" w:space="0"/>
              <w:left w:val="single" w:color="auto" w:sz="4" w:space="0"/>
              <w:bottom w:val="single" w:color="auto" w:sz="4" w:space="0"/>
            </w:tcBorders>
            <w:vAlign w:val="center"/>
          </w:tcPr>
          <w:p w14:paraId="374243C9">
            <w:pPr>
              <w:jc w:val="center"/>
              <w:rPr>
                <w:rFonts w:ascii="Times New Roman" w:hAnsi="Times New Roman" w:eastAsia="宋体" w:cs="Times New Roman"/>
                <w:b/>
                <w:szCs w:val="20"/>
                <w:highlight w:val="none"/>
              </w:rPr>
            </w:pPr>
          </w:p>
        </w:tc>
      </w:tr>
      <w:tr w14:paraId="33C4747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2156495">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52D4F348">
            <w:pPr>
              <w:jc w:val="center"/>
              <w:rPr>
                <w:rFonts w:ascii="Times New Roman" w:hAnsi="Times New Roman" w:eastAsia="宋体" w:cs="Times New Roman"/>
                <w:b/>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5B51B0E5">
            <w:pPr>
              <w:jc w:val="center"/>
              <w:rPr>
                <w:rFonts w:ascii="Times New Roman" w:hAnsi="Times New Roman" w:eastAsia="宋体" w:cs="Times New Roman"/>
                <w:b/>
                <w:szCs w:val="21"/>
                <w:highlight w:val="none"/>
              </w:rPr>
            </w:pPr>
          </w:p>
        </w:tc>
        <w:tc>
          <w:tcPr>
            <w:tcW w:w="1645" w:type="dxa"/>
            <w:tcBorders>
              <w:top w:val="single" w:color="auto" w:sz="4" w:space="0"/>
              <w:left w:val="single" w:color="auto" w:sz="4" w:space="0"/>
              <w:bottom w:val="single" w:color="auto" w:sz="4" w:space="0"/>
            </w:tcBorders>
            <w:vAlign w:val="center"/>
          </w:tcPr>
          <w:p w14:paraId="2EBFCB79">
            <w:pPr>
              <w:jc w:val="center"/>
              <w:rPr>
                <w:rFonts w:ascii="Times New Roman" w:hAnsi="Times New Roman" w:eastAsia="宋体" w:cs="Times New Roman"/>
                <w:b/>
                <w:szCs w:val="21"/>
                <w:highlight w:val="none"/>
              </w:rPr>
            </w:pPr>
          </w:p>
        </w:tc>
      </w:tr>
      <w:tr w14:paraId="2CCEF7F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F9B82BE">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付款条件</w:t>
            </w:r>
          </w:p>
        </w:tc>
        <w:tc>
          <w:tcPr>
            <w:tcW w:w="2875" w:type="dxa"/>
            <w:tcBorders>
              <w:top w:val="single" w:color="auto" w:sz="4" w:space="0"/>
              <w:left w:val="single" w:color="auto" w:sz="4" w:space="0"/>
              <w:bottom w:val="single" w:color="auto" w:sz="4" w:space="0"/>
              <w:right w:val="single" w:color="auto" w:sz="4" w:space="0"/>
            </w:tcBorders>
          </w:tcPr>
          <w:p w14:paraId="2AB411B3">
            <w:pPr>
              <w:jc w:val="center"/>
              <w:rPr>
                <w:rFonts w:ascii="Times New Roman" w:hAnsi="Times New Roman" w:eastAsia="宋体" w:cs="Times New Roman"/>
                <w:b/>
                <w:szCs w:val="21"/>
                <w:highlight w:val="none"/>
              </w:rPr>
            </w:pPr>
          </w:p>
        </w:tc>
        <w:tc>
          <w:tcPr>
            <w:tcW w:w="2885" w:type="dxa"/>
            <w:tcBorders>
              <w:top w:val="single" w:color="auto" w:sz="4" w:space="0"/>
              <w:left w:val="single" w:color="auto" w:sz="4" w:space="0"/>
              <w:bottom w:val="single" w:color="auto" w:sz="4" w:space="0"/>
              <w:right w:val="single" w:color="auto" w:sz="4" w:space="0"/>
            </w:tcBorders>
          </w:tcPr>
          <w:p w14:paraId="786D50F9">
            <w:pPr>
              <w:jc w:val="center"/>
              <w:rPr>
                <w:rFonts w:ascii="Times New Roman" w:hAnsi="Times New Roman" w:eastAsia="宋体" w:cs="Times New Roman"/>
                <w:b/>
                <w:szCs w:val="21"/>
                <w:highlight w:val="none"/>
              </w:rPr>
            </w:pPr>
          </w:p>
        </w:tc>
        <w:tc>
          <w:tcPr>
            <w:tcW w:w="1645" w:type="dxa"/>
            <w:tcBorders>
              <w:top w:val="single" w:color="auto" w:sz="4" w:space="0"/>
              <w:left w:val="single" w:color="auto" w:sz="4" w:space="0"/>
              <w:bottom w:val="single" w:color="auto" w:sz="4" w:space="0"/>
            </w:tcBorders>
            <w:vAlign w:val="center"/>
          </w:tcPr>
          <w:p w14:paraId="0D5E20CC">
            <w:pPr>
              <w:jc w:val="center"/>
              <w:rPr>
                <w:rFonts w:ascii="Times New Roman" w:hAnsi="Times New Roman" w:eastAsia="宋体" w:cs="Times New Roman"/>
                <w:b/>
                <w:szCs w:val="20"/>
                <w:highlight w:val="none"/>
              </w:rPr>
            </w:pPr>
          </w:p>
        </w:tc>
      </w:tr>
      <w:tr w14:paraId="3AD4206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6F6498A">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03FCC692">
            <w:pPr>
              <w:jc w:val="center"/>
              <w:rPr>
                <w:rFonts w:ascii="Times New Roman" w:hAnsi="Times New Roman" w:eastAsia="宋体" w:cs="Times New Roman"/>
                <w:b/>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301BEC0A">
            <w:pPr>
              <w:jc w:val="center"/>
              <w:rPr>
                <w:rFonts w:ascii="Times New Roman" w:hAnsi="Times New Roman" w:eastAsia="宋体" w:cs="Times New Roman"/>
                <w:b/>
                <w:szCs w:val="21"/>
                <w:highlight w:val="none"/>
              </w:rPr>
            </w:pPr>
          </w:p>
        </w:tc>
        <w:tc>
          <w:tcPr>
            <w:tcW w:w="1645" w:type="dxa"/>
            <w:tcBorders>
              <w:top w:val="single" w:color="auto" w:sz="4" w:space="0"/>
              <w:left w:val="single" w:color="auto" w:sz="4" w:space="0"/>
              <w:bottom w:val="single" w:color="auto" w:sz="4" w:space="0"/>
            </w:tcBorders>
            <w:vAlign w:val="center"/>
          </w:tcPr>
          <w:p w14:paraId="638E4697">
            <w:pPr>
              <w:jc w:val="center"/>
              <w:rPr>
                <w:rFonts w:ascii="Times New Roman" w:hAnsi="Times New Roman" w:eastAsia="宋体" w:cs="Times New Roman"/>
                <w:b/>
                <w:szCs w:val="21"/>
                <w:highlight w:val="none"/>
              </w:rPr>
            </w:pPr>
          </w:p>
          <w:p w14:paraId="0BFFF25E">
            <w:pPr>
              <w:jc w:val="center"/>
              <w:rPr>
                <w:rFonts w:ascii="Times New Roman" w:hAnsi="Times New Roman" w:eastAsia="宋体" w:cs="Times New Roman"/>
                <w:b/>
                <w:szCs w:val="21"/>
                <w:highlight w:val="none"/>
              </w:rPr>
            </w:pPr>
          </w:p>
          <w:p w14:paraId="17FBBFE4">
            <w:pPr>
              <w:jc w:val="center"/>
              <w:rPr>
                <w:rFonts w:ascii="Times New Roman" w:hAnsi="Times New Roman" w:eastAsia="宋体" w:cs="Times New Roman"/>
                <w:b/>
                <w:szCs w:val="21"/>
                <w:highlight w:val="none"/>
              </w:rPr>
            </w:pPr>
          </w:p>
          <w:p w14:paraId="0C79950E">
            <w:pPr>
              <w:jc w:val="center"/>
              <w:rPr>
                <w:rFonts w:ascii="Times New Roman" w:hAnsi="Times New Roman" w:eastAsia="宋体" w:cs="Times New Roman"/>
                <w:b/>
                <w:szCs w:val="21"/>
                <w:highlight w:val="none"/>
              </w:rPr>
            </w:pPr>
          </w:p>
          <w:p w14:paraId="680CD675">
            <w:pPr>
              <w:jc w:val="center"/>
              <w:rPr>
                <w:rFonts w:ascii="Times New Roman" w:hAnsi="Times New Roman" w:eastAsia="宋体" w:cs="Times New Roman"/>
                <w:b/>
                <w:szCs w:val="21"/>
                <w:highlight w:val="none"/>
              </w:rPr>
            </w:pPr>
          </w:p>
          <w:p w14:paraId="4933A1A0">
            <w:pPr>
              <w:jc w:val="center"/>
              <w:rPr>
                <w:rFonts w:ascii="Times New Roman" w:hAnsi="Times New Roman" w:eastAsia="宋体" w:cs="Times New Roman"/>
                <w:b/>
                <w:szCs w:val="21"/>
                <w:highlight w:val="none"/>
              </w:rPr>
            </w:pPr>
          </w:p>
          <w:p w14:paraId="6F505443">
            <w:pPr>
              <w:jc w:val="center"/>
              <w:rPr>
                <w:rFonts w:ascii="Times New Roman" w:hAnsi="Times New Roman" w:eastAsia="宋体" w:cs="Times New Roman"/>
                <w:b/>
                <w:szCs w:val="21"/>
                <w:highlight w:val="none"/>
              </w:rPr>
            </w:pPr>
          </w:p>
          <w:p w14:paraId="1EC8DCC5">
            <w:pPr>
              <w:jc w:val="center"/>
              <w:rPr>
                <w:rFonts w:ascii="Times New Roman" w:hAnsi="Times New Roman" w:eastAsia="宋体" w:cs="Times New Roman"/>
                <w:b/>
                <w:szCs w:val="21"/>
                <w:highlight w:val="none"/>
              </w:rPr>
            </w:pPr>
          </w:p>
          <w:p w14:paraId="4400CBA1">
            <w:pPr>
              <w:jc w:val="center"/>
              <w:rPr>
                <w:rFonts w:ascii="Times New Roman" w:hAnsi="Times New Roman" w:eastAsia="宋体" w:cs="Times New Roman"/>
                <w:b/>
                <w:szCs w:val="21"/>
                <w:highlight w:val="none"/>
              </w:rPr>
            </w:pPr>
          </w:p>
          <w:p w14:paraId="51987073">
            <w:pPr>
              <w:jc w:val="center"/>
              <w:rPr>
                <w:rFonts w:ascii="Times New Roman" w:hAnsi="Times New Roman" w:eastAsia="宋体" w:cs="Times New Roman"/>
                <w:b/>
                <w:szCs w:val="21"/>
                <w:highlight w:val="none"/>
              </w:rPr>
            </w:pPr>
          </w:p>
          <w:p w14:paraId="2A726452">
            <w:pPr>
              <w:jc w:val="center"/>
              <w:rPr>
                <w:rFonts w:ascii="Times New Roman" w:hAnsi="Times New Roman" w:eastAsia="宋体" w:cs="Times New Roman"/>
                <w:b/>
                <w:szCs w:val="21"/>
                <w:highlight w:val="none"/>
              </w:rPr>
            </w:pPr>
          </w:p>
          <w:p w14:paraId="6D913585">
            <w:pPr>
              <w:jc w:val="center"/>
              <w:rPr>
                <w:rFonts w:ascii="Times New Roman" w:hAnsi="Times New Roman" w:eastAsia="宋体" w:cs="Times New Roman"/>
                <w:b/>
                <w:szCs w:val="21"/>
                <w:highlight w:val="none"/>
              </w:rPr>
            </w:pPr>
          </w:p>
          <w:p w14:paraId="51AE3E86">
            <w:pPr>
              <w:jc w:val="center"/>
              <w:rPr>
                <w:rFonts w:ascii="Times New Roman" w:hAnsi="Times New Roman" w:eastAsia="宋体" w:cs="Times New Roman"/>
                <w:b/>
                <w:szCs w:val="21"/>
                <w:highlight w:val="none"/>
              </w:rPr>
            </w:pPr>
          </w:p>
          <w:p w14:paraId="35ED0A51">
            <w:pPr>
              <w:jc w:val="center"/>
              <w:rPr>
                <w:rFonts w:ascii="Times New Roman" w:hAnsi="Times New Roman" w:eastAsia="宋体" w:cs="Times New Roman"/>
                <w:b/>
                <w:szCs w:val="21"/>
                <w:highlight w:val="none"/>
              </w:rPr>
            </w:pPr>
          </w:p>
          <w:p w14:paraId="7492A542">
            <w:pPr>
              <w:jc w:val="center"/>
              <w:rPr>
                <w:rFonts w:ascii="Times New Roman" w:hAnsi="Times New Roman" w:eastAsia="宋体" w:cs="Times New Roman"/>
                <w:b/>
                <w:szCs w:val="21"/>
                <w:highlight w:val="none"/>
              </w:rPr>
            </w:pPr>
          </w:p>
          <w:p w14:paraId="19DF1E6A">
            <w:pPr>
              <w:jc w:val="center"/>
              <w:rPr>
                <w:rFonts w:ascii="Times New Roman" w:hAnsi="Times New Roman" w:eastAsia="宋体" w:cs="Times New Roman"/>
                <w:b/>
                <w:szCs w:val="21"/>
                <w:highlight w:val="none"/>
              </w:rPr>
            </w:pPr>
          </w:p>
          <w:p w14:paraId="23BD68FE">
            <w:pPr>
              <w:jc w:val="center"/>
              <w:rPr>
                <w:rFonts w:ascii="Times New Roman" w:hAnsi="Times New Roman" w:eastAsia="宋体" w:cs="Times New Roman"/>
                <w:b/>
                <w:szCs w:val="20"/>
                <w:highlight w:val="none"/>
              </w:rPr>
            </w:pPr>
          </w:p>
        </w:tc>
      </w:tr>
      <w:tr w14:paraId="01A2038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7ACF54C">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012E8131">
            <w:pPr>
              <w:jc w:val="center"/>
              <w:rPr>
                <w:rFonts w:ascii="Times New Roman" w:hAnsi="Times New Roman" w:eastAsia="宋体" w:cs="Times New Roman"/>
                <w:b/>
                <w:szCs w:val="20"/>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4A786BA0">
            <w:pPr>
              <w:jc w:val="center"/>
              <w:rPr>
                <w:rFonts w:ascii="Times New Roman" w:hAnsi="Times New Roman" w:eastAsia="宋体" w:cs="Times New Roman"/>
                <w:b/>
                <w:szCs w:val="20"/>
                <w:highlight w:val="none"/>
              </w:rPr>
            </w:pPr>
          </w:p>
        </w:tc>
        <w:tc>
          <w:tcPr>
            <w:tcW w:w="1645" w:type="dxa"/>
            <w:tcBorders>
              <w:top w:val="single" w:color="auto" w:sz="4" w:space="0"/>
              <w:left w:val="single" w:color="auto" w:sz="4" w:space="0"/>
              <w:bottom w:val="single" w:color="auto" w:sz="4" w:space="0"/>
            </w:tcBorders>
            <w:vAlign w:val="center"/>
          </w:tcPr>
          <w:p w14:paraId="6ACB26EC">
            <w:pPr>
              <w:jc w:val="center"/>
              <w:rPr>
                <w:rFonts w:ascii="Times New Roman" w:hAnsi="Times New Roman" w:eastAsia="宋体" w:cs="Times New Roman"/>
                <w:b/>
                <w:szCs w:val="20"/>
                <w:highlight w:val="none"/>
              </w:rPr>
            </w:pPr>
          </w:p>
        </w:tc>
      </w:tr>
    </w:tbl>
    <w:p w14:paraId="62B33F25">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授权代表签字：</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日期：</w:t>
      </w:r>
    </w:p>
    <w:p w14:paraId="3499E0AE">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注：为避免歧义，无偏离也应要提报该表，并注明“无”字。如无该表则即使在其它部分已反映，将也被视为“无偏离”。</w:t>
      </w:r>
    </w:p>
    <w:p w14:paraId="717C17AE">
      <w:pPr>
        <w:rPr>
          <w:rFonts w:ascii="宋体" w:hAnsi="Calibri" w:eastAsia="宋体" w:cs="Times New Roman"/>
          <w:szCs w:val="20"/>
          <w:highlight w:val="none"/>
        </w:rPr>
      </w:pPr>
    </w:p>
    <w:p w14:paraId="642EAB97">
      <w:pPr>
        <w:rPr>
          <w:rFonts w:ascii="宋体" w:hAnsi="Calibri" w:eastAsia="宋体" w:cs="宋体"/>
          <w:b/>
          <w:bCs/>
          <w:color w:val="000000"/>
          <w:sz w:val="28"/>
          <w:szCs w:val="20"/>
          <w:highlight w:val="none"/>
        </w:rPr>
        <w:sectPr>
          <w:pgSz w:w="11906" w:h="16838"/>
          <w:pgMar w:top="1588" w:right="1418" w:bottom="1134" w:left="1418" w:header="851" w:footer="992" w:gutter="0"/>
          <w:pgNumType w:fmt="decimal"/>
          <w:cols w:space="720" w:num="1"/>
          <w:titlePg/>
          <w:docGrid w:type="lines" w:linePitch="312" w:charSpace="0"/>
        </w:sectPr>
      </w:pPr>
    </w:p>
    <w:p w14:paraId="7C778F0C">
      <w:pPr>
        <w:spacing w:before="110" w:line="227" w:lineRule="auto"/>
        <w:ind w:left="29"/>
        <w:outlineLvl w:val="2"/>
        <w:rPr>
          <w:rFonts w:ascii="宋体" w:hAnsi="宋体" w:eastAsia="宋体" w:cs="宋体"/>
          <w:sz w:val="24"/>
          <w:szCs w:val="24"/>
          <w:highlight w:val="none"/>
        </w:rPr>
      </w:pPr>
      <w:r>
        <w:rPr>
          <w:rFonts w:hint="eastAsia" w:ascii="Times New Roman" w:hAnsi="Times New Roman" w:eastAsia="宋体" w:cs="Times New Roman"/>
          <w:b/>
          <w:bCs/>
          <w:color w:val="000000"/>
          <w:sz w:val="24"/>
          <w:szCs w:val="24"/>
          <w:highlight w:val="none"/>
        </w:rPr>
        <w:t>附件11 投标人承诺</w:t>
      </w:r>
    </w:p>
    <w:p w14:paraId="377ED850">
      <w:pPr>
        <w:spacing w:line="272" w:lineRule="auto"/>
        <w:rPr>
          <w:rFonts w:ascii="Arial"/>
          <w:highlight w:val="none"/>
        </w:rPr>
      </w:pPr>
    </w:p>
    <w:p w14:paraId="24BB9944">
      <w:pPr>
        <w:spacing w:before="75" w:line="228" w:lineRule="auto"/>
        <w:ind w:left="134"/>
        <w:rPr>
          <w:rFonts w:ascii="宋体" w:hAnsi="宋体" w:eastAsia="宋体" w:cs="宋体"/>
          <w:sz w:val="24"/>
          <w:szCs w:val="24"/>
          <w:highlight w:val="none"/>
        </w:rPr>
      </w:pPr>
      <w:r>
        <w:rPr>
          <w:rFonts w:ascii="宋体" w:hAnsi="宋体" w:eastAsia="宋体" w:cs="宋体"/>
          <w:spacing w:val="-10"/>
          <w:sz w:val="24"/>
          <w:szCs w:val="24"/>
          <w:highlight w:val="none"/>
        </w:rPr>
        <w:t>项</w:t>
      </w:r>
      <w:r>
        <w:rPr>
          <w:rFonts w:ascii="宋体" w:hAnsi="宋体" w:eastAsia="宋体" w:cs="宋体"/>
          <w:spacing w:val="-9"/>
          <w:sz w:val="24"/>
          <w:szCs w:val="24"/>
          <w:highlight w:val="none"/>
        </w:rPr>
        <w:t>目</w:t>
      </w:r>
      <w:r>
        <w:rPr>
          <w:rFonts w:ascii="宋体" w:hAnsi="宋体" w:eastAsia="宋体" w:cs="宋体"/>
          <w:spacing w:val="-5"/>
          <w:sz w:val="24"/>
          <w:szCs w:val="24"/>
          <w:highlight w:val="none"/>
        </w:rPr>
        <w:t>名称：</w:t>
      </w:r>
      <w:r>
        <w:rPr>
          <w:rFonts w:hint="eastAsia" w:ascii="宋体" w:hAnsi="宋体" w:eastAsia="宋体" w:cs="宋体"/>
          <w:spacing w:val="-5"/>
          <w:sz w:val="24"/>
          <w:szCs w:val="24"/>
          <w:highlight w:val="none"/>
          <w:u w:val="single"/>
          <w:lang w:val="en-US" w:eastAsia="zh-CN"/>
        </w:rPr>
        <w:t xml:space="preserve">                     </w:t>
      </w:r>
      <w:r>
        <w:rPr>
          <w:rFonts w:hint="eastAsia" w:ascii="宋体" w:hAnsi="宋体" w:eastAsia="宋体" w:cs="宋体"/>
          <w:spacing w:val="-5"/>
          <w:sz w:val="24"/>
          <w:szCs w:val="24"/>
          <w:highlight w:val="none"/>
          <w:u w:val="single"/>
        </w:rPr>
        <w:t>项目</w:t>
      </w:r>
    </w:p>
    <w:p w14:paraId="6D8BA267">
      <w:pPr>
        <w:spacing w:before="306" w:line="227" w:lineRule="auto"/>
        <w:ind w:left="205"/>
        <w:rPr>
          <w:rFonts w:ascii="宋体" w:hAnsi="宋体" w:eastAsia="宋体" w:cs="宋体"/>
          <w:sz w:val="24"/>
          <w:szCs w:val="24"/>
          <w:highlight w:val="none"/>
        </w:rPr>
      </w:pPr>
      <w:r>
        <w:rPr>
          <w:rFonts w:ascii="宋体" w:hAnsi="宋体" w:eastAsia="宋体" w:cs="宋体"/>
          <w:spacing w:val="-4"/>
          <w:sz w:val="24"/>
          <w:szCs w:val="24"/>
          <w:highlight w:val="none"/>
        </w:rPr>
        <w:t xml:space="preserve">日期： </w:t>
      </w:r>
      <w:r>
        <w:rPr>
          <w:rFonts w:ascii="宋体" w:hAnsi="宋体" w:eastAsia="宋体" w:cs="宋体"/>
          <w:spacing w:val="-2"/>
          <w:sz w:val="24"/>
          <w:szCs w:val="24"/>
          <w:highlight w:val="none"/>
        </w:rPr>
        <w:t xml:space="preserve">   年   月   日</w:t>
      </w:r>
    </w:p>
    <w:p w14:paraId="2273D092">
      <w:pPr>
        <w:rPr>
          <w:highlight w:val="none"/>
        </w:rPr>
      </w:pPr>
    </w:p>
    <w:p w14:paraId="151A9D4C">
      <w:pPr>
        <w:spacing w:line="109" w:lineRule="exact"/>
        <w:rPr>
          <w:highlight w:val="none"/>
        </w:rPr>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6FCB1D4F">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4C6AEE9F">
            <w:pPr>
              <w:spacing w:before="52" w:line="227" w:lineRule="auto"/>
              <w:ind w:left="128"/>
              <w:rPr>
                <w:rFonts w:ascii="宋体" w:hAnsi="宋体" w:eastAsia="宋体" w:cs="宋体"/>
                <w:sz w:val="24"/>
                <w:szCs w:val="24"/>
                <w:highlight w:val="none"/>
              </w:rPr>
            </w:pPr>
            <w:r>
              <w:rPr>
                <w:rFonts w:ascii="宋体" w:hAnsi="宋体" w:eastAsia="宋体" w:cs="宋体"/>
                <w:spacing w:val="5"/>
                <w:sz w:val="24"/>
                <w:szCs w:val="24"/>
                <w:highlight w:val="none"/>
              </w:rPr>
              <w:t>投</w:t>
            </w:r>
            <w:r>
              <w:rPr>
                <w:rFonts w:ascii="宋体" w:hAnsi="宋体" w:eastAsia="宋体" w:cs="宋体"/>
                <w:spacing w:val="3"/>
                <w:sz w:val="24"/>
                <w:szCs w:val="24"/>
                <w:highlight w:val="none"/>
              </w:rPr>
              <w:t>标人承诺：</w:t>
            </w:r>
          </w:p>
          <w:p w14:paraId="6D14BC72">
            <w:pPr>
              <w:spacing w:before="48" w:line="391" w:lineRule="auto"/>
              <w:ind w:left="125" w:right="115" w:firstLine="491"/>
              <w:rPr>
                <w:rFonts w:ascii="宋体" w:hAnsi="宋体" w:eastAsia="宋体" w:cs="宋体"/>
                <w:sz w:val="23"/>
                <w:szCs w:val="23"/>
                <w:highlight w:val="none"/>
              </w:rPr>
            </w:pPr>
            <w:r>
              <w:rPr>
                <w:rFonts w:ascii="宋体" w:hAnsi="宋体" w:eastAsia="宋体" w:cs="宋体"/>
                <w:spacing w:val="38"/>
                <w:sz w:val="24"/>
                <w:szCs w:val="24"/>
                <w:highlight w:val="none"/>
              </w:rPr>
              <w:t>我</w:t>
            </w:r>
            <w:r>
              <w:rPr>
                <w:rFonts w:ascii="宋体" w:hAnsi="宋体" w:eastAsia="宋体" w:cs="宋体"/>
                <w:spacing w:val="21"/>
                <w:sz w:val="24"/>
                <w:szCs w:val="24"/>
                <w:highlight w:val="none"/>
              </w:rPr>
              <w:t>公司承诺遵守贵公司由于招标人公司政策变化引起的随时终止项目的要求并</w:t>
            </w:r>
            <w:r>
              <w:rPr>
                <w:rFonts w:ascii="宋体" w:hAnsi="宋体" w:eastAsia="宋体" w:cs="宋体"/>
                <w:spacing w:val="12"/>
                <w:sz w:val="24"/>
                <w:szCs w:val="24"/>
                <w:highlight w:val="none"/>
              </w:rPr>
              <w:t>承</w:t>
            </w:r>
            <w:r>
              <w:rPr>
                <w:rFonts w:ascii="宋体" w:hAnsi="宋体" w:eastAsia="宋体" w:cs="宋体"/>
                <w:spacing w:val="6"/>
                <w:sz w:val="24"/>
                <w:szCs w:val="24"/>
                <w:highlight w:val="none"/>
              </w:rPr>
              <w:t>担由此带来的一切损失</w:t>
            </w:r>
            <w:r>
              <w:rPr>
                <w:rFonts w:ascii="宋体" w:hAnsi="宋体" w:eastAsia="宋体" w:cs="宋体"/>
                <w:spacing w:val="6"/>
                <w:sz w:val="23"/>
                <w:szCs w:val="23"/>
                <w:highlight w:val="none"/>
              </w:rPr>
              <w:t>。</w:t>
            </w:r>
          </w:p>
        </w:tc>
      </w:tr>
    </w:tbl>
    <w:p w14:paraId="238FAFF0">
      <w:pPr>
        <w:keepNext/>
        <w:keepLines/>
        <w:rPr>
          <w:rFonts w:ascii="Times New Roman" w:hAnsi="Times New Roman" w:eastAsia="宋体" w:cs="Times New Roman"/>
          <w:b/>
          <w:bCs/>
          <w:color w:val="000000"/>
          <w:sz w:val="24"/>
          <w:szCs w:val="24"/>
          <w:highlight w:val="none"/>
        </w:rPr>
      </w:pPr>
    </w:p>
    <w:p w14:paraId="20FC8279">
      <w:pPr>
        <w:spacing w:before="75" w:line="227" w:lineRule="auto"/>
        <w:ind w:left="135"/>
        <w:rPr>
          <w:rFonts w:ascii="宋体" w:hAnsi="宋体" w:eastAsia="宋体" w:cs="宋体"/>
          <w:spacing w:val="-2"/>
          <w:sz w:val="24"/>
          <w:szCs w:val="24"/>
          <w:highlight w:val="none"/>
        </w:rPr>
      </w:pPr>
    </w:p>
    <w:p w14:paraId="72B72743">
      <w:pPr>
        <w:spacing w:before="75" w:line="227" w:lineRule="auto"/>
        <w:ind w:left="135"/>
        <w:rPr>
          <w:rFonts w:ascii="宋体" w:hAnsi="宋体" w:eastAsia="宋体" w:cs="宋体"/>
          <w:spacing w:val="-2"/>
          <w:sz w:val="24"/>
          <w:szCs w:val="24"/>
          <w:highlight w:val="none"/>
        </w:rPr>
      </w:pPr>
    </w:p>
    <w:p w14:paraId="52FF7035">
      <w:pPr>
        <w:spacing w:before="75" w:line="227" w:lineRule="auto"/>
        <w:ind w:left="135"/>
        <w:rPr>
          <w:rFonts w:eastAsia="宋体"/>
          <w:sz w:val="24"/>
          <w:szCs w:val="24"/>
          <w:highlight w:val="none"/>
        </w:rPr>
        <w:sectPr>
          <w:footerReference r:id="rId36" w:type="default"/>
          <w:pgSz w:w="11906" w:h="16839"/>
          <w:pgMar w:top="1431" w:right="1417" w:bottom="1179" w:left="1304" w:header="850" w:footer="992" w:gutter="0"/>
          <w:pgNumType w:fmt="decimal"/>
          <w:cols w:space="720" w:num="1"/>
        </w:sectPr>
      </w:pPr>
      <w:r>
        <w:rPr>
          <w:rFonts w:ascii="宋体" w:hAnsi="宋体" w:eastAsia="宋体" w:cs="宋体"/>
          <w:spacing w:val="-2"/>
          <w:sz w:val="24"/>
          <w:szCs w:val="24"/>
          <w:highlight w:val="none"/>
        </w:rPr>
        <w:t>投标人名称 (盖章)：                法定代表人或授权代表(签字</w:t>
      </w:r>
      <w:r>
        <w:rPr>
          <w:rFonts w:ascii="宋体" w:hAnsi="宋体" w:eastAsia="宋体" w:cs="宋体"/>
          <w:sz w:val="24"/>
          <w:szCs w:val="24"/>
          <w:highlight w:val="none"/>
        </w:rPr>
        <w:t>)</w:t>
      </w:r>
      <w:r>
        <w:rPr>
          <w:rFonts w:hint="eastAsia" w:ascii="宋体" w:hAnsi="宋体" w:eastAsia="宋体" w:cs="宋体"/>
          <w:sz w:val="24"/>
          <w:szCs w:val="24"/>
          <w:highlight w:val="none"/>
        </w:rPr>
        <w:t>：</w:t>
      </w:r>
    </w:p>
    <w:p w14:paraId="2E8A1681">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附件12</w:t>
      </w:r>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服务承诺函</w:t>
      </w:r>
    </w:p>
    <w:p w14:paraId="2DEC6F50">
      <w:pPr>
        <w:spacing w:line="240" w:lineRule="exact"/>
        <w:jc w:val="center"/>
        <w:rPr>
          <w:rFonts w:ascii="宋体" w:hAnsi="Calibri" w:eastAsia="宋体" w:cs="Times New Roman"/>
          <w:b/>
          <w:bCs/>
          <w:sz w:val="36"/>
          <w:szCs w:val="20"/>
          <w:highlight w:val="none"/>
        </w:rPr>
      </w:pPr>
    </w:p>
    <w:p w14:paraId="5C54BE01">
      <w:pPr>
        <w:spacing w:line="360" w:lineRule="auto"/>
        <w:rPr>
          <w:rFonts w:ascii="宋体" w:hAnsi="Calibri" w:eastAsia="宋体" w:cs="Times New Roman"/>
          <w:sz w:val="24"/>
          <w:szCs w:val="20"/>
          <w:highlight w:val="none"/>
        </w:rPr>
      </w:pPr>
      <w:r>
        <w:rPr>
          <w:rFonts w:hint="eastAsia" w:ascii="宋体" w:hAnsi="宋体" w:eastAsia="宋体" w:cs="Times New Roman"/>
          <w:sz w:val="24"/>
          <w:szCs w:val="20"/>
          <w:highlight w:val="none"/>
        </w:rPr>
        <w:t>项目名称：</w:t>
      </w:r>
      <w:r>
        <w:rPr>
          <w:rFonts w:hint="eastAsia" w:ascii="宋体" w:hAnsi="宋体" w:eastAsia="宋体" w:cs="Times New Roman"/>
          <w:sz w:val="24"/>
          <w:szCs w:val="20"/>
          <w:highlight w:val="none"/>
          <w:u w:val="single"/>
          <w:lang w:val="en-US" w:eastAsia="zh-CN"/>
        </w:rPr>
        <w:t xml:space="preserve">                      </w:t>
      </w:r>
      <w:r>
        <w:rPr>
          <w:rFonts w:hint="eastAsia" w:ascii="宋体" w:hAnsi="宋体" w:eastAsia="宋体" w:cs="Times New Roman"/>
          <w:sz w:val="24"/>
          <w:szCs w:val="20"/>
          <w:highlight w:val="none"/>
          <w:u w:val="single"/>
        </w:rPr>
        <w:t>项目</w:t>
      </w:r>
    </w:p>
    <w:p w14:paraId="527B8085">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lang w:eastAsia="zh-CN"/>
        </w:rPr>
        <w:t>中国重汽集团杭州发动机有限公司</w:t>
      </w:r>
      <w:r>
        <w:rPr>
          <w:rFonts w:hint="eastAsia" w:ascii="宋体" w:hAnsi="宋体" w:eastAsia="宋体" w:cs="Times New Roman"/>
          <w:b/>
          <w:bCs/>
          <w:sz w:val="24"/>
          <w:szCs w:val="20"/>
          <w:highlight w:val="none"/>
        </w:rPr>
        <w:t>：</w:t>
      </w:r>
    </w:p>
    <w:p w14:paraId="6AE39A89">
      <w:pPr>
        <w:spacing w:line="360" w:lineRule="auto"/>
        <w:ind w:firstLine="480"/>
        <w:rPr>
          <w:rFonts w:ascii="宋体" w:hAnsi="Calibri" w:eastAsia="宋体" w:cs="Times New Roman"/>
          <w:sz w:val="24"/>
          <w:szCs w:val="20"/>
          <w:highlight w:val="none"/>
        </w:rPr>
      </w:pPr>
      <w:r>
        <w:rPr>
          <w:rFonts w:hint="eastAsia" w:ascii="宋体" w:hAnsi="宋体" w:eastAsia="宋体" w:cs="Times New Roman"/>
          <w:sz w:val="24"/>
          <w:szCs w:val="20"/>
          <w:highlight w:val="none"/>
        </w:rPr>
        <w:t>我代表（投标人名称）对中标合同产品的服务作如下承诺：</w:t>
      </w:r>
    </w:p>
    <w:p w14:paraId="30C121AB">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9FB603D">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A03B4D6">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F015AE8">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38ACC51C">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3D7577FF">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3F6D4C0E">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6320081">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44AA380">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4C84108">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5DC1A6C">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C0E0714">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B31896A">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D6561F2">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5D8409E">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B03BCE7">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3CF63D0C">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AA0DEB1">
      <w:pPr>
        <w:spacing w:line="360" w:lineRule="auto"/>
        <w:ind w:firstLine="480" w:firstLineChars="200"/>
        <w:rPr>
          <w:rFonts w:ascii="宋体" w:hAnsi="宋体" w:eastAsia="宋体" w:cs="Times New Roman"/>
          <w:sz w:val="24"/>
          <w:szCs w:val="20"/>
          <w:highlight w:val="none"/>
          <w:u w:val="single"/>
        </w:rPr>
      </w:pPr>
    </w:p>
    <w:p w14:paraId="3759D51B">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投标人：（盖章）</w:t>
      </w:r>
    </w:p>
    <w:p w14:paraId="4912DCAB">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法定代表人（委托代理人）：（签字）</w:t>
      </w:r>
    </w:p>
    <w:p w14:paraId="774647DB">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日</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期：</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月</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w:t>
      </w:r>
    </w:p>
    <w:p w14:paraId="2654D213">
      <w:pPr>
        <w:rPr>
          <w:rFonts w:ascii="宋体" w:hAnsi="Calibri" w:eastAsia="宋体" w:cs="宋体"/>
          <w:b/>
          <w:bCs/>
          <w:color w:val="000000"/>
          <w:sz w:val="28"/>
          <w:szCs w:val="20"/>
          <w:highlight w:val="none"/>
        </w:rPr>
      </w:pPr>
    </w:p>
    <w:p w14:paraId="6AC658BB">
      <w:pPr>
        <w:pStyle w:val="17"/>
        <w:rPr>
          <w:rFonts w:hAnsi="Calibri" w:eastAsia="宋体" w:cs="宋体"/>
          <w:b/>
          <w:bCs/>
          <w:color w:val="000000"/>
          <w:sz w:val="28"/>
          <w:szCs w:val="20"/>
          <w:highlight w:val="none"/>
        </w:rPr>
      </w:pPr>
    </w:p>
    <w:p w14:paraId="0DFD47C5">
      <w:pPr>
        <w:rPr>
          <w:rFonts w:ascii="宋体" w:hAnsi="Calibri" w:eastAsia="宋体" w:cs="宋体"/>
          <w:b/>
          <w:bCs/>
          <w:color w:val="000000"/>
          <w:sz w:val="28"/>
          <w:szCs w:val="20"/>
          <w:highlight w:val="none"/>
        </w:rPr>
      </w:pPr>
    </w:p>
    <w:p w14:paraId="41BCD4B6">
      <w:pPr>
        <w:outlineLvl w:val="2"/>
        <w:rPr>
          <w:rFonts w:ascii="Calibri" w:hAnsi="Calibri" w:eastAsia="宋体" w:cs="Times New Roman"/>
          <w:szCs w:val="20"/>
          <w:highlight w:val="none"/>
        </w:rPr>
      </w:pPr>
      <w:r>
        <w:rPr>
          <w:rFonts w:ascii="Calibri" w:hAnsi="Calibri" w:eastAsia="宋体" w:cs="Times New Roman"/>
          <w:szCs w:val="20"/>
          <w:highlight w:val="none"/>
        </w:rPr>
        <w:br w:type="page"/>
      </w:r>
      <w:r>
        <w:rPr>
          <w:rFonts w:hint="eastAsia" w:ascii="Times New Roman" w:hAnsi="Times New Roman" w:eastAsia="宋体" w:cs="Times New Roman"/>
          <w:b/>
          <w:bCs/>
          <w:color w:val="000000"/>
          <w:sz w:val="24"/>
          <w:szCs w:val="24"/>
          <w:highlight w:val="none"/>
        </w:rPr>
        <w:t>附件13 投标文件封面及封口格式</w:t>
      </w:r>
    </w:p>
    <w:p w14:paraId="67FCAC22">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封面格式：</w:t>
      </w:r>
    </w:p>
    <w:tbl>
      <w:tblPr>
        <w:tblStyle w:val="36"/>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25E00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2AF58C3A">
            <w:pPr>
              <w:jc w:val="center"/>
              <w:rPr>
                <w:rFonts w:ascii="Times New Roman" w:hAnsi="Times New Roman" w:eastAsia="宋体" w:cs="Times New Roman"/>
                <w:b/>
                <w:szCs w:val="20"/>
                <w:highlight w:val="none"/>
              </w:rPr>
            </w:pPr>
          </w:p>
          <w:p w14:paraId="3305B2E5">
            <w:pPr>
              <w:jc w:val="center"/>
              <w:rPr>
                <w:rFonts w:ascii="宋体" w:hAnsi="Times New Roman" w:eastAsia="宋体" w:cs="宋体"/>
                <w:b/>
                <w:sz w:val="30"/>
                <w:szCs w:val="30"/>
                <w:highlight w:val="none"/>
              </w:rPr>
            </w:pPr>
            <w:r>
              <w:rPr>
                <w:rFonts w:hint="eastAsia" w:ascii="宋体" w:hAnsi="宋体" w:eastAsia="宋体" w:cs="宋体"/>
                <w:b/>
                <w:sz w:val="30"/>
                <w:szCs w:val="30"/>
                <w:highlight w:val="none"/>
              </w:rPr>
              <w:t>技术</w:t>
            </w:r>
            <w:r>
              <w:rPr>
                <w:rFonts w:ascii="宋体" w:hAnsi="宋体" w:eastAsia="宋体" w:cs="宋体"/>
                <w:b/>
                <w:sz w:val="30"/>
                <w:szCs w:val="30"/>
                <w:highlight w:val="none"/>
              </w:rPr>
              <w:t>/</w:t>
            </w:r>
            <w:r>
              <w:rPr>
                <w:rFonts w:hint="eastAsia" w:ascii="宋体" w:hAnsi="宋体" w:eastAsia="宋体" w:cs="宋体"/>
                <w:b/>
                <w:sz w:val="30"/>
                <w:szCs w:val="30"/>
                <w:highlight w:val="none"/>
              </w:rPr>
              <w:t>资质</w:t>
            </w:r>
            <w:r>
              <w:rPr>
                <w:rFonts w:ascii="宋体" w:hAnsi="宋体" w:eastAsia="宋体" w:cs="宋体"/>
                <w:b/>
                <w:sz w:val="30"/>
                <w:szCs w:val="30"/>
                <w:highlight w:val="none"/>
              </w:rPr>
              <w:t>/</w:t>
            </w:r>
            <w:r>
              <w:rPr>
                <w:rFonts w:hint="eastAsia" w:ascii="宋体" w:hAnsi="宋体" w:eastAsia="宋体" w:cs="宋体"/>
                <w:b/>
                <w:sz w:val="30"/>
                <w:szCs w:val="30"/>
                <w:highlight w:val="none"/>
              </w:rPr>
              <w:t>商务文件</w:t>
            </w:r>
          </w:p>
          <w:p w14:paraId="0D6071FD">
            <w:pPr>
              <w:rPr>
                <w:rFonts w:ascii="Times New Roman" w:hAnsi="Times New Roman" w:eastAsia="等线" w:cs="Times New Roman"/>
                <w:b/>
                <w:sz w:val="30"/>
                <w:szCs w:val="30"/>
                <w:highlight w:val="none"/>
              </w:rPr>
            </w:pPr>
          </w:p>
          <w:p w14:paraId="62566A81">
            <w:pPr>
              <w:jc w:val="center"/>
              <w:rPr>
                <w:rFonts w:ascii="Times New Roman" w:hAnsi="Times New Roman" w:eastAsia="宋体" w:cs="Times New Roman"/>
                <w:b/>
                <w:sz w:val="30"/>
                <w:szCs w:val="30"/>
                <w:highlight w:val="none"/>
              </w:rPr>
            </w:pPr>
            <w:r>
              <w:rPr>
                <w:rFonts w:hint="eastAsia" w:ascii="宋体" w:hAnsi="宋体" w:eastAsia="宋体" w:cs="宋体"/>
                <w:b/>
                <w:sz w:val="30"/>
                <w:szCs w:val="30"/>
                <w:highlight w:val="none"/>
              </w:rPr>
              <w:t>（</w:t>
            </w:r>
            <w:r>
              <w:rPr>
                <w:rFonts w:ascii="等线" w:hAnsi="等线" w:eastAsia="等线" w:cs="Times New Roman"/>
                <w:b/>
                <w:sz w:val="30"/>
                <w:szCs w:val="30"/>
                <w:highlight w:val="none"/>
              </w:rPr>
              <w:t>1</w:t>
            </w:r>
            <w:r>
              <w:rPr>
                <w:rFonts w:hint="eastAsia" w:ascii="宋体" w:hAnsi="宋体" w:eastAsia="宋体" w:cs="宋体"/>
                <w:b/>
                <w:sz w:val="30"/>
                <w:szCs w:val="30"/>
                <w:highlight w:val="none"/>
              </w:rPr>
              <w:t>正本</w:t>
            </w:r>
            <w:r>
              <w:rPr>
                <w:rFonts w:hint="eastAsia" w:ascii="宋体" w:hAnsi="宋体" w:eastAsia="宋体" w:cs="宋体"/>
                <w:b/>
                <w:sz w:val="30"/>
                <w:szCs w:val="30"/>
                <w:highlight w:val="none"/>
                <w:lang w:val="en-US" w:eastAsia="zh-CN"/>
              </w:rPr>
              <w:t xml:space="preserve"> </w:t>
            </w:r>
            <w:r>
              <w:rPr>
                <w:rFonts w:hint="eastAsia" w:ascii="宋体" w:hAnsi="宋体" w:eastAsia="宋体" w:cs="宋体"/>
                <w:b/>
                <w:sz w:val="30"/>
                <w:szCs w:val="30"/>
                <w:highlight w:val="none"/>
              </w:rPr>
              <w:t>）</w:t>
            </w:r>
          </w:p>
          <w:p w14:paraId="2D2B08A5">
            <w:pPr>
              <w:jc w:val="center"/>
              <w:rPr>
                <w:rFonts w:ascii="Times New Roman" w:hAnsi="Times New Roman" w:eastAsia="宋体" w:cs="Times New Roman"/>
                <w:b/>
                <w:szCs w:val="20"/>
                <w:highlight w:val="none"/>
              </w:rPr>
            </w:pPr>
          </w:p>
          <w:p w14:paraId="6B0E73D0">
            <w:pPr>
              <w:jc w:val="center"/>
              <w:rPr>
                <w:rFonts w:ascii="Times New Roman" w:hAnsi="Times New Roman" w:eastAsia="宋体" w:cs="Times New Roman"/>
                <w:b/>
                <w:szCs w:val="20"/>
                <w:highlight w:val="none"/>
              </w:rPr>
            </w:pPr>
          </w:p>
          <w:p w14:paraId="60195667">
            <w:pPr>
              <w:jc w:val="center"/>
              <w:rPr>
                <w:rFonts w:hint="eastAsia" w:ascii="Times New Roman" w:hAnsi="Times New Roman" w:eastAsia="宋体" w:cs="Times New Roman"/>
                <w:b/>
                <w:szCs w:val="20"/>
                <w:highlight w:val="none"/>
                <w:lang w:eastAsia="zh-CN"/>
              </w:rPr>
            </w:pPr>
            <w:r>
              <w:rPr>
                <w:rFonts w:hint="eastAsia" w:ascii="宋体" w:hAnsi="宋体" w:eastAsia="宋体" w:cs="宋体"/>
                <w:b/>
                <w:szCs w:val="20"/>
                <w:highlight w:val="none"/>
              </w:rPr>
              <w:t>项目名称：</w:t>
            </w:r>
            <w:r>
              <w:rPr>
                <w:rFonts w:hint="eastAsia" w:ascii="宋体" w:hAnsi="宋体" w:eastAsia="宋体" w:cs="宋体"/>
                <w:b/>
                <w:szCs w:val="20"/>
                <w:highlight w:val="none"/>
                <w:lang w:eastAsia="zh-CN"/>
              </w:rPr>
              <w:t>中国重汽集团杭州发动机有限公司</w:t>
            </w:r>
          </w:p>
          <w:p w14:paraId="46142186">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投标人名称（公章）：</w:t>
            </w:r>
          </w:p>
          <w:p w14:paraId="389B3B30">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地址：</w:t>
            </w:r>
          </w:p>
          <w:p w14:paraId="39E51E2E">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授权代表电话：</w:t>
            </w:r>
          </w:p>
          <w:p w14:paraId="06C349DC">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传真：</w:t>
            </w:r>
          </w:p>
          <w:p w14:paraId="29ED4D89">
            <w:pPr>
              <w:jc w:val="center"/>
              <w:rPr>
                <w:rFonts w:ascii="Times New Roman" w:hAnsi="Times New Roman" w:eastAsia="宋体" w:cs="Times New Roman"/>
                <w:b/>
                <w:szCs w:val="20"/>
                <w:highlight w:val="none"/>
              </w:rPr>
            </w:pPr>
          </w:p>
          <w:p w14:paraId="6A51BC41">
            <w:pPr>
              <w:jc w:val="center"/>
              <w:rPr>
                <w:rFonts w:ascii="Times New Roman" w:hAnsi="Times New Roman" w:eastAsia="宋体" w:cs="Times New Roman"/>
                <w:b/>
                <w:szCs w:val="20"/>
                <w:highlight w:val="none"/>
              </w:rPr>
            </w:pPr>
          </w:p>
        </w:tc>
      </w:tr>
    </w:tbl>
    <w:p w14:paraId="330DFABE">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授权代表签字：</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日期：</w:t>
      </w:r>
    </w:p>
    <w:p w14:paraId="71825C58">
      <w:pPr>
        <w:pStyle w:val="17"/>
        <w:rPr>
          <w:highlight w:val="none"/>
        </w:rPr>
      </w:pPr>
    </w:p>
    <w:p w14:paraId="644F9077">
      <w:pPr>
        <w:jc w:val="right"/>
        <w:rPr>
          <w:rFonts w:asciiTheme="minorEastAsia" w:hAnsiTheme="minorEastAsia" w:cstheme="minorEastAsia"/>
          <w:sz w:val="20"/>
          <w:szCs w:val="20"/>
          <w:highlight w:val="none"/>
        </w:rPr>
      </w:pPr>
    </w:p>
    <w:p w14:paraId="229C2953">
      <w:pPr>
        <w:jc w:val="right"/>
        <w:rPr>
          <w:rFonts w:asciiTheme="minorEastAsia" w:hAnsiTheme="minorEastAsia" w:cstheme="minorEastAsia"/>
          <w:sz w:val="20"/>
          <w:szCs w:val="20"/>
          <w:highlight w:val="none"/>
        </w:rPr>
      </w:pPr>
    </w:p>
    <w:p w14:paraId="30E94DFA">
      <w:pPr>
        <w:rPr>
          <w:highlight w:val="none"/>
        </w:rPr>
        <w:sectPr>
          <w:headerReference r:id="rId38" w:type="first"/>
          <w:footerReference r:id="rId40" w:type="first"/>
          <w:headerReference r:id="rId37" w:type="default"/>
          <w:footerReference r:id="rId39" w:type="default"/>
          <w:pgSz w:w="11906" w:h="16838"/>
          <w:pgMar w:top="1588" w:right="1418" w:bottom="1134" w:left="1418" w:header="851" w:footer="992" w:gutter="0"/>
          <w:pgNumType w:fmt="decimal"/>
          <w:cols w:space="720" w:num="1"/>
          <w:titlePg/>
          <w:docGrid w:type="lines" w:linePitch="312" w:charSpace="0"/>
        </w:sectPr>
      </w:pPr>
    </w:p>
    <w:p w14:paraId="0052FE7F">
      <w:pPr>
        <w:spacing w:line="360" w:lineRule="auto"/>
        <w:outlineLvl w:val="2"/>
        <w:rPr>
          <w:rFonts w:hint="default" w:ascii="Times New Roman" w:hAnsi="Times New Roman" w:eastAsia="宋体" w:cs="Times New Roman"/>
          <w:b/>
          <w:bCs/>
          <w:color w:val="000000"/>
          <w:sz w:val="24"/>
          <w:szCs w:val="24"/>
          <w:highlight w:val="none"/>
          <w:lang w:val="en-US" w:eastAsia="zh-CN"/>
        </w:rPr>
      </w:pPr>
      <w:r>
        <w:rPr>
          <w:rFonts w:hint="eastAsia" w:ascii="Times New Roman" w:hAnsi="Times New Roman" w:eastAsia="宋体" w:cs="Times New Roman"/>
          <w:b/>
          <w:bCs/>
          <w:color w:val="000000"/>
          <w:sz w:val="24"/>
          <w:szCs w:val="24"/>
          <w:highlight w:val="none"/>
        </w:rPr>
        <w:t>附件14</w:t>
      </w:r>
      <w:r>
        <w:rPr>
          <w:rFonts w:hint="eastAsia" w:ascii="Times New Roman" w:hAnsi="Times New Roman" w:eastAsia="宋体" w:cs="Times New Roman"/>
          <w:b/>
          <w:bCs/>
          <w:color w:val="000000"/>
          <w:sz w:val="24"/>
          <w:szCs w:val="24"/>
          <w:highlight w:val="none"/>
          <w:lang w:val="en-US" w:eastAsia="zh-CN"/>
        </w:rPr>
        <w:t>技术标评分标准 ：</w:t>
      </w:r>
    </w:p>
    <w:p w14:paraId="42378778">
      <w:pPr>
        <w:outlineLvl w:val="2"/>
        <w:rPr>
          <w:rFonts w:ascii="Times New Roman" w:hAnsi="Times New Roman" w:eastAsia="宋体" w:cs="Times New Roman"/>
          <w:b/>
          <w:bCs/>
          <w:color w:val="000000"/>
          <w:sz w:val="24"/>
          <w:szCs w:val="24"/>
        </w:rPr>
      </w:pPr>
    </w:p>
    <w:tbl>
      <w:tblPr>
        <w:tblStyle w:val="36"/>
        <w:tblW w:w="9825" w:type="dxa"/>
        <w:tblInd w:w="-3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3225"/>
        <w:gridCol w:w="775"/>
        <w:gridCol w:w="5000"/>
      </w:tblGrid>
      <w:tr w14:paraId="541C0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1" w:hRule="atLeast"/>
        </w:trPr>
        <w:tc>
          <w:tcPr>
            <w:tcW w:w="825" w:type="dxa"/>
            <w:tcBorders>
              <w:top w:val="single" w:color="auto" w:sz="4" w:space="0"/>
              <w:left w:val="single" w:color="auto" w:sz="4" w:space="0"/>
              <w:bottom w:val="single" w:color="auto" w:sz="4" w:space="0"/>
              <w:right w:val="single" w:color="auto" w:sz="4" w:space="0"/>
            </w:tcBorders>
            <w:vAlign w:val="center"/>
          </w:tcPr>
          <w:p w14:paraId="07F4218B">
            <w:pPr>
              <w:spacing w:line="360" w:lineRule="auto"/>
              <w:ind w:right="-6"/>
              <w:jc w:val="center"/>
              <w:rPr>
                <w:rFonts w:ascii="宋体" w:hAnsi="宋体"/>
                <w:b/>
                <w:sz w:val="18"/>
                <w:szCs w:val="18"/>
              </w:rPr>
            </w:pPr>
            <w:r>
              <w:rPr>
                <w:rFonts w:hint="eastAsia" w:ascii="宋体" w:hAnsi="宋体"/>
                <w:b/>
                <w:sz w:val="18"/>
                <w:szCs w:val="18"/>
              </w:rPr>
              <w:t>一</w:t>
            </w:r>
          </w:p>
        </w:tc>
        <w:tc>
          <w:tcPr>
            <w:tcW w:w="9000" w:type="dxa"/>
            <w:gridSpan w:val="3"/>
            <w:tcBorders>
              <w:top w:val="single" w:color="auto" w:sz="4" w:space="0"/>
              <w:left w:val="single" w:color="auto" w:sz="4" w:space="0"/>
              <w:bottom w:val="single" w:color="auto" w:sz="4" w:space="0"/>
              <w:right w:val="single" w:color="auto" w:sz="4" w:space="0"/>
            </w:tcBorders>
            <w:vAlign w:val="center"/>
          </w:tcPr>
          <w:p w14:paraId="78B8B41E">
            <w:pPr>
              <w:spacing w:line="360" w:lineRule="auto"/>
              <w:ind w:right="-6"/>
              <w:jc w:val="center"/>
              <w:rPr>
                <w:rFonts w:ascii="宋体" w:hAnsi="宋体"/>
                <w:b/>
                <w:sz w:val="18"/>
                <w:szCs w:val="18"/>
              </w:rPr>
            </w:pPr>
            <w:r>
              <w:rPr>
                <w:rFonts w:hint="eastAsia" w:ascii="宋体" w:hAnsi="宋体" w:eastAsia="宋体" w:cs="宋体"/>
                <w:b/>
                <w:sz w:val="28"/>
                <w:szCs w:val="28"/>
              </w:rPr>
              <w:t>技术标</w:t>
            </w:r>
          </w:p>
        </w:tc>
      </w:tr>
      <w:tr w14:paraId="44ED1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1" w:hRule="atLeast"/>
        </w:trPr>
        <w:tc>
          <w:tcPr>
            <w:tcW w:w="825" w:type="dxa"/>
            <w:tcBorders>
              <w:top w:val="single" w:color="auto" w:sz="4" w:space="0"/>
              <w:left w:val="single" w:color="auto" w:sz="4" w:space="0"/>
              <w:bottom w:val="single" w:color="auto" w:sz="4" w:space="0"/>
              <w:right w:val="single" w:color="auto" w:sz="4" w:space="0"/>
            </w:tcBorders>
            <w:vAlign w:val="center"/>
          </w:tcPr>
          <w:p w14:paraId="046A053D">
            <w:pPr>
              <w:spacing w:line="360" w:lineRule="auto"/>
              <w:ind w:right="-6"/>
              <w:jc w:val="center"/>
              <w:rPr>
                <w:rFonts w:ascii="宋体" w:hAnsi="Times New Roman" w:eastAsia="宋体"/>
                <w:b/>
                <w:sz w:val="18"/>
                <w:szCs w:val="18"/>
              </w:rPr>
            </w:pPr>
            <w:r>
              <w:rPr>
                <w:rFonts w:hint="eastAsia" w:ascii="宋体" w:hAnsi="宋体"/>
                <w:b/>
                <w:sz w:val="18"/>
                <w:szCs w:val="18"/>
              </w:rPr>
              <w:t>序号</w:t>
            </w:r>
          </w:p>
        </w:tc>
        <w:tc>
          <w:tcPr>
            <w:tcW w:w="3225" w:type="dxa"/>
            <w:tcBorders>
              <w:top w:val="single" w:color="auto" w:sz="4" w:space="0"/>
              <w:left w:val="single" w:color="auto" w:sz="4" w:space="0"/>
              <w:bottom w:val="single" w:color="auto" w:sz="4" w:space="0"/>
              <w:right w:val="single" w:color="auto" w:sz="4" w:space="0"/>
            </w:tcBorders>
            <w:vAlign w:val="center"/>
          </w:tcPr>
          <w:p w14:paraId="75385C57">
            <w:pPr>
              <w:spacing w:line="360" w:lineRule="auto"/>
              <w:ind w:right="-6"/>
              <w:jc w:val="center"/>
              <w:rPr>
                <w:rFonts w:ascii="宋体" w:hAnsi="Times New Roman" w:eastAsia="宋体"/>
                <w:b/>
                <w:sz w:val="18"/>
                <w:szCs w:val="18"/>
              </w:rPr>
            </w:pPr>
            <w:r>
              <w:rPr>
                <w:rFonts w:hint="eastAsia" w:ascii="宋体" w:hAnsi="宋体"/>
                <w:b/>
                <w:sz w:val="18"/>
                <w:szCs w:val="18"/>
              </w:rPr>
              <w:t>内   容</w:t>
            </w:r>
          </w:p>
        </w:tc>
        <w:tc>
          <w:tcPr>
            <w:tcW w:w="775" w:type="dxa"/>
            <w:tcBorders>
              <w:top w:val="single" w:color="auto" w:sz="4" w:space="0"/>
              <w:left w:val="single" w:color="auto" w:sz="4" w:space="0"/>
              <w:bottom w:val="single" w:color="auto" w:sz="4" w:space="0"/>
              <w:right w:val="single" w:color="auto" w:sz="4" w:space="0"/>
            </w:tcBorders>
            <w:vAlign w:val="center"/>
          </w:tcPr>
          <w:p w14:paraId="654D5604">
            <w:pPr>
              <w:spacing w:line="360" w:lineRule="auto"/>
              <w:ind w:right="-6"/>
              <w:jc w:val="center"/>
              <w:rPr>
                <w:rFonts w:ascii="宋体" w:hAnsi="Times New Roman" w:eastAsia="宋体"/>
                <w:b/>
                <w:sz w:val="18"/>
                <w:szCs w:val="18"/>
              </w:rPr>
            </w:pPr>
            <w:r>
              <w:rPr>
                <w:rFonts w:hint="eastAsia" w:ascii="宋体" w:hAnsi="宋体"/>
                <w:b/>
                <w:sz w:val="18"/>
                <w:szCs w:val="18"/>
              </w:rPr>
              <w:t>标准分</w:t>
            </w:r>
          </w:p>
        </w:tc>
        <w:tc>
          <w:tcPr>
            <w:tcW w:w="5000" w:type="dxa"/>
            <w:tcBorders>
              <w:top w:val="single" w:color="auto" w:sz="4" w:space="0"/>
              <w:left w:val="single" w:color="auto" w:sz="4" w:space="0"/>
              <w:bottom w:val="single" w:color="auto" w:sz="4" w:space="0"/>
              <w:right w:val="single" w:color="auto" w:sz="4" w:space="0"/>
            </w:tcBorders>
            <w:vAlign w:val="center"/>
          </w:tcPr>
          <w:p w14:paraId="699B2FDC">
            <w:pPr>
              <w:spacing w:line="360" w:lineRule="auto"/>
              <w:ind w:right="-6"/>
              <w:jc w:val="center"/>
              <w:rPr>
                <w:rFonts w:ascii="宋体" w:hAnsi="Times New Roman" w:eastAsia="宋体"/>
                <w:b/>
                <w:sz w:val="18"/>
                <w:szCs w:val="18"/>
              </w:rPr>
            </w:pPr>
            <w:r>
              <w:rPr>
                <w:rFonts w:hint="eastAsia" w:ascii="宋体" w:hAnsi="宋体"/>
                <w:b/>
                <w:sz w:val="18"/>
                <w:szCs w:val="18"/>
              </w:rPr>
              <w:t>评分标准</w:t>
            </w:r>
          </w:p>
        </w:tc>
      </w:tr>
      <w:tr w14:paraId="562639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trPr>
        <w:tc>
          <w:tcPr>
            <w:tcW w:w="825" w:type="dxa"/>
            <w:tcBorders>
              <w:top w:val="single" w:color="auto" w:sz="4" w:space="0"/>
              <w:left w:val="single" w:color="auto" w:sz="4" w:space="0"/>
              <w:bottom w:val="single" w:color="auto" w:sz="4" w:space="0"/>
              <w:right w:val="single" w:color="auto" w:sz="4" w:space="0"/>
            </w:tcBorders>
            <w:vAlign w:val="center"/>
          </w:tcPr>
          <w:p w14:paraId="6E76E91E">
            <w:pPr>
              <w:spacing w:line="420" w:lineRule="exact"/>
              <w:jc w:val="center"/>
              <w:rPr>
                <w:rFonts w:ascii="宋体" w:hAnsi="宋体" w:eastAsia="宋体"/>
                <w:szCs w:val="21"/>
              </w:rPr>
            </w:pPr>
            <w:r>
              <w:rPr>
                <w:rFonts w:hint="eastAsia" w:ascii="宋体" w:hAnsi="宋体"/>
              </w:rPr>
              <w:t>1</w:t>
            </w:r>
          </w:p>
        </w:tc>
        <w:tc>
          <w:tcPr>
            <w:tcW w:w="3225" w:type="dxa"/>
            <w:tcBorders>
              <w:top w:val="single" w:color="auto" w:sz="4" w:space="0"/>
              <w:left w:val="single" w:color="auto" w:sz="4" w:space="0"/>
              <w:bottom w:val="single" w:color="auto" w:sz="4" w:space="0"/>
              <w:right w:val="single" w:color="auto" w:sz="4" w:space="0"/>
            </w:tcBorders>
            <w:vAlign w:val="center"/>
          </w:tcPr>
          <w:p w14:paraId="626E6B92">
            <w:pPr>
              <w:spacing w:line="420" w:lineRule="exact"/>
              <w:rPr>
                <w:rFonts w:ascii="宋体" w:hAnsi="Times New Roman"/>
                <w:szCs w:val="21"/>
              </w:rPr>
            </w:pPr>
            <w:r>
              <w:rPr>
                <w:rFonts w:hint="eastAsia" w:ascii="宋体" w:hAnsi="宋体"/>
                <w:bCs/>
              </w:rPr>
              <w:t>投标人资质，具备有效营业执照且经营范围涵盖相关设备销售，拥有设备生产或代理授权证明。</w:t>
            </w:r>
          </w:p>
        </w:tc>
        <w:tc>
          <w:tcPr>
            <w:tcW w:w="775" w:type="dxa"/>
            <w:tcBorders>
              <w:top w:val="single" w:color="auto" w:sz="4" w:space="0"/>
              <w:left w:val="single" w:color="auto" w:sz="4" w:space="0"/>
              <w:bottom w:val="single" w:color="auto" w:sz="4" w:space="0"/>
              <w:right w:val="single" w:color="auto" w:sz="4" w:space="0"/>
            </w:tcBorders>
            <w:vAlign w:val="center"/>
          </w:tcPr>
          <w:p w14:paraId="26717302">
            <w:pPr>
              <w:spacing w:line="420" w:lineRule="exact"/>
              <w:jc w:val="center"/>
              <w:rPr>
                <w:rFonts w:ascii="宋体" w:hAnsi="宋体" w:eastAsia="宋体"/>
                <w:szCs w:val="21"/>
              </w:rPr>
            </w:pPr>
            <w:r>
              <w:rPr>
                <w:rFonts w:hint="eastAsia" w:ascii="宋体" w:hAnsi="宋体" w:eastAsia="宋体"/>
              </w:rPr>
              <w:t>10</w:t>
            </w:r>
          </w:p>
        </w:tc>
        <w:tc>
          <w:tcPr>
            <w:tcW w:w="5000" w:type="dxa"/>
            <w:tcBorders>
              <w:top w:val="single" w:color="auto" w:sz="4" w:space="0"/>
              <w:left w:val="single" w:color="auto" w:sz="4" w:space="0"/>
              <w:bottom w:val="single" w:color="auto" w:sz="4" w:space="0"/>
              <w:right w:val="single" w:color="auto" w:sz="4" w:space="0"/>
            </w:tcBorders>
            <w:vAlign w:val="center"/>
          </w:tcPr>
          <w:p w14:paraId="77D21F72">
            <w:pPr>
              <w:spacing w:line="420" w:lineRule="exact"/>
              <w:rPr>
                <w:rFonts w:ascii="宋体" w:hAnsi="宋体"/>
                <w:bCs/>
                <w:szCs w:val="21"/>
              </w:rPr>
            </w:pPr>
            <w:r>
              <w:rPr>
                <w:rFonts w:hint="eastAsia" w:ascii="宋体" w:hAnsi="宋体"/>
                <w:bCs/>
              </w:rPr>
              <w:t>投标人资质，具备有效营业执照且经营范围涵盖相关设备销售，拥有设备生产或代理授权证明。视情况得0-10分。</w:t>
            </w:r>
          </w:p>
        </w:tc>
      </w:tr>
      <w:tr w14:paraId="5C8EE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trPr>
        <w:tc>
          <w:tcPr>
            <w:tcW w:w="825" w:type="dxa"/>
            <w:tcBorders>
              <w:top w:val="single" w:color="auto" w:sz="4" w:space="0"/>
              <w:left w:val="single" w:color="auto" w:sz="4" w:space="0"/>
              <w:bottom w:val="single" w:color="auto" w:sz="4" w:space="0"/>
              <w:right w:val="single" w:color="auto" w:sz="4" w:space="0"/>
            </w:tcBorders>
            <w:vAlign w:val="center"/>
          </w:tcPr>
          <w:p w14:paraId="51AE01A8">
            <w:pPr>
              <w:spacing w:line="420" w:lineRule="exact"/>
              <w:jc w:val="center"/>
              <w:rPr>
                <w:rFonts w:ascii="宋体" w:hAnsi="宋体" w:eastAsia="宋体"/>
                <w:szCs w:val="21"/>
              </w:rPr>
            </w:pPr>
            <w:r>
              <w:rPr>
                <w:rFonts w:hint="eastAsia" w:ascii="宋体" w:hAnsi="宋体"/>
              </w:rPr>
              <w:t>2</w:t>
            </w:r>
          </w:p>
        </w:tc>
        <w:tc>
          <w:tcPr>
            <w:tcW w:w="3225" w:type="dxa"/>
            <w:tcBorders>
              <w:top w:val="single" w:color="auto" w:sz="4" w:space="0"/>
              <w:left w:val="single" w:color="auto" w:sz="4" w:space="0"/>
              <w:bottom w:val="single" w:color="auto" w:sz="4" w:space="0"/>
              <w:right w:val="single" w:color="auto" w:sz="4" w:space="0"/>
            </w:tcBorders>
            <w:vAlign w:val="center"/>
          </w:tcPr>
          <w:p w14:paraId="7AB4AA56">
            <w:pPr>
              <w:spacing w:line="420" w:lineRule="exact"/>
              <w:rPr>
                <w:rFonts w:ascii="宋体" w:hAnsi="Times New Roman"/>
                <w:bCs/>
                <w:szCs w:val="21"/>
              </w:rPr>
            </w:pPr>
            <w:r>
              <w:rPr>
                <w:rFonts w:hint="eastAsia" w:ascii="宋体" w:hAnsi="宋体"/>
                <w:bCs/>
              </w:rPr>
              <w:t>产品方案技术先进、各系统完善、性能可靠，设备主要核心部件，具备自身技术优势</w:t>
            </w:r>
          </w:p>
        </w:tc>
        <w:tc>
          <w:tcPr>
            <w:tcW w:w="775" w:type="dxa"/>
            <w:tcBorders>
              <w:top w:val="single" w:color="auto" w:sz="4" w:space="0"/>
              <w:left w:val="single" w:color="auto" w:sz="4" w:space="0"/>
              <w:bottom w:val="single" w:color="auto" w:sz="4" w:space="0"/>
              <w:right w:val="single" w:color="auto" w:sz="4" w:space="0"/>
            </w:tcBorders>
            <w:vAlign w:val="center"/>
          </w:tcPr>
          <w:p w14:paraId="06D360D4">
            <w:pPr>
              <w:spacing w:line="420" w:lineRule="exact"/>
              <w:jc w:val="center"/>
              <w:rPr>
                <w:rFonts w:ascii="宋体" w:hAnsi="宋体" w:eastAsia="宋体"/>
                <w:szCs w:val="21"/>
              </w:rPr>
            </w:pPr>
            <w:r>
              <w:rPr>
                <w:rFonts w:hint="eastAsia" w:ascii="宋体" w:hAnsi="宋体" w:eastAsia="宋体"/>
              </w:rPr>
              <w:t>50</w:t>
            </w:r>
          </w:p>
        </w:tc>
        <w:tc>
          <w:tcPr>
            <w:tcW w:w="5000" w:type="dxa"/>
            <w:tcBorders>
              <w:top w:val="single" w:color="auto" w:sz="4" w:space="0"/>
              <w:left w:val="single" w:color="auto" w:sz="4" w:space="0"/>
              <w:bottom w:val="single" w:color="auto" w:sz="4" w:space="0"/>
              <w:right w:val="single" w:color="auto" w:sz="4" w:space="0"/>
            </w:tcBorders>
            <w:vAlign w:val="center"/>
          </w:tcPr>
          <w:p w14:paraId="3F6F56F2">
            <w:pPr>
              <w:spacing w:line="420" w:lineRule="exact"/>
              <w:rPr>
                <w:rFonts w:ascii="宋体" w:hAnsi="宋体"/>
                <w:bCs/>
                <w:szCs w:val="21"/>
              </w:rPr>
            </w:pPr>
            <w:r>
              <w:rPr>
                <w:rFonts w:hint="eastAsia" w:ascii="宋体" w:hAnsi="宋体"/>
                <w:bCs/>
              </w:rPr>
              <w:t>产品方案技术先进、各系统完善、性能可靠，设备主要核心部件，具备自身技术优势，节能环保；</w:t>
            </w:r>
            <w:r>
              <w:rPr>
                <w:rFonts w:hint="eastAsia" w:ascii="宋体" w:hAnsi="宋体"/>
                <w:bCs/>
                <w:lang w:val="en-US" w:eastAsia="zh-CN"/>
              </w:rPr>
              <w:t>选用量程合适、精度符合要求、机箱小巧灵活、使用方便、可靠性高，拧紧回退对孔方案合理、节拍满足要求</w:t>
            </w:r>
            <w:r>
              <w:rPr>
                <w:rFonts w:hint="eastAsia" w:ascii="宋体" w:hAnsi="宋体"/>
                <w:bCs/>
              </w:rPr>
              <w:t>，视情况得0-50分。</w:t>
            </w:r>
          </w:p>
        </w:tc>
      </w:tr>
      <w:tr w14:paraId="2B1C9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5" w:hRule="atLeast"/>
        </w:trPr>
        <w:tc>
          <w:tcPr>
            <w:tcW w:w="825" w:type="dxa"/>
            <w:tcBorders>
              <w:top w:val="single" w:color="auto" w:sz="4" w:space="0"/>
              <w:left w:val="single" w:color="auto" w:sz="4" w:space="0"/>
              <w:bottom w:val="single" w:color="auto" w:sz="4" w:space="0"/>
              <w:right w:val="single" w:color="auto" w:sz="4" w:space="0"/>
            </w:tcBorders>
            <w:vAlign w:val="center"/>
          </w:tcPr>
          <w:p w14:paraId="21308D25">
            <w:pPr>
              <w:spacing w:line="420" w:lineRule="exact"/>
              <w:jc w:val="center"/>
              <w:rPr>
                <w:rFonts w:ascii="宋体" w:hAnsi="宋体" w:eastAsia="宋体"/>
                <w:szCs w:val="21"/>
              </w:rPr>
            </w:pPr>
            <w:r>
              <w:rPr>
                <w:rFonts w:hint="eastAsia" w:ascii="宋体" w:hAnsi="宋体"/>
              </w:rPr>
              <w:t>3</w:t>
            </w:r>
          </w:p>
        </w:tc>
        <w:tc>
          <w:tcPr>
            <w:tcW w:w="3225" w:type="dxa"/>
            <w:tcBorders>
              <w:top w:val="single" w:color="auto" w:sz="4" w:space="0"/>
              <w:left w:val="single" w:color="auto" w:sz="4" w:space="0"/>
              <w:bottom w:val="single" w:color="auto" w:sz="4" w:space="0"/>
              <w:right w:val="single" w:color="auto" w:sz="4" w:space="0"/>
            </w:tcBorders>
            <w:vAlign w:val="center"/>
          </w:tcPr>
          <w:p w14:paraId="5A6BA20A">
            <w:pPr>
              <w:spacing w:line="420" w:lineRule="exact"/>
              <w:rPr>
                <w:rFonts w:ascii="宋体" w:hAnsi="Times New Roman" w:eastAsia="宋体"/>
                <w:bCs/>
                <w:szCs w:val="21"/>
              </w:rPr>
            </w:pPr>
            <w:r>
              <w:rPr>
                <w:rFonts w:hint="eastAsia" w:ascii="宋体" w:hAnsi="宋体"/>
                <w:bCs/>
              </w:rPr>
              <w:t>产品维保</w:t>
            </w:r>
          </w:p>
        </w:tc>
        <w:tc>
          <w:tcPr>
            <w:tcW w:w="775" w:type="dxa"/>
            <w:tcBorders>
              <w:top w:val="single" w:color="auto" w:sz="4" w:space="0"/>
              <w:left w:val="single" w:color="auto" w:sz="4" w:space="0"/>
              <w:bottom w:val="single" w:color="auto" w:sz="4" w:space="0"/>
              <w:right w:val="single" w:color="auto" w:sz="4" w:space="0"/>
            </w:tcBorders>
            <w:vAlign w:val="center"/>
          </w:tcPr>
          <w:p w14:paraId="429DEA5B">
            <w:pPr>
              <w:spacing w:line="420" w:lineRule="exact"/>
              <w:jc w:val="center"/>
              <w:rPr>
                <w:rFonts w:ascii="宋体" w:hAnsi="宋体" w:eastAsia="宋体"/>
                <w:szCs w:val="21"/>
              </w:rPr>
            </w:pPr>
            <w:r>
              <w:rPr>
                <w:rFonts w:hint="eastAsia" w:ascii="宋体" w:hAnsi="宋体" w:eastAsia="宋体"/>
              </w:rPr>
              <w:t>10</w:t>
            </w:r>
          </w:p>
        </w:tc>
        <w:tc>
          <w:tcPr>
            <w:tcW w:w="5000" w:type="dxa"/>
            <w:tcBorders>
              <w:top w:val="single" w:color="auto" w:sz="4" w:space="0"/>
              <w:left w:val="single" w:color="auto" w:sz="4" w:space="0"/>
              <w:bottom w:val="single" w:color="auto" w:sz="4" w:space="0"/>
              <w:right w:val="single" w:color="auto" w:sz="4" w:space="0"/>
            </w:tcBorders>
            <w:vAlign w:val="center"/>
          </w:tcPr>
          <w:p w14:paraId="56A3892D">
            <w:pPr>
              <w:spacing w:line="420" w:lineRule="exact"/>
              <w:rPr>
                <w:rFonts w:ascii="宋体" w:hAnsi="宋体" w:eastAsia="宋体"/>
                <w:bCs/>
                <w:szCs w:val="21"/>
              </w:rPr>
            </w:pPr>
            <w:r>
              <w:rPr>
                <w:rFonts w:hint="eastAsia" w:ascii="宋体" w:hAnsi="宋体"/>
                <w:bCs/>
              </w:rPr>
              <w:t>易于维修、操作方便，产品附件配置齐全，质量可靠，设备在使用期内的维护费用，视情况得0-5分。</w:t>
            </w:r>
          </w:p>
        </w:tc>
      </w:tr>
      <w:tr w14:paraId="6DC81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825" w:type="dxa"/>
            <w:tcBorders>
              <w:top w:val="single" w:color="auto" w:sz="4" w:space="0"/>
              <w:left w:val="single" w:color="auto" w:sz="4" w:space="0"/>
              <w:bottom w:val="single" w:color="auto" w:sz="4" w:space="0"/>
              <w:right w:val="single" w:color="auto" w:sz="4" w:space="0"/>
            </w:tcBorders>
            <w:vAlign w:val="center"/>
          </w:tcPr>
          <w:p w14:paraId="61E8E09D">
            <w:pPr>
              <w:spacing w:line="420" w:lineRule="exact"/>
              <w:jc w:val="center"/>
              <w:rPr>
                <w:rFonts w:ascii="宋体" w:hAnsi="宋体" w:eastAsia="宋体"/>
                <w:szCs w:val="21"/>
              </w:rPr>
            </w:pPr>
            <w:r>
              <w:rPr>
                <w:rFonts w:hint="eastAsia" w:ascii="宋体" w:hAnsi="宋体" w:eastAsia="宋体"/>
              </w:rPr>
              <w:t>4</w:t>
            </w:r>
          </w:p>
        </w:tc>
        <w:tc>
          <w:tcPr>
            <w:tcW w:w="3225" w:type="dxa"/>
            <w:tcBorders>
              <w:top w:val="single" w:color="auto" w:sz="4" w:space="0"/>
              <w:left w:val="single" w:color="auto" w:sz="4" w:space="0"/>
              <w:bottom w:val="single" w:color="auto" w:sz="4" w:space="0"/>
              <w:right w:val="single" w:color="auto" w:sz="4" w:space="0"/>
            </w:tcBorders>
            <w:vAlign w:val="center"/>
          </w:tcPr>
          <w:p w14:paraId="3E26BEEB">
            <w:pPr>
              <w:spacing w:line="420" w:lineRule="exact"/>
              <w:rPr>
                <w:rFonts w:ascii="宋体" w:hAnsi="Times New Roman" w:eastAsia="宋体"/>
                <w:szCs w:val="21"/>
              </w:rPr>
            </w:pPr>
            <w:r>
              <w:rPr>
                <w:rFonts w:hint="eastAsia" w:ascii="宋体" w:hAnsi="宋体"/>
              </w:rPr>
              <w:t>计划控制</w:t>
            </w:r>
          </w:p>
        </w:tc>
        <w:tc>
          <w:tcPr>
            <w:tcW w:w="775" w:type="dxa"/>
            <w:tcBorders>
              <w:top w:val="single" w:color="auto" w:sz="4" w:space="0"/>
              <w:left w:val="single" w:color="auto" w:sz="4" w:space="0"/>
              <w:bottom w:val="single" w:color="auto" w:sz="4" w:space="0"/>
              <w:right w:val="single" w:color="auto" w:sz="4" w:space="0"/>
            </w:tcBorders>
            <w:vAlign w:val="center"/>
          </w:tcPr>
          <w:p w14:paraId="286C4BEF">
            <w:pPr>
              <w:spacing w:line="420" w:lineRule="exact"/>
              <w:jc w:val="center"/>
              <w:rPr>
                <w:rFonts w:ascii="宋体" w:hAnsi="宋体" w:eastAsia="宋体"/>
                <w:szCs w:val="21"/>
              </w:rPr>
            </w:pPr>
            <w:r>
              <w:rPr>
                <w:rFonts w:hint="eastAsia" w:ascii="宋体" w:hAnsi="宋体"/>
                <w:bCs/>
              </w:rPr>
              <w:t>5</w:t>
            </w:r>
          </w:p>
        </w:tc>
        <w:tc>
          <w:tcPr>
            <w:tcW w:w="5000" w:type="dxa"/>
            <w:tcBorders>
              <w:top w:val="single" w:color="auto" w:sz="4" w:space="0"/>
              <w:left w:val="single" w:color="auto" w:sz="4" w:space="0"/>
              <w:bottom w:val="single" w:color="auto" w:sz="4" w:space="0"/>
              <w:right w:val="single" w:color="auto" w:sz="4" w:space="0"/>
            </w:tcBorders>
            <w:vAlign w:val="center"/>
          </w:tcPr>
          <w:p w14:paraId="1BFA3B36">
            <w:pPr>
              <w:spacing w:line="420" w:lineRule="exact"/>
              <w:rPr>
                <w:rFonts w:ascii="宋体" w:hAnsi="Times New Roman" w:eastAsia="宋体"/>
                <w:bCs/>
                <w:szCs w:val="21"/>
              </w:rPr>
            </w:pPr>
            <w:r>
              <w:rPr>
                <w:rFonts w:hint="eastAsia" w:ascii="宋体" w:hAnsi="宋体"/>
                <w:bCs/>
              </w:rPr>
              <w:t>有详细可行的行动计划能保证项目进度，有风险管理。综合评审，自主赋分。</w:t>
            </w:r>
          </w:p>
        </w:tc>
      </w:tr>
      <w:tr w14:paraId="0CBA6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825" w:type="dxa"/>
            <w:tcBorders>
              <w:top w:val="single" w:color="auto" w:sz="4" w:space="0"/>
              <w:left w:val="single" w:color="auto" w:sz="4" w:space="0"/>
              <w:bottom w:val="single" w:color="auto" w:sz="4" w:space="0"/>
              <w:right w:val="single" w:color="auto" w:sz="4" w:space="0"/>
            </w:tcBorders>
            <w:vAlign w:val="center"/>
          </w:tcPr>
          <w:p w14:paraId="6F079EF5">
            <w:pPr>
              <w:spacing w:line="420" w:lineRule="exact"/>
              <w:jc w:val="center"/>
              <w:rPr>
                <w:rFonts w:ascii="宋体" w:hAnsi="宋体" w:eastAsia="宋体"/>
                <w:szCs w:val="21"/>
              </w:rPr>
            </w:pPr>
            <w:r>
              <w:rPr>
                <w:rFonts w:hint="eastAsia" w:ascii="宋体" w:hAnsi="宋体" w:eastAsia="宋体"/>
              </w:rPr>
              <w:t>5</w:t>
            </w:r>
          </w:p>
        </w:tc>
        <w:tc>
          <w:tcPr>
            <w:tcW w:w="3225" w:type="dxa"/>
            <w:tcBorders>
              <w:top w:val="single" w:color="auto" w:sz="4" w:space="0"/>
              <w:left w:val="single" w:color="auto" w:sz="4" w:space="0"/>
              <w:bottom w:val="single" w:color="auto" w:sz="4" w:space="0"/>
              <w:right w:val="single" w:color="auto" w:sz="4" w:space="0"/>
            </w:tcBorders>
            <w:vAlign w:val="center"/>
          </w:tcPr>
          <w:p w14:paraId="50AB0022">
            <w:pPr>
              <w:spacing w:line="420" w:lineRule="exact"/>
              <w:rPr>
                <w:rFonts w:ascii="宋体" w:hAnsi="Times New Roman" w:eastAsia="宋体"/>
                <w:szCs w:val="21"/>
              </w:rPr>
            </w:pPr>
            <w:r>
              <w:rPr>
                <w:rFonts w:hint="eastAsia" w:ascii="宋体" w:hAnsi="宋体"/>
              </w:rPr>
              <w:t>业绩</w:t>
            </w:r>
          </w:p>
        </w:tc>
        <w:tc>
          <w:tcPr>
            <w:tcW w:w="775" w:type="dxa"/>
            <w:tcBorders>
              <w:top w:val="single" w:color="auto" w:sz="4" w:space="0"/>
              <w:left w:val="single" w:color="auto" w:sz="4" w:space="0"/>
              <w:bottom w:val="single" w:color="auto" w:sz="4" w:space="0"/>
              <w:right w:val="single" w:color="auto" w:sz="4" w:space="0"/>
            </w:tcBorders>
            <w:vAlign w:val="center"/>
          </w:tcPr>
          <w:p w14:paraId="534D53E1">
            <w:pPr>
              <w:spacing w:line="420" w:lineRule="exact"/>
              <w:jc w:val="center"/>
              <w:rPr>
                <w:rFonts w:ascii="宋体" w:hAnsi="宋体" w:eastAsia="宋体"/>
                <w:szCs w:val="21"/>
              </w:rPr>
            </w:pPr>
            <w:r>
              <w:rPr>
                <w:rFonts w:hint="eastAsia" w:ascii="宋体" w:hAnsi="宋体"/>
              </w:rPr>
              <w:t>5</w:t>
            </w:r>
          </w:p>
        </w:tc>
        <w:tc>
          <w:tcPr>
            <w:tcW w:w="5000" w:type="dxa"/>
            <w:tcBorders>
              <w:top w:val="single" w:color="auto" w:sz="4" w:space="0"/>
              <w:left w:val="single" w:color="auto" w:sz="4" w:space="0"/>
              <w:bottom w:val="single" w:color="auto" w:sz="4" w:space="0"/>
              <w:right w:val="single" w:color="auto" w:sz="4" w:space="0"/>
            </w:tcBorders>
            <w:vAlign w:val="center"/>
          </w:tcPr>
          <w:p w14:paraId="7697A95E">
            <w:pPr>
              <w:spacing w:line="420" w:lineRule="exact"/>
              <w:rPr>
                <w:rFonts w:ascii="宋体" w:hAnsi="Times New Roman" w:eastAsia="宋体"/>
                <w:bCs/>
                <w:szCs w:val="21"/>
              </w:rPr>
            </w:pPr>
            <w:r>
              <w:rPr>
                <w:rFonts w:hint="eastAsia" w:ascii="宋体" w:hAnsi="宋体"/>
                <w:bCs/>
              </w:rPr>
              <w:t>最近连续三年有国内外知名厂家同类设备的供货经历或其他大型供货经历、安装施工经验，并提供从调试完毕后截至目前实际正常运行时间证明，提供3份以上投标同类产品开发合同证明材料，得5分；提供3份得4分；提供2份得3分；提供1份证明材料的，得2分；无证明材料的，不得分。</w:t>
            </w:r>
          </w:p>
        </w:tc>
      </w:tr>
      <w:tr w14:paraId="0A677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825" w:type="dxa"/>
            <w:tcBorders>
              <w:top w:val="single" w:color="auto" w:sz="4" w:space="0"/>
              <w:left w:val="single" w:color="auto" w:sz="4" w:space="0"/>
              <w:bottom w:val="single" w:color="auto" w:sz="4" w:space="0"/>
              <w:right w:val="single" w:color="auto" w:sz="4" w:space="0"/>
            </w:tcBorders>
            <w:vAlign w:val="center"/>
          </w:tcPr>
          <w:p w14:paraId="3EFA2D5A">
            <w:pPr>
              <w:spacing w:line="420" w:lineRule="exact"/>
              <w:jc w:val="center"/>
              <w:rPr>
                <w:rFonts w:ascii="宋体" w:hAnsi="宋体" w:eastAsia="宋体"/>
                <w:szCs w:val="21"/>
              </w:rPr>
            </w:pPr>
            <w:r>
              <w:rPr>
                <w:rFonts w:hint="eastAsia" w:ascii="宋体" w:hAnsi="宋体" w:eastAsia="宋体"/>
              </w:rPr>
              <w:t>6</w:t>
            </w:r>
          </w:p>
        </w:tc>
        <w:tc>
          <w:tcPr>
            <w:tcW w:w="3225" w:type="dxa"/>
            <w:tcBorders>
              <w:top w:val="single" w:color="auto" w:sz="4" w:space="0"/>
              <w:left w:val="single" w:color="auto" w:sz="4" w:space="0"/>
              <w:bottom w:val="single" w:color="auto" w:sz="4" w:space="0"/>
              <w:right w:val="single" w:color="auto" w:sz="4" w:space="0"/>
            </w:tcBorders>
            <w:vAlign w:val="center"/>
          </w:tcPr>
          <w:p w14:paraId="47D4CDC1">
            <w:pPr>
              <w:spacing w:line="420" w:lineRule="exact"/>
              <w:rPr>
                <w:rFonts w:ascii="宋体" w:hAnsi="宋体" w:eastAsia="宋体"/>
                <w:szCs w:val="21"/>
              </w:rPr>
            </w:pPr>
            <w:r>
              <w:rPr>
                <w:rFonts w:hint="eastAsia" w:ascii="宋体" w:hAnsi="宋体"/>
              </w:rPr>
              <w:t>质量保证</w:t>
            </w:r>
          </w:p>
        </w:tc>
        <w:tc>
          <w:tcPr>
            <w:tcW w:w="775" w:type="dxa"/>
            <w:tcBorders>
              <w:top w:val="single" w:color="auto" w:sz="4" w:space="0"/>
              <w:left w:val="single" w:color="auto" w:sz="4" w:space="0"/>
              <w:bottom w:val="single" w:color="auto" w:sz="4" w:space="0"/>
              <w:right w:val="single" w:color="auto" w:sz="4" w:space="0"/>
            </w:tcBorders>
            <w:vAlign w:val="center"/>
          </w:tcPr>
          <w:p w14:paraId="2B2E67D5">
            <w:pPr>
              <w:spacing w:line="420" w:lineRule="exact"/>
              <w:jc w:val="center"/>
              <w:rPr>
                <w:rFonts w:ascii="宋体" w:hAnsi="宋体" w:eastAsia="宋体"/>
                <w:szCs w:val="21"/>
              </w:rPr>
            </w:pPr>
            <w:r>
              <w:rPr>
                <w:rFonts w:hint="eastAsia" w:ascii="宋体" w:hAnsi="宋体"/>
              </w:rPr>
              <w:t>5</w:t>
            </w:r>
          </w:p>
        </w:tc>
        <w:tc>
          <w:tcPr>
            <w:tcW w:w="5000" w:type="dxa"/>
            <w:tcBorders>
              <w:top w:val="single" w:color="auto" w:sz="4" w:space="0"/>
              <w:left w:val="single" w:color="auto" w:sz="4" w:space="0"/>
              <w:bottom w:val="single" w:color="auto" w:sz="4" w:space="0"/>
              <w:right w:val="single" w:color="auto" w:sz="4" w:space="0"/>
            </w:tcBorders>
            <w:vAlign w:val="center"/>
          </w:tcPr>
          <w:p w14:paraId="3323A27E">
            <w:pPr>
              <w:spacing w:line="420" w:lineRule="exact"/>
              <w:rPr>
                <w:rFonts w:ascii="宋体" w:hAnsi="Times New Roman" w:eastAsia="宋体"/>
                <w:bCs/>
                <w:szCs w:val="21"/>
              </w:rPr>
            </w:pPr>
            <w:r>
              <w:rPr>
                <w:rFonts w:hint="eastAsia" w:ascii="宋体" w:hAnsi="宋体"/>
                <w:bCs/>
              </w:rPr>
              <w:t>具有良好的质量管理体系和完备的检测体系，保证设备造质量符合要求（提供相应证明材料）。根据提供的资料综合评审，自主赋分。</w:t>
            </w:r>
          </w:p>
        </w:tc>
      </w:tr>
      <w:tr w14:paraId="671D8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825" w:type="dxa"/>
            <w:tcBorders>
              <w:top w:val="single" w:color="auto" w:sz="4" w:space="0"/>
              <w:left w:val="single" w:color="auto" w:sz="4" w:space="0"/>
              <w:bottom w:val="single" w:color="auto" w:sz="4" w:space="0"/>
              <w:right w:val="single" w:color="auto" w:sz="4" w:space="0"/>
            </w:tcBorders>
            <w:vAlign w:val="center"/>
          </w:tcPr>
          <w:p w14:paraId="5EBC624F">
            <w:pPr>
              <w:spacing w:line="420" w:lineRule="exact"/>
              <w:jc w:val="center"/>
              <w:rPr>
                <w:rFonts w:ascii="宋体" w:hAnsi="宋体" w:eastAsia="宋体"/>
              </w:rPr>
            </w:pPr>
            <w:r>
              <w:rPr>
                <w:rFonts w:hint="eastAsia" w:ascii="宋体" w:hAnsi="宋体" w:eastAsia="宋体"/>
              </w:rPr>
              <w:t>7</w:t>
            </w:r>
          </w:p>
        </w:tc>
        <w:tc>
          <w:tcPr>
            <w:tcW w:w="3225" w:type="dxa"/>
            <w:tcBorders>
              <w:top w:val="single" w:color="auto" w:sz="4" w:space="0"/>
              <w:left w:val="single" w:color="auto" w:sz="4" w:space="0"/>
              <w:bottom w:val="single" w:color="auto" w:sz="4" w:space="0"/>
              <w:right w:val="single" w:color="auto" w:sz="4" w:space="0"/>
            </w:tcBorders>
            <w:vAlign w:val="center"/>
          </w:tcPr>
          <w:p w14:paraId="1412880D">
            <w:pPr>
              <w:spacing w:line="420" w:lineRule="exact"/>
              <w:rPr>
                <w:rFonts w:ascii="宋体" w:hAnsi="宋体"/>
              </w:rPr>
            </w:pPr>
            <w:r>
              <w:rPr>
                <w:rFonts w:hint="eastAsia"/>
                <w:szCs w:val="21"/>
              </w:rPr>
              <w:t>技术偏离</w:t>
            </w:r>
          </w:p>
        </w:tc>
        <w:tc>
          <w:tcPr>
            <w:tcW w:w="775" w:type="dxa"/>
            <w:tcBorders>
              <w:top w:val="single" w:color="auto" w:sz="4" w:space="0"/>
              <w:left w:val="single" w:color="auto" w:sz="4" w:space="0"/>
              <w:bottom w:val="single" w:color="auto" w:sz="4" w:space="0"/>
              <w:right w:val="single" w:color="auto" w:sz="4" w:space="0"/>
            </w:tcBorders>
            <w:vAlign w:val="center"/>
          </w:tcPr>
          <w:p w14:paraId="563C5FB8">
            <w:pPr>
              <w:spacing w:line="420" w:lineRule="exact"/>
              <w:jc w:val="center"/>
              <w:rPr>
                <w:rFonts w:ascii="宋体" w:hAnsi="宋体"/>
              </w:rPr>
            </w:pPr>
            <w:r>
              <w:rPr>
                <w:rFonts w:hint="eastAsia" w:ascii="宋体" w:hAnsi="宋体"/>
              </w:rPr>
              <w:t>5</w:t>
            </w:r>
          </w:p>
        </w:tc>
        <w:tc>
          <w:tcPr>
            <w:tcW w:w="5000" w:type="dxa"/>
            <w:tcBorders>
              <w:top w:val="single" w:color="auto" w:sz="4" w:space="0"/>
              <w:left w:val="single" w:color="auto" w:sz="4" w:space="0"/>
              <w:bottom w:val="single" w:color="auto" w:sz="4" w:space="0"/>
              <w:right w:val="single" w:color="auto" w:sz="4" w:space="0"/>
            </w:tcBorders>
            <w:vAlign w:val="center"/>
          </w:tcPr>
          <w:p w14:paraId="3062DE4E">
            <w:pPr>
              <w:spacing w:line="420" w:lineRule="exact"/>
              <w:rPr>
                <w:szCs w:val="21"/>
              </w:rPr>
            </w:pPr>
            <w:r>
              <w:rPr>
                <w:rFonts w:hint="eastAsia"/>
                <w:szCs w:val="21"/>
              </w:rPr>
              <w:t>技术方案优于招标要求的视情况加1-5分；</w:t>
            </w:r>
          </w:p>
          <w:p w14:paraId="0FA51B10">
            <w:pPr>
              <w:spacing w:line="420" w:lineRule="exact"/>
              <w:rPr>
                <w:rFonts w:ascii="宋体" w:hAnsi="宋体"/>
                <w:bCs/>
              </w:rPr>
            </w:pPr>
            <w:r>
              <w:rPr>
                <w:rFonts w:hint="eastAsia"/>
                <w:szCs w:val="21"/>
              </w:rPr>
              <w:t>不满足招标要求的视情况减1-5分。</w:t>
            </w:r>
          </w:p>
        </w:tc>
      </w:tr>
      <w:tr w14:paraId="413F0A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0" w:hRule="atLeast"/>
        </w:trPr>
        <w:tc>
          <w:tcPr>
            <w:tcW w:w="825" w:type="dxa"/>
            <w:tcBorders>
              <w:top w:val="single" w:color="auto" w:sz="4" w:space="0"/>
              <w:left w:val="single" w:color="auto" w:sz="4" w:space="0"/>
              <w:bottom w:val="single" w:color="auto" w:sz="4" w:space="0"/>
              <w:right w:val="single" w:color="auto" w:sz="4" w:space="0"/>
            </w:tcBorders>
            <w:vAlign w:val="center"/>
          </w:tcPr>
          <w:p w14:paraId="6F877169">
            <w:pPr>
              <w:spacing w:line="420" w:lineRule="exact"/>
              <w:jc w:val="center"/>
              <w:rPr>
                <w:rFonts w:ascii="宋体" w:hAnsi="宋体" w:eastAsia="宋体"/>
                <w:szCs w:val="21"/>
              </w:rPr>
            </w:pPr>
            <w:r>
              <w:rPr>
                <w:rFonts w:hint="eastAsia" w:ascii="宋体" w:hAnsi="宋体" w:eastAsia="宋体"/>
              </w:rPr>
              <w:t>8</w:t>
            </w:r>
          </w:p>
        </w:tc>
        <w:tc>
          <w:tcPr>
            <w:tcW w:w="3225" w:type="dxa"/>
            <w:tcBorders>
              <w:top w:val="single" w:color="auto" w:sz="4" w:space="0"/>
              <w:left w:val="single" w:color="auto" w:sz="4" w:space="0"/>
              <w:bottom w:val="single" w:color="auto" w:sz="4" w:space="0"/>
              <w:right w:val="single" w:color="auto" w:sz="4" w:space="0"/>
            </w:tcBorders>
            <w:vAlign w:val="center"/>
          </w:tcPr>
          <w:p w14:paraId="084E0795">
            <w:pPr>
              <w:spacing w:line="420" w:lineRule="exact"/>
              <w:rPr>
                <w:rFonts w:ascii="宋体" w:hAnsi="宋体" w:eastAsia="宋体"/>
                <w:szCs w:val="21"/>
              </w:rPr>
            </w:pPr>
            <w:r>
              <w:rPr>
                <w:rFonts w:hint="eastAsia" w:ascii="宋体" w:hAnsi="宋体" w:eastAsia="宋体"/>
              </w:rPr>
              <w:t>项目交期</w:t>
            </w:r>
          </w:p>
        </w:tc>
        <w:tc>
          <w:tcPr>
            <w:tcW w:w="775" w:type="dxa"/>
            <w:tcBorders>
              <w:top w:val="single" w:color="auto" w:sz="4" w:space="0"/>
              <w:left w:val="single" w:color="auto" w:sz="4" w:space="0"/>
              <w:bottom w:val="single" w:color="auto" w:sz="4" w:space="0"/>
              <w:right w:val="single" w:color="auto" w:sz="4" w:space="0"/>
            </w:tcBorders>
            <w:vAlign w:val="center"/>
          </w:tcPr>
          <w:p w14:paraId="2C1BC0C0">
            <w:pPr>
              <w:spacing w:line="420" w:lineRule="exact"/>
              <w:jc w:val="center"/>
              <w:rPr>
                <w:rFonts w:ascii="宋体" w:hAnsi="宋体" w:eastAsia="宋体"/>
                <w:szCs w:val="21"/>
              </w:rPr>
            </w:pPr>
            <w:r>
              <w:rPr>
                <w:rFonts w:hint="eastAsia" w:ascii="宋体" w:hAnsi="宋体" w:eastAsia="宋体"/>
              </w:rPr>
              <w:t>10</w:t>
            </w:r>
          </w:p>
        </w:tc>
        <w:tc>
          <w:tcPr>
            <w:tcW w:w="5000" w:type="dxa"/>
            <w:tcBorders>
              <w:top w:val="single" w:color="auto" w:sz="4" w:space="0"/>
              <w:left w:val="single" w:color="auto" w:sz="4" w:space="0"/>
              <w:bottom w:val="single" w:color="auto" w:sz="4" w:space="0"/>
              <w:right w:val="single" w:color="auto" w:sz="4" w:space="0"/>
            </w:tcBorders>
            <w:vAlign w:val="center"/>
          </w:tcPr>
          <w:p w14:paraId="1EBD66F3">
            <w:pPr>
              <w:tabs>
                <w:tab w:val="left" w:pos="7854"/>
              </w:tabs>
              <w:rPr>
                <w:rFonts w:hint="eastAsia"/>
                <w:szCs w:val="21"/>
              </w:rPr>
            </w:pPr>
            <w:r>
              <w:rPr>
                <w:rFonts w:hint="eastAsia"/>
                <w:szCs w:val="21"/>
              </w:rPr>
              <w:t>可以提前完成项目交货，视情况得</w:t>
            </w:r>
            <w:r>
              <w:rPr>
                <w:szCs w:val="21"/>
              </w:rPr>
              <w:t>0-</w:t>
            </w:r>
            <w:r>
              <w:rPr>
                <w:rFonts w:hint="eastAsia"/>
                <w:szCs w:val="21"/>
              </w:rPr>
              <w:t>10分。</w:t>
            </w:r>
          </w:p>
          <w:p w14:paraId="648E9059">
            <w:pPr>
              <w:pStyle w:val="13"/>
              <w:rPr>
                <w:rFonts w:hint="default" w:eastAsia="新宋体"/>
                <w:lang w:val="en-US" w:eastAsia="zh-CN"/>
              </w:rPr>
            </w:pPr>
            <w:r>
              <w:rPr>
                <w:rFonts w:hint="eastAsia"/>
                <w:szCs w:val="21"/>
                <w:lang w:val="en-US" w:eastAsia="zh-CN"/>
              </w:rPr>
              <w:t>延期交货，按时间长短，扣减1-5分</w:t>
            </w:r>
          </w:p>
        </w:tc>
      </w:tr>
    </w:tbl>
    <w:p w14:paraId="6BB8500F"/>
    <w:p w14:paraId="28B59743">
      <w:pPr>
        <w:pStyle w:val="17"/>
        <w:outlineLvl w:val="2"/>
        <w:rPr>
          <w:rFonts w:hint="eastAsia" w:hAnsi="宋体" w:eastAsia="宋体" w:cs="宋体"/>
          <w:b/>
          <w:bCs/>
          <w:color w:val="000000"/>
          <w:sz w:val="24"/>
          <w:szCs w:val="24"/>
          <w:highlight w:val="none"/>
        </w:rPr>
      </w:pPr>
    </w:p>
    <w:p w14:paraId="34E5EDCD">
      <w:pPr>
        <w:pStyle w:val="17"/>
        <w:outlineLvl w:val="2"/>
        <w:rPr>
          <w:rFonts w:hint="eastAsia" w:hAnsi="宋体" w:eastAsia="宋体" w:cs="宋体"/>
          <w:b/>
          <w:bCs/>
          <w:color w:val="000000"/>
          <w:sz w:val="24"/>
          <w:szCs w:val="24"/>
          <w:highlight w:val="none"/>
        </w:rPr>
      </w:pPr>
    </w:p>
    <w:p w14:paraId="36D54414">
      <w:pPr>
        <w:rPr>
          <w:rFonts w:hint="eastAsia" w:hAnsi="宋体" w:eastAsia="宋体" w:cs="宋体"/>
          <w:b/>
          <w:bCs/>
          <w:color w:val="000000"/>
          <w:sz w:val="24"/>
          <w:szCs w:val="24"/>
          <w:highlight w:val="none"/>
        </w:rPr>
      </w:pPr>
      <w:r>
        <w:rPr>
          <w:rFonts w:hint="eastAsia" w:hAnsi="宋体" w:eastAsia="宋体" w:cs="宋体"/>
          <w:b/>
          <w:bCs/>
          <w:color w:val="000000"/>
          <w:sz w:val="24"/>
          <w:szCs w:val="24"/>
          <w:highlight w:val="none"/>
        </w:rPr>
        <w:br w:type="page"/>
      </w:r>
    </w:p>
    <w:p w14:paraId="7775EC98">
      <w:pPr>
        <w:pStyle w:val="17"/>
        <w:outlineLvl w:val="2"/>
        <w:rPr>
          <w:rFonts w:hAnsi="宋体" w:eastAsia="宋体" w:cs="宋体"/>
          <w:b/>
          <w:bCs/>
          <w:color w:val="000000"/>
          <w:sz w:val="24"/>
          <w:szCs w:val="24"/>
          <w:highlight w:val="none"/>
        </w:rPr>
      </w:pPr>
      <w:r>
        <w:rPr>
          <w:rFonts w:hint="eastAsia" w:hAnsi="宋体" w:eastAsia="宋体" w:cs="宋体"/>
          <w:b/>
          <w:bCs/>
          <w:color w:val="000000"/>
          <w:sz w:val="24"/>
          <w:szCs w:val="24"/>
          <w:highlight w:val="none"/>
        </w:rPr>
        <w:t>附件15 SRM非生产供应商注册操作手册</w:t>
      </w:r>
    </w:p>
    <w:p w14:paraId="0CBAC7CD">
      <w:pPr>
        <w:pStyle w:val="17"/>
        <w:rPr>
          <w:rFonts w:eastAsia="宋体"/>
          <w:highlight w:val="none"/>
        </w:rPr>
      </w:pPr>
    </w:p>
    <w:p w14:paraId="3270064E">
      <w:pPr>
        <w:adjustRightInd w:val="0"/>
        <w:snapToGrid w:val="0"/>
        <w:spacing w:line="360" w:lineRule="auto"/>
        <w:jc w:val="left"/>
        <w:rPr>
          <w:rFonts w:ascii="宋体" w:hAnsi="宋体" w:eastAsia="宋体" w:cs="宋体"/>
          <w:sz w:val="24"/>
          <w:szCs w:val="24"/>
          <w:highlight w:val="none"/>
        </w:rPr>
      </w:pPr>
      <w:r>
        <w:rPr>
          <w:rFonts w:ascii="宋体" w:hAnsi="宋体" w:eastAsia="宋体" w:cs="宋体"/>
          <w:sz w:val="24"/>
          <w:szCs w:val="24"/>
          <w:highlight w:val="none"/>
        </w:rPr>
        <w:t>浏览器中输入地址;</w:t>
      </w:r>
    </w:p>
    <w:p w14:paraId="2F9E427A">
      <w:pPr>
        <w:adjustRightInd w:val="0"/>
        <w:snapToGrid w:val="0"/>
        <w:spacing w:line="360" w:lineRule="auto"/>
        <w:jc w:val="left"/>
        <w:rPr>
          <w:rFonts w:ascii="宋体" w:hAnsi="宋体" w:eastAsia="宋体" w:cs="宋体"/>
          <w:sz w:val="24"/>
          <w:szCs w:val="24"/>
          <w:highlight w:val="none"/>
        </w:rPr>
      </w:pPr>
      <w:r>
        <w:rPr>
          <w:highlight w:val="none"/>
        </w:rPr>
        <w:fldChar w:fldCharType="begin"/>
      </w:r>
      <w:r>
        <w:rPr>
          <w:highlight w:val="none"/>
        </w:rPr>
        <w:instrText xml:space="preserve"> HYPERLINK "http://ecaitong.sinotruk.com:8012/" \l "/login" \t "dlt" </w:instrText>
      </w:r>
      <w:r>
        <w:rPr>
          <w:highlight w:val="none"/>
        </w:rPr>
        <w:fldChar w:fldCharType="separate"/>
      </w:r>
      <w:r>
        <w:rPr>
          <w:rFonts w:ascii="宋体" w:hAnsi="宋体" w:eastAsia="宋体" w:cs="宋体"/>
          <w:sz w:val="24"/>
          <w:szCs w:val="24"/>
          <w:highlight w:val="none"/>
        </w:rPr>
        <w:t>http</w:t>
      </w:r>
      <w:r>
        <w:rPr>
          <w:rFonts w:hint="eastAsia" w:ascii="宋体" w:hAnsi="宋体" w:eastAsia="宋体" w:cs="宋体"/>
          <w:sz w:val="24"/>
          <w:szCs w:val="24"/>
          <w:highlight w:val="none"/>
        </w:rPr>
        <w:t>s</w:t>
      </w:r>
      <w:r>
        <w:rPr>
          <w:rFonts w:ascii="宋体" w:hAnsi="宋体" w:eastAsia="宋体" w:cs="宋体"/>
          <w:sz w:val="24"/>
          <w:szCs w:val="24"/>
          <w:highlight w:val="none"/>
        </w:rPr>
        <w:t>://ecaitong.sinotruk.com:8012/#/login</w:t>
      </w:r>
      <w:r>
        <w:rPr>
          <w:rFonts w:ascii="宋体" w:hAnsi="宋体" w:eastAsia="宋体" w:cs="宋体"/>
          <w:sz w:val="24"/>
          <w:szCs w:val="24"/>
          <w:highlight w:val="none"/>
        </w:rPr>
        <w:fldChar w:fldCharType="end"/>
      </w:r>
    </w:p>
    <w:p w14:paraId="617EA2AD">
      <w:pPr>
        <w:adjustRightInd w:val="0"/>
        <w:snapToGrid w:val="0"/>
        <w:spacing w:line="360" w:lineRule="auto"/>
        <w:jc w:val="left"/>
        <w:rPr>
          <w:rFonts w:ascii="宋体" w:hAnsi="宋体" w:eastAsia="宋体" w:cs="宋体"/>
          <w:sz w:val="24"/>
          <w:szCs w:val="24"/>
          <w:highlight w:val="none"/>
        </w:rPr>
      </w:pPr>
      <w:r>
        <w:rPr>
          <w:rFonts w:ascii="宋体" w:hAnsi="宋体" w:eastAsia="宋体" w:cs="宋体"/>
          <w:sz w:val="24"/>
          <w:szCs w:val="24"/>
          <w:highlight w:val="none"/>
        </w:rPr>
        <w:t>1.点击立即注册</w:t>
      </w:r>
    </w:p>
    <w:p w14:paraId="4D85D06C">
      <w:pPr>
        <w:snapToGrid w:val="0"/>
        <w:spacing w:line="312" w:lineRule="auto"/>
        <w:rPr>
          <w:highlight w:val="none"/>
        </w:rPr>
      </w:pPr>
      <w:r>
        <w:rPr>
          <w:highlight w:val="none"/>
        </w:rP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51"/>
                    <a:stretch>
                      <a:fillRect/>
                    </a:stretch>
                  </pic:blipFill>
                  <pic:spPr>
                    <a:xfrm>
                      <a:off x="0" y="0"/>
                      <a:ext cx="5760085" cy="2933377"/>
                    </a:xfrm>
                    <a:prstGeom prst="rect">
                      <a:avLst/>
                    </a:prstGeom>
                  </pic:spPr>
                </pic:pic>
              </a:graphicData>
            </a:graphic>
          </wp:inline>
        </w:drawing>
      </w:r>
    </w:p>
    <w:p w14:paraId="7E94B7A8">
      <w:pPr>
        <w:spacing w:line="360" w:lineRule="auto"/>
        <w:rPr>
          <w:rFonts w:ascii="宋体" w:hAnsi="宋体" w:eastAsia="宋体" w:cs="宋体"/>
          <w:sz w:val="24"/>
          <w:szCs w:val="28"/>
          <w:highlight w:val="none"/>
        </w:rPr>
      </w:pPr>
      <w:r>
        <w:rPr>
          <w:rFonts w:hint="eastAsia" w:ascii="宋体" w:hAnsi="宋体" w:eastAsia="宋体" w:cs="宋体"/>
          <w:color w:val="000000"/>
          <w:sz w:val="24"/>
          <w:szCs w:val="28"/>
          <w:highlight w:val="none"/>
        </w:rPr>
        <w:t>2.</w:t>
      </w:r>
      <w:r>
        <w:rPr>
          <w:rFonts w:ascii="宋体" w:hAnsi="宋体" w:eastAsia="宋体" w:cs="宋体"/>
          <w:color w:val="000000"/>
          <w:sz w:val="24"/>
          <w:szCs w:val="28"/>
          <w:highlight w:val="none"/>
        </w:rPr>
        <w:t>填写手机号码（没有注册过的）</w:t>
      </w:r>
    </w:p>
    <w:p w14:paraId="5F752E3A">
      <w:pPr>
        <w:snapToGrid w:val="0"/>
        <w:spacing w:line="312" w:lineRule="auto"/>
        <w:rPr>
          <w:highlight w:val="none"/>
        </w:rPr>
      </w:pPr>
      <w:r>
        <w:rPr>
          <w:highlight w:val="none"/>
        </w:rP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52"/>
                    <a:stretch>
                      <a:fillRect/>
                    </a:stretch>
                  </pic:blipFill>
                  <pic:spPr>
                    <a:xfrm>
                      <a:off x="0" y="0"/>
                      <a:ext cx="5760085" cy="2766707"/>
                    </a:xfrm>
                    <a:prstGeom prst="rect">
                      <a:avLst/>
                    </a:prstGeom>
                  </pic:spPr>
                </pic:pic>
              </a:graphicData>
            </a:graphic>
          </wp:inline>
        </w:drawing>
      </w:r>
    </w:p>
    <w:p w14:paraId="3503E953">
      <w:pPr>
        <w:spacing w:line="360" w:lineRule="auto"/>
        <w:rPr>
          <w:rFonts w:ascii="宋体" w:hAnsi="宋体" w:eastAsia="宋体" w:cs="宋体"/>
          <w:sz w:val="24"/>
          <w:szCs w:val="28"/>
          <w:highlight w:val="none"/>
        </w:rPr>
      </w:pPr>
      <w:r>
        <w:rPr>
          <w:rFonts w:hint="eastAsia" w:ascii="宋体" w:hAnsi="宋体" w:eastAsia="宋体" w:cs="宋体"/>
          <w:color w:val="000000"/>
          <w:sz w:val="24"/>
          <w:szCs w:val="28"/>
          <w:highlight w:val="none"/>
        </w:rPr>
        <w:t>3.</w:t>
      </w:r>
      <w:r>
        <w:rPr>
          <w:rFonts w:ascii="宋体" w:hAnsi="宋体" w:eastAsia="宋体" w:cs="宋体"/>
          <w:color w:val="000000"/>
          <w:sz w:val="24"/>
          <w:szCs w:val="28"/>
          <w:highlight w:val="none"/>
        </w:rPr>
        <w:t>注册成功登录这个手机号码的账号进入系统，点击供应商注册</w:t>
      </w:r>
    </w:p>
    <w:p w14:paraId="0341E5D1">
      <w:pPr>
        <w:snapToGrid w:val="0"/>
        <w:spacing w:line="312" w:lineRule="auto"/>
        <w:rPr>
          <w:highlight w:val="none"/>
        </w:rPr>
      </w:pPr>
      <w:r>
        <w:rPr>
          <w:highlight w:val="none"/>
        </w:rP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53"/>
                    <a:stretch>
                      <a:fillRect/>
                    </a:stretch>
                  </pic:blipFill>
                  <pic:spPr>
                    <a:xfrm>
                      <a:off x="0" y="0"/>
                      <a:ext cx="5760085" cy="2870054"/>
                    </a:xfrm>
                    <a:prstGeom prst="rect">
                      <a:avLst/>
                    </a:prstGeom>
                  </pic:spPr>
                </pic:pic>
              </a:graphicData>
            </a:graphic>
          </wp:inline>
        </w:drawing>
      </w:r>
    </w:p>
    <w:p w14:paraId="1669BBA0">
      <w:pPr>
        <w:spacing w:line="360" w:lineRule="auto"/>
        <w:rPr>
          <w:rFonts w:ascii="宋体" w:hAnsi="宋体" w:eastAsia="宋体" w:cs="宋体"/>
          <w:sz w:val="24"/>
          <w:szCs w:val="28"/>
          <w:highlight w:val="none"/>
        </w:rPr>
      </w:pPr>
      <w:r>
        <w:rPr>
          <w:rFonts w:hint="eastAsia" w:ascii="宋体" w:hAnsi="宋体" w:eastAsia="宋体" w:cs="宋体"/>
          <w:color w:val="000000"/>
          <w:sz w:val="24"/>
          <w:szCs w:val="28"/>
          <w:highlight w:val="none"/>
        </w:rPr>
        <w:t>4.</w:t>
      </w:r>
      <w:r>
        <w:rPr>
          <w:rFonts w:ascii="宋体" w:hAnsi="宋体" w:eastAsia="宋体" w:cs="宋体"/>
          <w:color w:val="000000"/>
          <w:sz w:val="24"/>
          <w:szCs w:val="28"/>
          <w:highlight w:val="none"/>
        </w:rPr>
        <w:t>点击新增</w:t>
      </w:r>
    </w:p>
    <w:p w14:paraId="3BD9BF70">
      <w:pPr>
        <w:snapToGrid w:val="0"/>
        <w:spacing w:line="312" w:lineRule="auto"/>
        <w:rPr>
          <w:highlight w:val="none"/>
        </w:rPr>
      </w:pPr>
      <w:r>
        <w:rPr>
          <w:highlight w:val="none"/>
        </w:rP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54"/>
                    <a:stretch>
                      <a:fillRect/>
                    </a:stretch>
                  </pic:blipFill>
                  <pic:spPr>
                    <a:xfrm>
                      <a:off x="0" y="0"/>
                      <a:ext cx="5760085" cy="2853375"/>
                    </a:xfrm>
                    <a:prstGeom prst="rect">
                      <a:avLst/>
                    </a:prstGeom>
                  </pic:spPr>
                </pic:pic>
              </a:graphicData>
            </a:graphic>
          </wp:inline>
        </w:drawing>
      </w:r>
    </w:p>
    <w:p w14:paraId="302F46D7">
      <w:pPr>
        <w:spacing w:line="360" w:lineRule="auto"/>
        <w:rPr>
          <w:rFonts w:ascii="宋体" w:hAnsi="宋体" w:eastAsia="宋体" w:cs="宋体"/>
          <w:sz w:val="24"/>
          <w:szCs w:val="28"/>
          <w:highlight w:val="none"/>
        </w:rPr>
      </w:pPr>
      <w:r>
        <w:rPr>
          <w:rFonts w:hint="eastAsia" w:ascii="宋体" w:hAnsi="宋体" w:eastAsia="宋体" w:cs="宋体"/>
          <w:sz w:val="24"/>
          <w:szCs w:val="28"/>
          <w:highlight w:val="none"/>
        </w:rPr>
        <w:t>5</w:t>
      </w:r>
      <w:r>
        <w:rPr>
          <w:rFonts w:hint="eastAsia" w:ascii="宋体" w:hAnsi="宋体" w:eastAsia="宋体" w:cs="宋体"/>
          <w:color w:val="000000"/>
          <w:sz w:val="24"/>
          <w:szCs w:val="28"/>
          <w:highlight w:val="none"/>
        </w:rPr>
        <w:t>.</w:t>
      </w:r>
      <w:r>
        <w:rPr>
          <w:rFonts w:ascii="宋体" w:hAnsi="宋体" w:eastAsia="宋体" w:cs="宋体"/>
          <w:color w:val="000000"/>
          <w:sz w:val="24"/>
          <w:szCs w:val="28"/>
          <w:highlight w:val="none"/>
        </w:rPr>
        <w:t>按要求填写所有信息，注意非生产类要填写合作单位，最后提交审批</w:t>
      </w:r>
    </w:p>
    <w:p w14:paraId="0318F8C6">
      <w:pPr>
        <w:pStyle w:val="17"/>
        <w:rPr>
          <w:highlight w:val="none"/>
        </w:rPr>
      </w:pPr>
    </w:p>
    <w:p w14:paraId="372FF31B">
      <w:pPr>
        <w:rPr>
          <w:highlight w:val="none"/>
        </w:rPr>
      </w:pPr>
      <w:r>
        <w:rPr>
          <w:highlight w:val="none"/>
        </w:rP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55"/>
                    <a:stretch>
                      <a:fillRect/>
                    </a:stretch>
                  </pic:blipFill>
                  <pic:spPr>
                    <a:xfrm>
                      <a:off x="0" y="0"/>
                      <a:ext cx="5760085" cy="2810122"/>
                    </a:xfrm>
                    <a:prstGeom prst="rect">
                      <a:avLst/>
                    </a:prstGeom>
                  </pic:spPr>
                </pic:pic>
              </a:graphicData>
            </a:graphic>
          </wp:inline>
        </w:drawing>
      </w:r>
    </w:p>
    <w:p w14:paraId="51524633">
      <w:pPr>
        <w:pStyle w:val="17"/>
        <w:rPr>
          <w:highlight w:val="none"/>
        </w:rPr>
      </w:pPr>
      <w:r>
        <w:rPr>
          <w:highlight w:val="none"/>
        </w:rP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56"/>
                    <a:stretch>
                      <a:fillRect/>
                    </a:stretch>
                  </pic:blipFill>
                  <pic:spPr>
                    <a:xfrm>
                      <a:off x="0" y="0"/>
                      <a:ext cx="5760085" cy="2820042"/>
                    </a:xfrm>
                    <a:prstGeom prst="rect">
                      <a:avLst/>
                    </a:prstGeom>
                  </pic:spPr>
                </pic:pic>
              </a:graphicData>
            </a:graphic>
          </wp:inline>
        </w:drawing>
      </w:r>
    </w:p>
    <w:p w14:paraId="49341006">
      <w:pPr>
        <w:pStyle w:val="17"/>
        <w:rPr>
          <w:highlight w:val="none"/>
        </w:rPr>
      </w:pPr>
    </w:p>
    <w:p w14:paraId="547CFD4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5311897C">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1.“项目名称”和“采购形式编号”见投标须知前附表1.1；</w:t>
      </w:r>
    </w:p>
    <w:p w14:paraId="190E423C">
      <w:pPr>
        <w:pStyle w:val="17"/>
        <w:rPr>
          <w:highlight w:val="none"/>
        </w:rPr>
      </w:pPr>
      <w:r>
        <w:rPr>
          <w:rFonts w:hint="eastAsia" w:hAnsi="宋体" w:eastAsia="宋体" w:cs="宋体"/>
          <w:b/>
          <w:bCs/>
          <w:color w:val="000000"/>
          <w:sz w:val="24"/>
          <w:szCs w:val="28"/>
          <w:highlight w:val="none"/>
        </w:rPr>
        <w:t>2.配套能力“供货类别”填“直管单位非生产招标 / 工艺设备 / 工艺设备”。</w:t>
      </w:r>
    </w:p>
    <w:p w14:paraId="456D8BDC">
      <w:pPr>
        <w:pStyle w:val="17"/>
        <w:rPr>
          <w:highlight w:val="none"/>
        </w:rPr>
        <w:sectPr>
          <w:footerReference r:id="rId41" w:type="default"/>
          <w:pgSz w:w="11906" w:h="16838"/>
          <w:pgMar w:top="1588" w:right="1418" w:bottom="1134" w:left="1418" w:header="851" w:footer="992" w:gutter="0"/>
          <w:pgNumType w:fmt="decimal"/>
          <w:cols w:space="720" w:num="1"/>
          <w:titlePg/>
          <w:docGrid w:type="lines" w:linePitch="312" w:charSpace="0"/>
        </w:sectPr>
      </w:pPr>
    </w:p>
    <w:p w14:paraId="4786FC37">
      <w:pPr>
        <w:pStyle w:val="17"/>
        <w:outlineLvl w:val="2"/>
        <w:rPr>
          <w:rFonts w:hAnsi="宋体" w:eastAsia="宋体" w:cs="Times New Roman"/>
          <w:b/>
          <w:color w:val="000000"/>
          <w:sz w:val="24"/>
          <w:szCs w:val="24"/>
          <w:highlight w:val="none"/>
        </w:rPr>
      </w:pPr>
      <w:r>
        <w:rPr>
          <w:rFonts w:hint="eastAsia" w:hAnsi="宋体" w:eastAsia="宋体" w:cs="宋体"/>
          <w:b/>
          <w:bCs/>
          <w:color w:val="000000"/>
          <w:sz w:val="24"/>
          <w:szCs w:val="24"/>
          <w:highlight w:val="none"/>
        </w:rPr>
        <w:t xml:space="preserve">附件16 </w:t>
      </w:r>
      <w:r>
        <w:rPr>
          <w:rFonts w:hint="eastAsia" w:hAnsi="宋体" w:eastAsia="宋体" w:cs="Times New Roman"/>
          <w:b/>
          <w:color w:val="000000"/>
          <w:sz w:val="24"/>
          <w:szCs w:val="24"/>
          <w:highlight w:val="none"/>
        </w:rPr>
        <w:t>SRM系统供应商用户手册</w:t>
      </w:r>
    </w:p>
    <w:p w14:paraId="65B4B0B6">
      <w:pPr>
        <w:spacing w:line="360" w:lineRule="auto"/>
        <w:rPr>
          <w:rFonts w:ascii="宋体" w:hAnsi="宋体" w:eastAsia="宋体" w:cs="宋体"/>
          <w:sz w:val="24"/>
          <w:szCs w:val="24"/>
          <w:highlight w:val="none"/>
        </w:rPr>
      </w:pPr>
      <w:r>
        <w:rPr>
          <w:rFonts w:hint="eastAsia" w:ascii="宋体" w:hAnsi="宋体" w:eastAsia="宋体" w:cs="宋体"/>
          <w:color w:val="000000"/>
          <w:sz w:val="24"/>
          <w:szCs w:val="24"/>
          <w:highlight w:val="none"/>
        </w:rPr>
        <w:t>系统网址：</w:t>
      </w:r>
      <w:r>
        <w:rPr>
          <w:highlight w:val="none"/>
        </w:rPr>
        <w:fldChar w:fldCharType="begin"/>
      </w:r>
      <w:r>
        <w:rPr>
          <w:highlight w:val="none"/>
        </w:rPr>
        <w:instrText xml:space="preserve"> HYPERLINK "http://ecaitong.sinotruk.com:8012/" \t "dlt" </w:instrText>
      </w:r>
      <w:r>
        <w:rPr>
          <w:highlight w:val="none"/>
        </w:rPr>
        <w:fldChar w:fldCharType="separate"/>
      </w:r>
      <w:r>
        <w:rPr>
          <w:rStyle w:val="45"/>
          <w:rFonts w:hint="eastAsia" w:ascii="宋体" w:hAnsi="宋体" w:eastAsia="宋体" w:cs="宋体"/>
          <w:sz w:val="24"/>
          <w:szCs w:val="24"/>
          <w:highlight w:val="none"/>
        </w:rPr>
        <w:t>https://ecaitong.sinotruk.com:8012/</w:t>
      </w:r>
      <w:r>
        <w:rPr>
          <w:rStyle w:val="45"/>
          <w:rFonts w:hint="eastAsia" w:ascii="宋体" w:hAnsi="宋体" w:eastAsia="宋体" w:cs="宋体"/>
          <w:sz w:val="24"/>
          <w:szCs w:val="24"/>
          <w:highlight w:val="none"/>
        </w:rPr>
        <w:fldChar w:fldCharType="end"/>
      </w:r>
    </w:p>
    <w:p w14:paraId="6004B53C">
      <w:pPr>
        <w:spacing w:line="360" w:lineRule="auto"/>
        <w:rPr>
          <w:rFonts w:ascii="宋体" w:hAnsi="宋体" w:eastAsia="宋体" w:cs="宋体"/>
          <w:sz w:val="24"/>
          <w:szCs w:val="24"/>
          <w:highlight w:val="none"/>
        </w:rPr>
      </w:pPr>
      <w:r>
        <w:rPr>
          <w:rFonts w:hint="eastAsia" w:ascii="宋体" w:hAnsi="宋体" w:eastAsia="宋体" w:cs="宋体"/>
          <w:color w:val="000000"/>
          <w:sz w:val="24"/>
          <w:szCs w:val="24"/>
          <w:highlight w:val="none"/>
        </w:rPr>
        <w:t>用 户 名：gys+供应商代码（</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3EB616F9">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color w:val="000000"/>
          <w:sz w:val="24"/>
          <w:szCs w:val="24"/>
          <w:highlight w:val="none"/>
        </w:rPr>
        <w:t>初始密码：</w:t>
      </w:r>
      <w:r>
        <w:rPr>
          <w:rFonts w:hint="eastAsia" w:ascii="宋体" w:hAnsi="宋体" w:eastAsia="宋体" w:cs="宋体"/>
          <w:color w:val="000000"/>
          <w:sz w:val="24"/>
          <w:szCs w:val="24"/>
          <w:highlight w:val="none"/>
          <w:lang w:val="en-US" w:eastAsia="zh-CN"/>
        </w:rPr>
        <w:t>见短信</w:t>
      </w:r>
    </w:p>
    <w:p w14:paraId="6B4425CA">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1.供应商应标</w:t>
      </w:r>
    </w:p>
    <w:p w14:paraId="11EEAA61">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供应商应标</w:t>
      </w:r>
    </w:p>
    <w:p w14:paraId="6DC36B1E">
      <w:pPr>
        <w:spacing w:line="360" w:lineRule="auto"/>
        <w:rPr>
          <w:rFonts w:ascii="宋体" w:hAnsi="宋体" w:eastAsia="宋体" w:cs="宋体"/>
          <w:color w:val="000000"/>
          <w:sz w:val="24"/>
          <w:szCs w:val="24"/>
          <w:highlight w:val="none"/>
        </w:rPr>
      </w:pPr>
      <w:r>
        <w:rPr>
          <w:rFonts w:ascii="宋体" w:hAnsi="宋体" w:eastAsia="宋体" w:cs="宋体"/>
          <w:color w:val="000000"/>
          <w:sz w:val="24"/>
          <w:szCs w:val="24"/>
          <w:highlight w:val="none"/>
        </w:rPr>
        <w:t>点击应标，上传文件之后点击提交。</w:t>
      </w:r>
    </w:p>
    <w:p w14:paraId="63798EA2">
      <w:pPr>
        <w:rPr>
          <w:highlight w:val="none"/>
        </w:rPr>
      </w:pPr>
      <w:r>
        <w:rPr>
          <w:highlight w:val="none"/>
        </w:rP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57"/>
                    <a:stretch>
                      <a:fillRect/>
                    </a:stretch>
                  </pic:blipFill>
                  <pic:spPr>
                    <a:xfrm>
                      <a:off x="0" y="0"/>
                      <a:ext cx="5760085" cy="2269864"/>
                    </a:xfrm>
                    <a:prstGeom prst="rect">
                      <a:avLst/>
                    </a:prstGeom>
                  </pic:spPr>
                </pic:pic>
              </a:graphicData>
            </a:graphic>
          </wp:inline>
        </w:drawing>
      </w:r>
    </w:p>
    <w:p w14:paraId="573A0E54">
      <w:pPr>
        <w:rPr>
          <w:highlight w:val="none"/>
        </w:rPr>
      </w:pPr>
    </w:p>
    <w:p w14:paraId="4AF6D397">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2.供应商投标</w:t>
      </w:r>
    </w:p>
    <w:p w14:paraId="36BF531E">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供应商投标</w:t>
      </w:r>
    </w:p>
    <w:p w14:paraId="5B6D207B">
      <w:pPr>
        <w:rPr>
          <w:rFonts w:ascii="宋体" w:hAnsi="宋体" w:eastAsia="宋体" w:cs="宋体"/>
          <w:color w:val="000000"/>
          <w:highlight w:val="none"/>
        </w:rPr>
      </w:pPr>
      <w:r>
        <w:rPr>
          <w:rFonts w:ascii="宋体" w:hAnsi="宋体" w:eastAsia="宋体" w:cs="宋体"/>
          <w:color w:val="000000"/>
          <w:highlight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58"/>
                    <a:stretch>
                      <a:fillRect/>
                    </a:stretch>
                  </pic:blipFill>
                  <pic:spPr>
                    <a:xfrm>
                      <a:off x="0" y="0"/>
                      <a:ext cx="5760085" cy="2125673"/>
                    </a:xfrm>
                    <a:prstGeom prst="rect">
                      <a:avLst/>
                    </a:prstGeom>
                  </pic:spPr>
                </pic:pic>
              </a:graphicData>
            </a:graphic>
          </wp:inline>
        </w:drawing>
      </w:r>
    </w:p>
    <w:p w14:paraId="19E032B4">
      <w:pPr>
        <w:spacing w:line="360" w:lineRule="auto"/>
        <w:rPr>
          <w:rFonts w:ascii="宋体" w:hAnsi="宋体" w:eastAsia="宋体" w:cs="宋体"/>
          <w:color w:val="000000"/>
          <w:sz w:val="24"/>
          <w:szCs w:val="28"/>
          <w:highlight w:val="none"/>
        </w:rPr>
      </w:pPr>
      <w:r>
        <w:rPr>
          <w:rFonts w:ascii="宋体" w:hAnsi="宋体" w:eastAsia="宋体" w:cs="宋体"/>
          <w:color w:val="000000"/>
          <w:sz w:val="24"/>
          <w:szCs w:val="28"/>
          <w:highlight w:val="none"/>
        </w:rPr>
        <w:t>点击投标按钮，进入详情页，输入投标报价并上传相应的附件。</w:t>
      </w:r>
    </w:p>
    <w:p w14:paraId="415810AA">
      <w:pPr>
        <w:pStyle w:val="17"/>
        <w:rPr>
          <w:highlight w:val="none"/>
        </w:rPr>
      </w:pPr>
      <w:r>
        <w:rPr>
          <w:rFonts w:hint="eastAsia" w:hAnsi="宋体" w:eastAsia="宋体" w:cs="宋体"/>
          <w:color w:val="000000"/>
          <w:sz w:val="24"/>
          <w:szCs w:val="28"/>
          <w:highlight w:val="none"/>
        </w:rPr>
        <w:t>注意：系统内的投标报价单位为“万元”，如开标现场发现填错报价，即直接淘汰。</w:t>
      </w:r>
    </w:p>
    <w:p w14:paraId="78DE2B98">
      <w:pPr>
        <w:pStyle w:val="6"/>
        <w:ind w:left="425" w:hanging="425"/>
        <w:rPr>
          <w:rFonts w:eastAsia="Arial" w:cs="Arial"/>
          <w:color w:val="000000"/>
          <w:highlight w:val="none"/>
        </w:rPr>
      </w:pPr>
      <w:r>
        <w:rPr>
          <w:rFonts w:eastAsia="Arial" w:cs="Arial"/>
          <w:color w:val="000000"/>
          <w:highlight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59"/>
                    <a:stretch>
                      <a:fillRect/>
                    </a:stretch>
                  </pic:blipFill>
                  <pic:spPr>
                    <a:xfrm>
                      <a:off x="0" y="0"/>
                      <a:ext cx="5490210" cy="2669498"/>
                    </a:xfrm>
                    <a:prstGeom prst="rect">
                      <a:avLst/>
                    </a:prstGeom>
                  </pic:spPr>
                </pic:pic>
              </a:graphicData>
            </a:graphic>
          </wp:inline>
        </w:drawing>
      </w:r>
    </w:p>
    <w:p w14:paraId="672F1700">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3.供应商技术标澄清函</w:t>
      </w:r>
    </w:p>
    <w:p w14:paraId="6BEE2F6C">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供应商技术标澄清函</w:t>
      </w:r>
    </w:p>
    <w:p w14:paraId="6D79DFAC">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点击编辑按钮进入系统，上传技术标澄清函。</w:t>
      </w:r>
    </w:p>
    <w:p w14:paraId="3256D78A">
      <w:pPr>
        <w:spacing w:line="360" w:lineRule="auto"/>
        <w:rPr>
          <w:rFonts w:ascii="Arial" w:hAnsi="Arial" w:eastAsia="Arial" w:cs="Arial"/>
          <w:color w:val="000000"/>
          <w:sz w:val="28"/>
          <w:highlight w:val="none"/>
        </w:rPr>
      </w:pPr>
      <w:r>
        <w:rPr>
          <w:rFonts w:ascii="宋体" w:hAnsi="宋体" w:eastAsia="宋体" w:cs="宋体"/>
          <w:color w:val="000000"/>
          <w:sz w:val="24"/>
          <w:szCs w:val="24"/>
          <w:highlight w:val="none"/>
        </w:rPr>
        <w:t>开标之后所有投标的供应商都可编辑提交，技术标入围之后</w:t>
      </w:r>
      <w:r>
        <w:rPr>
          <w:rFonts w:hint="eastAsia" w:ascii="宋体" w:hAnsi="宋体" w:eastAsia="宋体" w:cs="宋体"/>
          <w:color w:val="000000"/>
          <w:sz w:val="24"/>
          <w:szCs w:val="24"/>
          <w:highlight w:val="none"/>
        </w:rPr>
        <w:t xml:space="preserve"> </w:t>
      </w:r>
      <w:r>
        <w:rPr>
          <w:rFonts w:ascii="宋体" w:hAnsi="宋体" w:eastAsia="宋体" w:cs="宋体"/>
          <w:color w:val="000000"/>
          <w:sz w:val="24"/>
          <w:szCs w:val="24"/>
          <w:highlight w:val="none"/>
        </w:rPr>
        <w:t>都不可编辑</w:t>
      </w:r>
      <w:r>
        <w:rPr>
          <w:rFonts w:ascii="Arial" w:hAnsi="Arial" w:eastAsia="Arial" w:cs="Arial"/>
          <w:color w:val="000000"/>
          <w:sz w:val="28"/>
          <w:highlight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60"/>
                    <a:stretch>
                      <a:fillRect/>
                    </a:stretch>
                  </pic:blipFill>
                  <pic:spPr>
                    <a:xfrm>
                      <a:off x="0" y="0"/>
                      <a:ext cx="5490210" cy="1992743"/>
                    </a:xfrm>
                    <a:prstGeom prst="rect">
                      <a:avLst/>
                    </a:prstGeom>
                  </pic:spPr>
                </pic:pic>
              </a:graphicData>
            </a:graphic>
          </wp:inline>
        </w:drawing>
      </w:r>
    </w:p>
    <w:p w14:paraId="02E94145">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4.供应商报价</w:t>
      </w:r>
    </w:p>
    <w:p w14:paraId="14CB92A2">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供应商报价</w:t>
      </w:r>
    </w:p>
    <w:p w14:paraId="704101F1">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点击报价按钮进入报价详情界面，请在此轮报价起止时间内报价，否则无法报价。</w:t>
      </w:r>
    </w:p>
    <w:p w14:paraId="1C42A754">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5.供应商澄清报价</w:t>
      </w:r>
    </w:p>
    <w:p w14:paraId="28A8B532">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供应商澄清报价</w:t>
      </w:r>
    </w:p>
    <w:p w14:paraId="55C12A1E">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招标发起人接收建议价的同时会给供应商发送澄清报价，供应商在此界面进行澄清报价，点击编辑按钮进入澄清报价详细界面，输入价格并上传澄清函，之后点击提交。</w:t>
      </w:r>
    </w:p>
    <w:p w14:paraId="728A576D">
      <w:pPr>
        <w:pStyle w:val="6"/>
        <w:ind w:left="425" w:hanging="425"/>
        <w:rPr>
          <w:rFonts w:eastAsia="Arial" w:cs="Arial"/>
          <w:color w:val="000000"/>
          <w:highlight w:val="none"/>
        </w:rPr>
      </w:pPr>
      <w:r>
        <w:rPr>
          <w:rFonts w:eastAsia="Arial" w:cs="Arial"/>
          <w:color w:val="000000"/>
          <w:highlight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61"/>
                    <a:stretch>
                      <a:fillRect/>
                    </a:stretch>
                  </pic:blipFill>
                  <pic:spPr>
                    <a:xfrm>
                      <a:off x="0" y="0"/>
                      <a:ext cx="5490210" cy="2544669"/>
                    </a:xfrm>
                    <a:prstGeom prst="rect">
                      <a:avLst/>
                    </a:prstGeom>
                  </pic:spPr>
                </pic:pic>
              </a:graphicData>
            </a:graphic>
          </wp:inline>
        </w:drawing>
      </w:r>
    </w:p>
    <w:p w14:paraId="3CD73612">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6.供应商查看中标通知</w:t>
      </w:r>
    </w:p>
    <w:p w14:paraId="39B9CC7A">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中标项目</w:t>
      </w:r>
    </w:p>
    <w:p w14:paraId="591BF713">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点击查看进入查看中标项目详情</w:t>
      </w:r>
    </w:p>
    <w:p w14:paraId="38BE7FD6">
      <w:pPr>
        <w:rPr>
          <w:highlight w:val="none"/>
        </w:rPr>
      </w:pPr>
      <w:r>
        <w:rPr>
          <w:highlight w:val="none"/>
        </w:rP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62"/>
                    <a:stretch>
                      <a:fillRect/>
                    </a:stretch>
                  </pic:blipFill>
                  <pic:spPr>
                    <a:xfrm>
                      <a:off x="0" y="0"/>
                      <a:ext cx="5760085" cy="1956600"/>
                    </a:xfrm>
                    <a:prstGeom prst="rect">
                      <a:avLst/>
                    </a:prstGeom>
                  </pic:spPr>
                </pic:pic>
              </a:graphicData>
            </a:graphic>
          </wp:inline>
        </w:drawing>
      </w:r>
    </w:p>
    <w:p w14:paraId="35673EC1">
      <w:pPr>
        <w:pStyle w:val="17"/>
        <w:rPr>
          <w:rFonts w:hAnsi="宋体" w:eastAsia="宋体" w:cs="Times New Roman"/>
          <w:b/>
          <w:color w:val="000000"/>
          <w:sz w:val="24"/>
          <w:szCs w:val="24"/>
          <w:highlight w:val="none"/>
        </w:rPr>
        <w:sectPr>
          <w:pgSz w:w="11906" w:h="16838"/>
          <w:pgMar w:top="1588" w:right="1418" w:bottom="1134" w:left="1418" w:header="851" w:footer="992" w:gutter="0"/>
          <w:pgNumType w:fmt="decimal"/>
          <w:cols w:space="720" w:num="1"/>
          <w:titlePg/>
          <w:docGrid w:type="lines" w:linePitch="312" w:charSpace="0"/>
        </w:sectPr>
      </w:pPr>
    </w:p>
    <w:p w14:paraId="2042B718">
      <w:pPr>
        <w:pStyle w:val="17"/>
        <w:rPr>
          <w:rFonts w:hAnsi="宋体" w:eastAsia="宋体" w:cs="Times New Roman"/>
          <w:b/>
          <w:color w:val="000000"/>
          <w:sz w:val="24"/>
          <w:szCs w:val="24"/>
          <w:highlight w:val="none"/>
        </w:rPr>
      </w:pPr>
    </w:p>
    <w:p w14:paraId="4C458F02">
      <w:pPr>
        <w:pStyle w:val="17"/>
        <w:rPr>
          <w:rFonts w:hAnsi="宋体" w:eastAsia="宋体" w:cs="Times New Roman"/>
          <w:b/>
          <w:color w:val="000000"/>
          <w:sz w:val="24"/>
          <w:szCs w:val="24"/>
          <w:highlight w:val="none"/>
        </w:rPr>
      </w:pPr>
    </w:p>
    <w:p w14:paraId="25A22180">
      <w:pPr>
        <w:pStyle w:val="17"/>
        <w:rPr>
          <w:rFonts w:hAnsi="宋体" w:eastAsia="宋体" w:cs="Times New Roman"/>
          <w:b/>
          <w:color w:val="000000"/>
          <w:sz w:val="24"/>
          <w:szCs w:val="24"/>
          <w:highlight w:val="none"/>
        </w:rPr>
      </w:pPr>
    </w:p>
    <w:p w14:paraId="59C7D25D">
      <w:pPr>
        <w:pStyle w:val="17"/>
        <w:rPr>
          <w:rFonts w:hAnsi="宋体" w:eastAsia="宋体" w:cs="Times New Roman"/>
          <w:b/>
          <w:color w:val="000000"/>
          <w:sz w:val="24"/>
          <w:szCs w:val="24"/>
          <w:highlight w:val="none"/>
        </w:rPr>
      </w:pPr>
    </w:p>
    <w:p w14:paraId="685109C3">
      <w:pPr>
        <w:pStyle w:val="17"/>
        <w:rPr>
          <w:rFonts w:hAnsi="宋体" w:eastAsia="宋体" w:cs="Times New Roman"/>
          <w:b/>
          <w:color w:val="000000"/>
          <w:sz w:val="24"/>
          <w:szCs w:val="24"/>
          <w:highlight w:val="none"/>
        </w:rPr>
      </w:pPr>
    </w:p>
    <w:p w14:paraId="4D4E6E68">
      <w:pPr>
        <w:pStyle w:val="17"/>
        <w:rPr>
          <w:rFonts w:hAnsi="宋体" w:eastAsia="宋体" w:cs="Times New Roman"/>
          <w:b/>
          <w:color w:val="000000"/>
          <w:sz w:val="24"/>
          <w:szCs w:val="24"/>
          <w:highlight w:val="none"/>
        </w:rPr>
      </w:pPr>
    </w:p>
    <w:p w14:paraId="3C0BE95E">
      <w:pPr>
        <w:pStyle w:val="17"/>
        <w:rPr>
          <w:rFonts w:hAnsi="宋体" w:eastAsia="宋体" w:cs="Times New Roman"/>
          <w:b/>
          <w:color w:val="000000"/>
          <w:sz w:val="24"/>
          <w:szCs w:val="24"/>
          <w:highlight w:val="none"/>
        </w:rPr>
      </w:pPr>
    </w:p>
    <w:p w14:paraId="6CBEE9AF">
      <w:pPr>
        <w:pStyle w:val="17"/>
        <w:rPr>
          <w:rFonts w:hAnsi="宋体" w:eastAsia="宋体" w:cs="Times New Roman"/>
          <w:b/>
          <w:color w:val="000000"/>
          <w:sz w:val="24"/>
          <w:szCs w:val="24"/>
          <w:highlight w:val="none"/>
        </w:rPr>
      </w:pPr>
    </w:p>
    <w:p w14:paraId="7C475CDE">
      <w:pPr>
        <w:pStyle w:val="17"/>
        <w:rPr>
          <w:rFonts w:hAnsi="宋体" w:eastAsia="宋体" w:cs="Times New Roman"/>
          <w:b/>
          <w:color w:val="000000"/>
          <w:sz w:val="24"/>
          <w:szCs w:val="24"/>
          <w:highlight w:val="none"/>
        </w:rPr>
      </w:pPr>
    </w:p>
    <w:p w14:paraId="7E990BD5">
      <w:pPr>
        <w:pStyle w:val="17"/>
        <w:rPr>
          <w:rFonts w:hAnsi="宋体" w:eastAsia="宋体" w:cs="Times New Roman"/>
          <w:b/>
          <w:color w:val="000000"/>
          <w:sz w:val="24"/>
          <w:szCs w:val="24"/>
          <w:highlight w:val="none"/>
        </w:rPr>
      </w:pPr>
    </w:p>
    <w:p w14:paraId="7CCAFCB0">
      <w:pPr>
        <w:pStyle w:val="17"/>
        <w:rPr>
          <w:rFonts w:hAnsi="宋体" w:eastAsia="宋体" w:cs="Times New Roman"/>
          <w:b/>
          <w:color w:val="000000"/>
          <w:sz w:val="24"/>
          <w:szCs w:val="24"/>
          <w:highlight w:val="none"/>
        </w:rPr>
      </w:pPr>
    </w:p>
    <w:p w14:paraId="6324E2F3">
      <w:pPr>
        <w:pStyle w:val="17"/>
        <w:rPr>
          <w:rFonts w:hAnsi="宋体" w:eastAsia="宋体" w:cs="Times New Roman"/>
          <w:b/>
          <w:color w:val="000000"/>
          <w:sz w:val="24"/>
          <w:szCs w:val="24"/>
          <w:highlight w:val="none"/>
        </w:rPr>
      </w:pPr>
    </w:p>
    <w:p w14:paraId="7C12AC3E">
      <w:pPr>
        <w:pStyle w:val="17"/>
        <w:rPr>
          <w:rFonts w:hAnsi="宋体" w:eastAsia="宋体" w:cs="Times New Roman"/>
          <w:b/>
          <w:color w:val="000000"/>
          <w:sz w:val="24"/>
          <w:szCs w:val="24"/>
          <w:highlight w:val="none"/>
        </w:rPr>
      </w:pPr>
    </w:p>
    <w:p w14:paraId="25A95ADA">
      <w:pPr>
        <w:pStyle w:val="17"/>
        <w:rPr>
          <w:rFonts w:hAnsi="宋体" w:eastAsia="宋体" w:cs="Times New Roman"/>
          <w:b/>
          <w:color w:val="000000"/>
          <w:sz w:val="24"/>
          <w:szCs w:val="24"/>
          <w:highlight w:val="none"/>
        </w:rPr>
      </w:pPr>
    </w:p>
    <w:p w14:paraId="2D567937">
      <w:pPr>
        <w:pStyle w:val="17"/>
        <w:rPr>
          <w:rFonts w:hAnsi="宋体" w:eastAsia="宋体" w:cs="Times New Roman"/>
          <w:b/>
          <w:color w:val="000000"/>
          <w:sz w:val="24"/>
          <w:szCs w:val="24"/>
          <w:highlight w:val="none"/>
        </w:rPr>
      </w:pPr>
    </w:p>
    <w:p w14:paraId="070D5E0A">
      <w:pPr>
        <w:pStyle w:val="17"/>
        <w:rPr>
          <w:rFonts w:hAnsi="宋体" w:eastAsia="宋体" w:cs="Times New Roman"/>
          <w:b/>
          <w:color w:val="000000"/>
          <w:sz w:val="24"/>
          <w:szCs w:val="24"/>
          <w:highlight w:val="none"/>
        </w:rPr>
      </w:pPr>
    </w:p>
    <w:p w14:paraId="3269034E">
      <w:pPr>
        <w:pStyle w:val="17"/>
        <w:rPr>
          <w:rFonts w:hint="eastAsia"/>
          <w:highlight w:val="none"/>
          <w:lang w:val="en-US" w:eastAsia="zh-CN"/>
        </w:rPr>
      </w:pPr>
    </w:p>
    <w:sectPr>
      <w:headerReference r:id="rId43" w:type="first"/>
      <w:footerReference r:id="rId45" w:type="first"/>
      <w:headerReference r:id="rId42" w:type="default"/>
      <w:footerReference r:id="rId44" w:type="default"/>
      <w:type w:val="continuous"/>
      <w:pgSz w:w="11906" w:h="16838"/>
      <w:pgMar w:top="1588" w:right="1418" w:bottom="1134" w:left="1418"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Consolas">
    <w:panose1 w:val="020B0609020204030204"/>
    <w:charset w:val="00"/>
    <w:family w:val="auto"/>
    <w:pitch w:val="default"/>
    <w:sig w:usb0="E00006FF" w:usb1="0000FCFF" w:usb2="00000001" w:usb3="00000000" w:csb0="6000019F" w:csb1="DFD7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Cordia New">
    <w:altName w:val="Microsoft Sans Serif"/>
    <w:panose1 w:val="020B0304020202020204"/>
    <w:charset w:val="DE"/>
    <w:family w:val="swiss"/>
    <w:pitch w:val="default"/>
    <w:sig w:usb0="00000000" w:usb1="00000000" w:usb2="00000000" w:usb3="00000000" w:csb0="00010001" w:csb1="00000000"/>
  </w:font>
  <w:font w:name="Microsoft Sans Serif">
    <w:panose1 w:val="020B0604020202020204"/>
    <w:charset w:val="00"/>
    <w:family w:val="auto"/>
    <w:pitch w:val="default"/>
    <w:sig w:usb0="E5002EFF" w:usb1="C000605B" w:usb2="00000029" w:usb3="00000000" w:csb0="200101FF" w:csb1="20280000"/>
  </w:font>
  <w:font w:name="华文仿宋">
    <w:altName w:val="仿宋"/>
    <w:panose1 w:val="02010600040101010101"/>
    <w:charset w:val="86"/>
    <w:family w:val="auto"/>
    <w:pitch w:val="default"/>
    <w:sig w:usb0="00000000" w:usb1="00000000" w:usb2="00000000" w:usb3="00000000" w:csb0="0004009F" w:csb1="DFD70000"/>
  </w:font>
  <w:font w:name="Tahoma">
    <w:panose1 w:val="020B0604030504040204"/>
    <w:charset w:val="00"/>
    <w:family w:val="auto"/>
    <w:pitch w:val="default"/>
    <w:sig w:usb0="E1002EFF" w:usb1="C000605B" w:usb2="00000029" w:usb3="00000000" w:csb0="200101FF" w:csb1="20280000"/>
  </w:font>
  <w:font w:name="方正小标宋简体">
    <w:altName w:val="Arial Unicode MS"/>
    <w:panose1 w:val="03000509000000000000"/>
    <w:charset w:val="86"/>
    <w:family w:val="script"/>
    <w:pitch w:val="default"/>
    <w:sig w:usb0="00000000" w:usb1="00000000" w:usb2="00000000" w:usb3="00000000" w:csb0="00040000" w:csb1="00000000"/>
  </w:font>
  <w:font w:name="方正舒体">
    <w:altName w:val="宋体"/>
    <w:panose1 w:val="02010601030101010101"/>
    <w:charset w:val="86"/>
    <w:family w:val="auto"/>
    <w:pitch w:val="default"/>
    <w:sig w:usb0="00000000" w:usb1="00000000" w:usb2="00000000" w:usb3="00000000" w:csb0="00040000" w:csb1="00000000"/>
  </w:font>
  <w:font w:name="Wingdings 2">
    <w:altName w:val="Wingdings"/>
    <w:panose1 w:val="05020102010507070707"/>
    <w:charset w:val="02"/>
    <w:family w:val="roman"/>
    <w:pitch w:val="default"/>
    <w:sig w:usb0="00000000" w:usb1="00000000" w:usb2="00000000" w:usb3="00000000" w:csb0="80000000" w:csb1="00000000"/>
  </w:font>
  <w:font w:name="KSOF0B7949D1">
    <w:panose1 w:val="02010600040101010101"/>
    <w:charset w:val="86"/>
    <w:family w:val="auto"/>
    <w:pitch w:val="default"/>
    <w:sig w:usb0="00000001" w:usb1="00000000" w:usb2="00000000" w:usb3="00000000" w:csb0="00040001" w:csb1="00000000"/>
  </w:font>
  <w:font w:name="KSOF0B79BE30">
    <w:panose1 w:val="02010600040101010101"/>
    <w:charset w:val="86"/>
    <w:family w:val="auto"/>
    <w:pitch w:val="default"/>
    <w:sig w:usb0="00000001" w:usb1="00000000" w:usb2="00000000" w:usb3="00000000" w:csb0="00040001" w:csb1="00000000"/>
  </w:font>
  <w:font w:name="Arial Unicode MS">
    <w:panose1 w:val="020B0604020202020204"/>
    <w:charset w:val="86"/>
    <w:family w:val="auto"/>
    <w:pitch w:val="default"/>
    <w:sig w:usb0="F7FFAEFF" w:usb1="F9DFFFFF" w:usb2="0000007F" w:usb3="00000000" w:csb0="203F01FF" w:csb1="DFFF0000"/>
  </w:font>
  <w:font w:name="Wingdings">
    <w:panose1 w:val="05000000000000000000"/>
    <w:charset w:val="00"/>
    <w:family w:val="auto"/>
    <w:pitch w:val="default"/>
    <w:sig w:usb0="00000000" w:usb1="00000000" w:usb2="00000000" w:usb3="00000000" w:csb0="80000000" w:csb1="00000000"/>
  </w:font>
  <w:font w:name="KSOF4B1AA1F4">
    <w:panose1 w:val="02000000000000000000"/>
    <w:charset w:val="86"/>
    <w:family w:val="auto"/>
    <w:pitch w:val="default"/>
    <w:sig w:usb0="00000001" w:usb1="00000000" w:usb2="00000000" w:usb3="00000000" w:csb0="00040001"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9498DA">
    <w:pPr>
      <w:pStyle w:val="22"/>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89BD4C">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5189BD4C">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E6BEDF">
    <w:pPr>
      <w:pStyle w:val="22"/>
      <w:jc w:val="cente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5B0A7E">
                          <w:pPr>
                            <w:pStyle w:val="22"/>
                          </w:pPr>
                          <w:r>
                            <w:t xml:space="preserve">第 </w:t>
                          </w:r>
                          <w:r>
                            <w:fldChar w:fldCharType="begin"/>
                          </w:r>
                          <w:r>
                            <w:instrText xml:space="preserve"> PAGE  \* MERGEFORMAT </w:instrText>
                          </w:r>
                          <w:r>
                            <w:fldChar w:fldCharType="separate"/>
                          </w:r>
                          <w:r>
                            <w:t>57</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14:paraId="7A5B0A7E">
                    <w:pPr>
                      <w:pStyle w:val="22"/>
                    </w:pPr>
                    <w:r>
                      <w:t xml:space="preserve">第 </w:t>
                    </w:r>
                    <w:r>
                      <w:fldChar w:fldCharType="begin"/>
                    </w:r>
                    <w:r>
                      <w:instrText xml:space="preserve"> PAGE  \* MERGEFORMAT </w:instrText>
                    </w:r>
                    <w:r>
                      <w:fldChar w:fldCharType="separate"/>
                    </w:r>
                    <w:r>
                      <w:t>57</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66AB7D">
    <w:pPr>
      <w:pStyle w:val="22"/>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B1694B">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65</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7FB1694B">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65</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B40FF8">
    <w:pPr>
      <w:pStyle w:val="22"/>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D2A2B3">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63</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07D2A2B3">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63</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EFEA58">
    <w:pPr>
      <w:pStyle w:val="22"/>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EAAA24">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67</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5FEAAA24">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67</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FB88AF">
    <w:pPr>
      <w:pStyle w:val="22"/>
      <w:jc w:val="cente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6ACFC2">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66</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4D6ACFC2">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66</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784DA2">
    <w:pPr>
      <w:pStyle w:val="22"/>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FFF2F4">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5EFFF2F4">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2DF6CC">
    <w:pPr>
      <w:pStyle w:val="22"/>
      <w:jc w:val="cente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320CD1">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68</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60320CD1">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68</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FAB711">
    <w:pPr>
      <w:pStyle w:val="22"/>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1DFBE8">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1E1DFBE8">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CE9844">
    <w:pPr>
      <w:pStyle w:val="22"/>
      <w:jc w:val="center"/>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E897A1">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69</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14:paraId="3DE897A1">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69</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924FA5">
    <w:pPr>
      <w:spacing w:line="182" w:lineRule="auto"/>
      <w:ind w:left="6866"/>
      <w:rPr>
        <w:rFonts w:ascii="宋体" w:hAnsi="宋体" w:eastAsia="宋体" w:cs="宋体"/>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A66E58">
    <w:pPr>
      <w:pStyle w:val="22"/>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047E13">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00047E13">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B47F28">
    <w:pPr>
      <w:spacing w:line="182" w:lineRule="auto"/>
      <w:ind w:left="6866"/>
      <w:rPr>
        <w:rFonts w:ascii="宋体" w:hAnsi="宋体" w:eastAsia="宋体" w:cs="宋体"/>
        <w:sz w:val="18"/>
        <w:szCs w:val="18"/>
      </w:rP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4A7C31">
    <w:pPr>
      <w:pStyle w:val="22"/>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FF7E4C">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33FF7E4C">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8BD0BC">
    <w:pPr>
      <w:pStyle w:val="22"/>
      <w:jc w:val="center"/>
    </w:pPr>
    <w: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F6AC2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71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44F6AC2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71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082395">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3C9A0A">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9308EB">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8B16E5">
    <w:pPr>
      <w:spacing w:line="182" w:lineRule="auto"/>
      <w:ind w:left="6857"/>
      <w:rPr>
        <w:rFonts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446C86">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D7A6A4">
                          <w:pPr>
                            <w:pStyle w:val="22"/>
                          </w:pPr>
                          <w:r>
                            <w:t xml:space="preserve">第 </w:t>
                          </w:r>
                          <w:r>
                            <w:fldChar w:fldCharType="begin"/>
                          </w:r>
                          <w:r>
                            <w:instrText xml:space="preserve"> PAGE  \* MERGEFORMAT </w:instrText>
                          </w:r>
                          <w:r>
                            <w:fldChar w:fldCharType="separate"/>
                          </w:r>
                          <w:r>
                            <w:t>79</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78D7A6A4">
                    <w:pPr>
                      <w:pStyle w:val="22"/>
                    </w:pPr>
                    <w:r>
                      <w:t xml:space="preserve">第 </w:t>
                    </w:r>
                    <w:r>
                      <w:fldChar w:fldCharType="begin"/>
                    </w:r>
                    <w:r>
                      <w:instrText xml:space="preserve"> PAGE  \* MERGEFORMAT </w:instrText>
                    </w:r>
                    <w:r>
                      <w:fldChar w:fldCharType="separate"/>
                    </w:r>
                    <w:r>
                      <w:t>79</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v:textbox>
            </v:shape>
          </w:pict>
        </mc:Fallback>
      </mc:AlternateConten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158598">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2E2B64">
                          <w:pPr>
                            <w:pStyle w:val="22"/>
                          </w:pPr>
                          <w:r>
                            <w:t xml:space="preserve">第 </w:t>
                          </w:r>
                          <w:r>
                            <w:fldChar w:fldCharType="begin"/>
                          </w:r>
                          <w:r>
                            <w:instrText xml:space="preserve"> PAGE  \* MERGEFORMAT </w:instrText>
                          </w:r>
                          <w:r>
                            <w:fldChar w:fldCharType="separate"/>
                          </w:r>
                          <w:r>
                            <w:t>81</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3D2E2B64">
                    <w:pPr>
                      <w:pStyle w:val="22"/>
                    </w:pPr>
                    <w:r>
                      <w:t xml:space="preserve">第 </w:t>
                    </w:r>
                    <w:r>
                      <w:fldChar w:fldCharType="begin"/>
                    </w:r>
                    <w:r>
                      <w:instrText xml:space="preserve"> PAGE  \* MERGEFORMAT </w:instrText>
                    </w:r>
                    <w:r>
                      <w:fldChar w:fldCharType="separate"/>
                    </w:r>
                    <w:r>
                      <w:t>81</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v:textbox>
            </v:shape>
          </w:pict>
        </mc:Fallback>
      </mc:AlternateConten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4CA491">
    <w:pPr>
      <w:pStyle w:val="22"/>
      <w:jc w:val="cente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01B0E7">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80</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3501B0E7">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80</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916D9F">
    <w:pPr>
      <w:pStyle w:val="22"/>
      <w:tabs>
        <w:tab w:val="clear" w:pos="4153"/>
      </w:tabs>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E3537D">
                          <w:pPr>
                            <w:pStyle w:val="2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1FE3537D">
                    <w:pPr>
                      <w:pStyle w:val="2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v:textbox>
            </v:shape>
          </w:pict>
        </mc:Fallback>
      </mc:AlternateConten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FF4133">
    <w:pPr>
      <w:spacing w:line="173" w:lineRule="auto"/>
      <w:ind w:left="4675"/>
      <w:rPr>
        <w:rFonts w:ascii="Times New Roman" w:hAnsi="Times New Roman" w:eastAsia="Times New Roman" w:cs="Times New Roman"/>
        <w:sz w:val="14"/>
        <w:szCs w:val="14"/>
      </w:rPr>
    </w:pPr>
    <w:r>
      <w:rPr>
        <w:rFonts w:ascii="Times New Roman" w:hAnsi="Times New Roman" w:eastAsia="Times New Roman" w:cs="Times New Roman"/>
        <w:sz w:val="14"/>
        <w:szCs w:val="14"/>
      </w:rPr>
      <w:t>3</w: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1AC24B">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95BC87">
                          <w:pPr>
                            <w:pStyle w:val="2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14:paraId="0595BC87">
                    <w:pPr>
                      <w:pStyle w:val="2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v:textbox>
            </v:shape>
          </w:pict>
        </mc:Fallback>
      </mc:AlternateConten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03CF3E">
    <w:pPr>
      <w:pStyle w:val="22"/>
      <w:jc w:val="center"/>
    </w:pPr>
    <w: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61F22FF">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14:paraId="661F22FF">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B032BF">
    <w:pPr>
      <w:pStyle w:val="22"/>
      <w:jc w:val="center"/>
    </w:pPr>
  </w:p>
  <w:p w14:paraId="645EF4F0">
    <w:pPr>
      <w:pStyle w:val="22"/>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E834BF">
    <w:pPr>
      <w:pStyle w:val="22"/>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4AB9D4">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7</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0C4AB9D4">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7</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CAD744">
    <w:pPr>
      <w:pStyle w:val="22"/>
      <w:jc w:val="center"/>
    </w:pPr>
    <w:r>
      <mc:AlternateContent>
        <mc:Choice Requires="wps">
          <w:drawing>
            <wp:anchor distT="0" distB="0" distL="0" distR="0" simplePos="0" relativeHeight="251659264" behindDoc="0" locked="0" layoutInCell="0" allowOverlap="1">
              <wp:simplePos x="0" y="0"/>
              <wp:positionH relativeFrom="margin">
                <wp:align>center</wp:align>
              </wp:positionH>
              <wp:positionV relativeFrom="paragraph">
                <wp:posOffset>635</wp:posOffset>
              </wp:positionV>
              <wp:extent cx="1829435" cy="165100"/>
              <wp:effectExtent l="0" t="0" r="0" b="0"/>
              <wp:wrapNone/>
              <wp:docPr id="1" name="文本框 2_0"/>
              <wp:cNvGraphicFramePr/>
              <a:graphic xmlns:a="http://schemas.openxmlformats.org/drawingml/2006/main">
                <a:graphicData uri="http://schemas.microsoft.com/office/word/2010/wordprocessingShape">
                  <wps:wsp>
                    <wps:cNvSpPr/>
                    <wps:spPr>
                      <a:xfrm>
                        <a:off x="0" y="0"/>
                        <a:ext cx="1828800" cy="16452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78C87CA2">
                          <w:pPr>
                            <w:pStyle w:val="185"/>
                            <w:snapToGrid w:val="0"/>
                            <w:jc w:val="center"/>
                            <w:rPr>
                              <w:sz w:val="18"/>
                            </w:rPr>
                          </w:pPr>
                          <w:r>
                            <w:rPr>
                              <w:color w:val="000000"/>
                              <w:szCs w:val="28"/>
                            </w:rPr>
                            <w:fldChar w:fldCharType="begin"/>
                          </w:r>
                          <w:r>
                            <w:rPr>
                              <w:color w:val="000000"/>
                              <w:szCs w:val="28"/>
                            </w:rPr>
                            <w:instrText xml:space="preserve">PAGE</w:instrText>
                          </w:r>
                          <w:r>
                            <w:rPr>
                              <w:color w:val="000000"/>
                              <w:szCs w:val="28"/>
                            </w:rPr>
                            <w:fldChar w:fldCharType="separate"/>
                          </w:r>
                          <w:r>
                            <w:rPr>
                              <w:color w:val="000000"/>
                              <w:szCs w:val="28"/>
                            </w:rPr>
                            <w:t>- 1 -</w:t>
                          </w:r>
                          <w:r>
                            <w:rPr>
                              <w:color w:val="000000"/>
                              <w:szCs w:val="28"/>
                            </w:rPr>
                            <w:fldChar w:fldCharType="end"/>
                          </w:r>
                        </w:p>
                      </w:txbxContent>
                    </wps:txbx>
                    <wps:bodyPr lIns="0" tIns="0" rIns="0" bIns="0">
                      <a:spAutoFit/>
                    </wps:bodyPr>
                  </wps:wsp>
                </a:graphicData>
              </a:graphic>
            </wp:anchor>
          </w:drawing>
        </mc:Choice>
        <mc:Fallback>
          <w:pict>
            <v:rect id="文本框 2_0" o:spid="_x0000_s1026" o:spt="1" style="position:absolute;left:0pt;margin-top:0.05pt;height:13pt;width:144.05pt;mso-position-horizontal:center;mso-position-horizontal-relative:margin;z-index:251659264;mso-width-relative:page;mso-height-relative:page;" filled="f" stroked="f" coordsize="21600,21600" o:allowincell="f" o:gfxdata="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PZgjr7TAAAABAEAAA8AAAAAAAAAAQAgAAAAIgAAAGRycy9kb3ducmV2LnhtbFBL&#10;AQIUABQAAAAIAIdO4kBeyVKnwgEAAIEDAAAOAAAAAAAAAAEAIAAAACIBAABkcnMvZTJvRG9jLnht&#10;bFBLBQYAAAAABgAGAFkBAABWBQAAAAA=&#10;">
              <v:fill on="f" focussize="0,0"/>
              <v:stroke on="f" weight="0.5pt"/>
              <v:imagedata o:title=""/>
              <o:lock v:ext="edit" aspectratio="f"/>
              <v:textbox inset="0mm,0mm,0mm,0mm" style="mso-fit-shape-to-text:t;">
                <w:txbxContent>
                  <w:p w14:paraId="78C87CA2">
                    <w:pPr>
                      <w:pStyle w:val="185"/>
                      <w:snapToGrid w:val="0"/>
                      <w:jc w:val="center"/>
                      <w:rPr>
                        <w:sz w:val="18"/>
                      </w:rPr>
                    </w:pPr>
                    <w:r>
                      <w:rPr>
                        <w:color w:val="000000"/>
                        <w:szCs w:val="28"/>
                      </w:rPr>
                      <w:fldChar w:fldCharType="begin"/>
                    </w:r>
                    <w:r>
                      <w:rPr>
                        <w:color w:val="000000"/>
                        <w:szCs w:val="28"/>
                      </w:rPr>
                      <w:instrText xml:space="preserve">PAGE</w:instrText>
                    </w:r>
                    <w:r>
                      <w:rPr>
                        <w:color w:val="000000"/>
                        <w:szCs w:val="28"/>
                      </w:rPr>
                      <w:fldChar w:fldCharType="separate"/>
                    </w:r>
                    <w:r>
                      <w:rPr>
                        <w:color w:val="000000"/>
                        <w:szCs w:val="28"/>
                      </w:rPr>
                      <w:t>- 1 -</w:t>
                    </w:r>
                    <w:r>
                      <w:rPr>
                        <w:color w:val="000000"/>
                        <w:szCs w:val="28"/>
                      </w:rP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AB414D">
    <w:pPr>
      <w:pStyle w:val="22"/>
    </w:pPr>
    <w:r>
      <mc:AlternateContent>
        <mc:Choice Requires="wps">
          <w:drawing>
            <wp:anchor distT="0" distB="0" distL="0" distR="0" simplePos="0" relativeHeight="251660288" behindDoc="0" locked="0" layoutInCell="0" allowOverlap="1">
              <wp:simplePos x="0" y="0"/>
              <wp:positionH relativeFrom="margin">
                <wp:align>center</wp:align>
              </wp:positionH>
              <wp:positionV relativeFrom="paragraph">
                <wp:posOffset>635</wp:posOffset>
              </wp:positionV>
              <wp:extent cx="1829435" cy="165100"/>
              <wp:effectExtent l="0" t="0" r="0" b="0"/>
              <wp:wrapNone/>
              <wp:docPr id="14" name="文本框 2_0"/>
              <wp:cNvGraphicFramePr/>
              <a:graphic xmlns:a="http://schemas.openxmlformats.org/drawingml/2006/main">
                <a:graphicData uri="http://schemas.microsoft.com/office/word/2010/wordprocessingShape">
                  <wps:wsp>
                    <wps:cNvSpPr/>
                    <wps:spPr>
                      <a:xfrm>
                        <a:off x="0" y="0"/>
                        <a:ext cx="1828800" cy="16452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453ECD3B">
                          <w:pPr>
                            <w:pStyle w:val="185"/>
                            <w:rPr>
                              <w:sz w:val="18"/>
                            </w:rPr>
                          </w:pPr>
                          <w:r>
                            <w:fldChar w:fldCharType="begin"/>
                          </w:r>
                          <w:r>
                            <w:instrText xml:space="preserve">PAGE</w:instrText>
                          </w:r>
                          <w:r>
                            <w:fldChar w:fldCharType="separate"/>
                          </w:r>
                          <w:r>
                            <w:t>7</w:t>
                          </w:r>
                          <w:r>
                            <w:fldChar w:fldCharType="end"/>
                          </w:r>
                        </w:p>
                      </w:txbxContent>
                    </wps:txbx>
                    <wps:bodyPr lIns="0" tIns="0" rIns="0" bIns="0">
                      <a:spAutoFit/>
                    </wps:bodyPr>
                  </wps:wsp>
                </a:graphicData>
              </a:graphic>
            </wp:anchor>
          </w:drawing>
        </mc:Choice>
        <mc:Fallback>
          <w:pict>
            <v:rect id="文本框 2_0" o:spid="_x0000_s1026" o:spt="1" style="position:absolute;left:0pt;margin-top:0.05pt;height:13pt;width:144.05pt;mso-position-horizontal:center;mso-position-horizontal-relative:margin;z-index:251660288;mso-width-relative:page;mso-height-relative:page;" filled="f" stroked="f" coordsize="21600,21600" o:allowincell="f" o:gfxdata="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2YI6+0wAAAAQBAAAPAAAAAAAAAAEAIAAAACIAAABkcnMvZG93bnJldi54bWxQ&#10;SwECFAAUAAAACACHTuJAos3bUcMBAACCAwAADgAAAAAAAAABACAAAAAiAQAAZHJzL2Uyb0RvYy54&#10;bWxQSwUGAAAAAAYABgBZAQAAVwUAAAAA&#10;">
              <v:fill on="f" focussize="0,0"/>
              <v:stroke on="f" weight="0.5pt"/>
              <v:imagedata o:title=""/>
              <o:lock v:ext="edit" aspectratio="f"/>
              <v:textbox inset="0mm,0mm,0mm,0mm" style="mso-fit-shape-to-text:t;">
                <w:txbxContent>
                  <w:p w14:paraId="453ECD3B">
                    <w:pPr>
                      <w:pStyle w:val="185"/>
                      <w:rPr>
                        <w:sz w:val="18"/>
                      </w:rPr>
                    </w:pPr>
                    <w:r>
                      <w:fldChar w:fldCharType="begin"/>
                    </w:r>
                    <w:r>
                      <w:instrText xml:space="preserve">PAGE</w:instrText>
                    </w:r>
                    <w:r>
                      <w:fldChar w:fldCharType="separate"/>
                    </w:r>
                    <w:r>
                      <w:t>7</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563A10">
    <w:pPr>
      <w:pStyle w:val="22"/>
      <w:rPr>
        <w:rFonts w:hint="eastAsia"/>
      </w:rP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69" name="文本框 1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2DA9AB0">
                          <w:pPr>
                            <w:pStyle w:val="22"/>
                            <w:rPr>
                              <w:rFonts w:hint="eastAsia"/>
                            </w:rPr>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2"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CbmTZEywEAAJMDAAAOAAAAAAAAAAEAIAAAAB8BAABkcnMvZTJv&#10;RG9jLnhtbFBLBQYAAAAABgAGAFkBAABcBQAAAAA=&#10;">
              <v:fill on="f" focussize="0,0"/>
              <v:stroke on="f"/>
              <v:imagedata o:title=""/>
              <o:lock v:ext="edit" aspectratio="f"/>
              <v:textbox inset="0mm,0mm,0mm,0mm" style="mso-fit-shape-to-text:t;">
                <w:txbxContent>
                  <w:p w14:paraId="22DA9AB0">
                    <w:pPr>
                      <w:pStyle w:val="22"/>
                      <w:rPr>
                        <w:rFonts w:hint="eastAsia"/>
                      </w:rPr>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ADF0C9">
    <w:pPr>
      <w:pStyle w:val="22"/>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EA10FB">
                          <w:pPr>
                            <w:pStyle w:val="22"/>
                          </w:pPr>
                          <w:r>
                            <w:t xml:space="preserve">第 </w:t>
                          </w:r>
                          <w:r>
                            <w:fldChar w:fldCharType="begin"/>
                          </w:r>
                          <w:r>
                            <w:instrText xml:space="preserve"> PAGE  \* MERGEFORMAT </w:instrText>
                          </w:r>
                          <w:r>
                            <w:fldChar w:fldCharType="separate"/>
                          </w:r>
                          <w:r>
                            <w:t>58</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14:paraId="40EA10FB">
                    <w:pPr>
                      <w:pStyle w:val="22"/>
                    </w:pPr>
                    <w:r>
                      <w:t xml:space="preserve">第 </w:t>
                    </w:r>
                    <w:r>
                      <w:fldChar w:fldCharType="begin"/>
                    </w:r>
                    <w:r>
                      <w:instrText xml:space="preserve"> PAGE  \* MERGEFORMAT </w:instrText>
                    </w:r>
                    <w:r>
                      <w:fldChar w:fldCharType="separate"/>
                    </w:r>
                    <w:r>
                      <w:t>58</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B7F7F7">
    <w:pPr>
      <w:pStyle w:val="23"/>
      <w:pBdr>
        <w:bottom w:val="none" w:color="auto" w:sz="0" w:space="1"/>
      </w:pBd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EB822F">
    <w:pPr>
      <w:pStyle w:val="23"/>
    </w:pPr>
  </w:p>
  <w:p w14:paraId="1E586224">
    <w:pPr>
      <w:pStyle w:val="23"/>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C37375">
    <w:pPr>
      <w:pStyle w:val="2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E89CE2">
    <w:pPr>
      <w:pStyle w:val="23"/>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D6FAB0">
    <w:pPr>
      <w:pStyle w:val="23"/>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3E80CD">
    <w:pPr>
      <w:pStyle w:val="23"/>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DECC79">
    <w:pPr>
      <w:pStyle w:val="23"/>
      <w:pBdr>
        <w:bottom w:val="none" w:color="auto" w:sz="0" w:space="1"/>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7B1D37">
    <w:pPr>
      <w:pStyle w:val="23"/>
      <w:pBdr>
        <w:bottom w:val="none" w:color="auto" w:sz="0" w:space="1"/>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1FF085">
    <w:pPr>
      <w:pStyle w:val="23"/>
      <w:pBdr>
        <w:bottom w:val="none" w:color="auto" w:sz="0" w:space="1"/>
      </w:pBd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F82230">
    <w:pPr>
      <w:pStyle w:val="23"/>
    </w:pPr>
  </w:p>
  <w:p w14:paraId="47D5A9FB">
    <w:pPr>
      <w:pStyle w:val="23"/>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356BCA">
    <w:pPr>
      <w:pStyle w:val="2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4">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5">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6">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7">
    <w:nsid w:val="48B75A1F"/>
    <w:multiLevelType w:val="multilevel"/>
    <w:tmpl w:val="48B75A1F"/>
    <w:lvl w:ilvl="0" w:tentative="0">
      <w:start w:val="1"/>
      <w:numFmt w:val="bullet"/>
      <w:lvlText w:val=""/>
      <w:lvlJc w:val="left"/>
      <w:pPr>
        <w:tabs>
          <w:tab w:val="left" w:pos="0"/>
        </w:tabs>
        <w:ind w:left="1130" w:hanging="420"/>
      </w:pPr>
      <w:rPr>
        <w:rFonts w:hint="default" w:ascii="Wingdings" w:hAnsi="Wingdings"/>
      </w:rPr>
    </w:lvl>
    <w:lvl w:ilvl="1" w:tentative="0">
      <w:start w:val="1"/>
      <w:numFmt w:val="bullet"/>
      <w:lvlText w:val=""/>
      <w:lvlJc w:val="left"/>
      <w:pPr>
        <w:tabs>
          <w:tab w:val="left" w:pos="0"/>
        </w:tabs>
        <w:ind w:left="1550" w:hanging="420"/>
      </w:pPr>
      <w:rPr>
        <w:rFonts w:hint="default" w:ascii="Wingdings" w:hAnsi="Wingdings"/>
      </w:rPr>
    </w:lvl>
    <w:lvl w:ilvl="2" w:tentative="0">
      <w:start w:val="1"/>
      <w:numFmt w:val="bullet"/>
      <w:lvlText w:val=""/>
      <w:lvlJc w:val="left"/>
      <w:pPr>
        <w:tabs>
          <w:tab w:val="left" w:pos="0"/>
        </w:tabs>
        <w:ind w:left="1970" w:hanging="420"/>
      </w:pPr>
      <w:rPr>
        <w:rFonts w:hint="default" w:ascii="Wingdings" w:hAnsi="Wingdings"/>
      </w:rPr>
    </w:lvl>
    <w:lvl w:ilvl="3" w:tentative="0">
      <w:start w:val="1"/>
      <w:numFmt w:val="bullet"/>
      <w:lvlText w:val=""/>
      <w:lvlJc w:val="left"/>
      <w:pPr>
        <w:tabs>
          <w:tab w:val="left" w:pos="0"/>
        </w:tabs>
        <w:ind w:left="2390" w:hanging="420"/>
      </w:pPr>
      <w:rPr>
        <w:rFonts w:hint="default" w:ascii="Wingdings" w:hAnsi="Wingdings"/>
      </w:rPr>
    </w:lvl>
    <w:lvl w:ilvl="4" w:tentative="0">
      <w:start w:val="1"/>
      <w:numFmt w:val="bullet"/>
      <w:lvlText w:val=""/>
      <w:lvlJc w:val="left"/>
      <w:pPr>
        <w:tabs>
          <w:tab w:val="left" w:pos="0"/>
        </w:tabs>
        <w:ind w:left="2810" w:hanging="420"/>
      </w:pPr>
      <w:rPr>
        <w:rFonts w:hint="default" w:ascii="Wingdings" w:hAnsi="Wingdings"/>
      </w:rPr>
    </w:lvl>
    <w:lvl w:ilvl="5" w:tentative="0">
      <w:start w:val="1"/>
      <w:numFmt w:val="bullet"/>
      <w:lvlText w:val=""/>
      <w:lvlJc w:val="left"/>
      <w:pPr>
        <w:tabs>
          <w:tab w:val="left" w:pos="0"/>
        </w:tabs>
        <w:ind w:left="3230" w:hanging="420"/>
      </w:pPr>
      <w:rPr>
        <w:rFonts w:hint="default" w:ascii="Wingdings" w:hAnsi="Wingdings"/>
      </w:rPr>
    </w:lvl>
    <w:lvl w:ilvl="6" w:tentative="0">
      <w:start w:val="1"/>
      <w:numFmt w:val="bullet"/>
      <w:lvlText w:val=""/>
      <w:lvlJc w:val="left"/>
      <w:pPr>
        <w:tabs>
          <w:tab w:val="left" w:pos="0"/>
        </w:tabs>
        <w:ind w:left="3650" w:hanging="420"/>
      </w:pPr>
      <w:rPr>
        <w:rFonts w:hint="default" w:ascii="Wingdings" w:hAnsi="Wingdings"/>
      </w:rPr>
    </w:lvl>
    <w:lvl w:ilvl="7" w:tentative="0">
      <w:start w:val="1"/>
      <w:numFmt w:val="bullet"/>
      <w:lvlText w:val=""/>
      <w:lvlJc w:val="left"/>
      <w:pPr>
        <w:tabs>
          <w:tab w:val="left" w:pos="0"/>
        </w:tabs>
        <w:ind w:left="4070" w:hanging="420"/>
      </w:pPr>
      <w:rPr>
        <w:rFonts w:hint="default" w:ascii="Wingdings" w:hAnsi="Wingdings"/>
      </w:rPr>
    </w:lvl>
    <w:lvl w:ilvl="8" w:tentative="0">
      <w:start w:val="1"/>
      <w:numFmt w:val="bullet"/>
      <w:lvlText w:val=""/>
      <w:lvlJc w:val="left"/>
      <w:pPr>
        <w:tabs>
          <w:tab w:val="left" w:pos="0"/>
        </w:tabs>
        <w:ind w:left="4490" w:hanging="420"/>
      </w:pPr>
      <w:rPr>
        <w:rFonts w:hint="default" w:ascii="Wingdings" w:hAnsi="Wingdings"/>
      </w:rPr>
    </w:lvl>
  </w:abstractNum>
  <w:abstractNum w:abstractNumId="8">
    <w:nsid w:val="4AA5546F"/>
    <w:multiLevelType w:val="multilevel"/>
    <w:tmpl w:val="4AA5546F"/>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9">
    <w:nsid w:val="6E8C6948"/>
    <w:multiLevelType w:val="singleLevel"/>
    <w:tmpl w:val="6E8C6948"/>
    <w:lvl w:ilvl="0" w:tentative="0">
      <w:start w:val="1"/>
      <w:numFmt w:val="chineseCounting"/>
      <w:suff w:val="space"/>
      <w:lvlText w:val="第%1部分"/>
      <w:lvlJc w:val="left"/>
      <w:rPr>
        <w:rFonts w:hint="eastAsia"/>
      </w:rPr>
    </w:lvl>
  </w:abstractNum>
  <w:abstractNum w:abstractNumId="10">
    <w:nsid w:val="740C385D"/>
    <w:multiLevelType w:val="multilevel"/>
    <w:tmpl w:val="740C385D"/>
    <w:lvl w:ilvl="0" w:tentative="0">
      <w:start w:val="1"/>
      <w:numFmt w:val="bullet"/>
      <w:lvlText w:val=""/>
      <w:lvlJc w:val="left"/>
      <w:pPr>
        <w:tabs>
          <w:tab w:val="left" w:pos="0"/>
        </w:tabs>
        <w:ind w:left="1130" w:hanging="420"/>
      </w:pPr>
      <w:rPr>
        <w:rFonts w:hint="default" w:ascii="Wingdings" w:hAnsi="Wingdings"/>
      </w:rPr>
    </w:lvl>
    <w:lvl w:ilvl="1" w:tentative="0">
      <w:start w:val="1"/>
      <w:numFmt w:val="bullet"/>
      <w:lvlText w:val=""/>
      <w:lvlJc w:val="left"/>
      <w:pPr>
        <w:tabs>
          <w:tab w:val="left" w:pos="0"/>
        </w:tabs>
        <w:ind w:left="1320" w:hanging="420"/>
      </w:pPr>
      <w:rPr>
        <w:rFonts w:hint="default" w:ascii="Wingdings" w:hAnsi="Wingdings"/>
      </w:rPr>
    </w:lvl>
    <w:lvl w:ilvl="2" w:tentative="0">
      <w:start w:val="1"/>
      <w:numFmt w:val="bullet"/>
      <w:lvlText w:val=""/>
      <w:lvlJc w:val="left"/>
      <w:pPr>
        <w:tabs>
          <w:tab w:val="left" w:pos="0"/>
        </w:tabs>
        <w:ind w:left="1740" w:hanging="420"/>
      </w:pPr>
      <w:rPr>
        <w:rFonts w:hint="default" w:ascii="Wingdings" w:hAnsi="Wingdings"/>
      </w:rPr>
    </w:lvl>
    <w:lvl w:ilvl="3" w:tentative="0">
      <w:start w:val="1"/>
      <w:numFmt w:val="bullet"/>
      <w:lvlText w:val=""/>
      <w:lvlJc w:val="left"/>
      <w:pPr>
        <w:tabs>
          <w:tab w:val="left" w:pos="0"/>
        </w:tabs>
        <w:ind w:left="2160" w:hanging="420"/>
      </w:pPr>
      <w:rPr>
        <w:rFonts w:hint="default" w:ascii="Wingdings" w:hAnsi="Wingdings"/>
      </w:rPr>
    </w:lvl>
    <w:lvl w:ilvl="4" w:tentative="0">
      <w:start w:val="1"/>
      <w:numFmt w:val="bullet"/>
      <w:lvlText w:val=""/>
      <w:lvlJc w:val="left"/>
      <w:pPr>
        <w:tabs>
          <w:tab w:val="left" w:pos="0"/>
        </w:tabs>
        <w:ind w:left="2580" w:hanging="420"/>
      </w:pPr>
      <w:rPr>
        <w:rFonts w:hint="default" w:ascii="Wingdings" w:hAnsi="Wingdings"/>
      </w:rPr>
    </w:lvl>
    <w:lvl w:ilvl="5" w:tentative="0">
      <w:start w:val="1"/>
      <w:numFmt w:val="bullet"/>
      <w:lvlText w:val=""/>
      <w:lvlJc w:val="left"/>
      <w:pPr>
        <w:tabs>
          <w:tab w:val="left" w:pos="0"/>
        </w:tabs>
        <w:ind w:left="3000" w:hanging="420"/>
      </w:pPr>
      <w:rPr>
        <w:rFonts w:hint="default" w:ascii="Wingdings" w:hAnsi="Wingdings"/>
      </w:rPr>
    </w:lvl>
    <w:lvl w:ilvl="6" w:tentative="0">
      <w:start w:val="1"/>
      <w:numFmt w:val="bullet"/>
      <w:lvlText w:val=""/>
      <w:lvlJc w:val="left"/>
      <w:pPr>
        <w:tabs>
          <w:tab w:val="left" w:pos="0"/>
        </w:tabs>
        <w:ind w:left="3420" w:hanging="420"/>
      </w:pPr>
      <w:rPr>
        <w:rFonts w:hint="default" w:ascii="Wingdings" w:hAnsi="Wingdings"/>
      </w:rPr>
    </w:lvl>
    <w:lvl w:ilvl="7" w:tentative="0">
      <w:start w:val="1"/>
      <w:numFmt w:val="bullet"/>
      <w:lvlText w:val=""/>
      <w:lvlJc w:val="left"/>
      <w:pPr>
        <w:tabs>
          <w:tab w:val="left" w:pos="0"/>
        </w:tabs>
        <w:ind w:left="3840" w:hanging="420"/>
      </w:pPr>
      <w:rPr>
        <w:rFonts w:hint="default" w:ascii="Wingdings" w:hAnsi="Wingdings"/>
      </w:rPr>
    </w:lvl>
    <w:lvl w:ilvl="8" w:tentative="0">
      <w:start w:val="1"/>
      <w:numFmt w:val="bullet"/>
      <w:lvlText w:val=""/>
      <w:lvlJc w:val="left"/>
      <w:pPr>
        <w:tabs>
          <w:tab w:val="left" w:pos="0"/>
        </w:tabs>
        <w:ind w:left="4260" w:hanging="420"/>
      </w:pPr>
      <w:rPr>
        <w:rFonts w:hint="default" w:ascii="Wingdings" w:hAnsi="Wingdings"/>
      </w:rPr>
    </w:lvl>
  </w:abstractNum>
  <w:abstractNum w:abstractNumId="11">
    <w:nsid w:val="7A612DE2"/>
    <w:multiLevelType w:val="singleLevel"/>
    <w:tmpl w:val="7A612DE2"/>
    <w:lvl w:ilvl="0" w:tentative="0">
      <w:start w:val="2"/>
      <w:numFmt w:val="decimal"/>
      <w:lvlText w:val="%1."/>
      <w:lvlJc w:val="left"/>
      <w:pPr>
        <w:tabs>
          <w:tab w:val="left" w:pos="312"/>
        </w:tabs>
      </w:pPr>
    </w:lvl>
  </w:abstractNum>
  <w:abstractNum w:abstractNumId="12">
    <w:nsid w:val="7E9713E7"/>
    <w:multiLevelType w:val="singleLevel"/>
    <w:tmpl w:val="7E9713E7"/>
    <w:lvl w:ilvl="0" w:tentative="0">
      <w:start w:val="4"/>
      <w:numFmt w:val="chineseCounting"/>
      <w:suff w:val="space"/>
      <w:lvlText w:val="第%1部分"/>
      <w:lvlJc w:val="left"/>
      <w:rPr>
        <w:rFonts w:hint="eastAsia"/>
      </w:rPr>
    </w:lvl>
  </w:abstractNum>
  <w:abstractNum w:abstractNumId="13">
    <w:nsid w:val="7F96749D"/>
    <w:multiLevelType w:val="multilevel"/>
    <w:tmpl w:val="7F96749D"/>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num w:numId="1">
    <w:abstractNumId w:val="9"/>
  </w:num>
  <w:num w:numId="2">
    <w:abstractNumId w:val="0"/>
  </w:num>
  <w:num w:numId="3">
    <w:abstractNumId w:val="11"/>
  </w:num>
  <w:num w:numId="4">
    <w:abstractNumId w:val="4"/>
  </w:num>
  <w:num w:numId="5">
    <w:abstractNumId w:val="2"/>
  </w:num>
  <w:num w:numId="6">
    <w:abstractNumId w:val="6"/>
  </w:num>
  <w:num w:numId="7">
    <w:abstractNumId w:val="1"/>
  </w:num>
  <w:num w:numId="8">
    <w:abstractNumId w:val="5"/>
  </w:num>
  <w:num w:numId="9">
    <w:abstractNumId w:val="3"/>
  </w:num>
  <w:num w:numId="10">
    <w:abstractNumId w:val="12"/>
  </w:num>
  <w:num w:numId="11">
    <w:abstractNumId w:val="10"/>
  </w:num>
  <w:num w:numId="12">
    <w:abstractNumId w:val="7"/>
  </w:num>
  <w:num w:numId="13">
    <w:abstractNumId w:val="13"/>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HorizontalSpacing w:val="181"/>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ExZmI5NTc2OTFhZWY2NDZlZTFkMTUzMWFkYzBmYWMifQ=="/>
    <w:docVar w:name="KSO_WPS_MARK_KEY" w:val="288773bf-0df4-413a-9f38-c1906dd68f40"/>
  </w:docVars>
  <w:rsids>
    <w:rsidRoot w:val="547A000A"/>
    <w:rsid w:val="000139F5"/>
    <w:rsid w:val="00022B06"/>
    <w:rsid w:val="00036836"/>
    <w:rsid w:val="0005777A"/>
    <w:rsid w:val="00065382"/>
    <w:rsid w:val="00080223"/>
    <w:rsid w:val="000A5309"/>
    <w:rsid w:val="000D6A51"/>
    <w:rsid w:val="000F45A3"/>
    <w:rsid w:val="001C1EE3"/>
    <w:rsid w:val="001C713C"/>
    <w:rsid w:val="001D75B9"/>
    <w:rsid w:val="00200F05"/>
    <w:rsid w:val="00220056"/>
    <w:rsid w:val="002626ED"/>
    <w:rsid w:val="00265A40"/>
    <w:rsid w:val="00282FDE"/>
    <w:rsid w:val="0029130A"/>
    <w:rsid w:val="002F6C4C"/>
    <w:rsid w:val="003A4540"/>
    <w:rsid w:val="003B4D7D"/>
    <w:rsid w:val="003D6656"/>
    <w:rsid w:val="003E0AB3"/>
    <w:rsid w:val="00401C42"/>
    <w:rsid w:val="004076DE"/>
    <w:rsid w:val="00423213"/>
    <w:rsid w:val="00460AFB"/>
    <w:rsid w:val="00470130"/>
    <w:rsid w:val="00483B0A"/>
    <w:rsid w:val="004B5126"/>
    <w:rsid w:val="004F7838"/>
    <w:rsid w:val="00503391"/>
    <w:rsid w:val="00552960"/>
    <w:rsid w:val="0056018A"/>
    <w:rsid w:val="00567344"/>
    <w:rsid w:val="005829DC"/>
    <w:rsid w:val="005C0B4E"/>
    <w:rsid w:val="005C421F"/>
    <w:rsid w:val="005F16F0"/>
    <w:rsid w:val="0062689F"/>
    <w:rsid w:val="0065185D"/>
    <w:rsid w:val="00680629"/>
    <w:rsid w:val="00686C52"/>
    <w:rsid w:val="006F1414"/>
    <w:rsid w:val="007432BF"/>
    <w:rsid w:val="007525BF"/>
    <w:rsid w:val="0075280E"/>
    <w:rsid w:val="007800DC"/>
    <w:rsid w:val="007838AA"/>
    <w:rsid w:val="00783D5E"/>
    <w:rsid w:val="00785FD6"/>
    <w:rsid w:val="007B212D"/>
    <w:rsid w:val="00806A61"/>
    <w:rsid w:val="00824BFD"/>
    <w:rsid w:val="008453B3"/>
    <w:rsid w:val="00845824"/>
    <w:rsid w:val="008D3B56"/>
    <w:rsid w:val="008D5CEF"/>
    <w:rsid w:val="009360F9"/>
    <w:rsid w:val="00964F00"/>
    <w:rsid w:val="009B511E"/>
    <w:rsid w:val="009E0F5E"/>
    <w:rsid w:val="00A21EB2"/>
    <w:rsid w:val="00A31561"/>
    <w:rsid w:val="00A54E95"/>
    <w:rsid w:val="00A80564"/>
    <w:rsid w:val="00A960B2"/>
    <w:rsid w:val="00AD7338"/>
    <w:rsid w:val="00AE6633"/>
    <w:rsid w:val="00B01FF1"/>
    <w:rsid w:val="00B426C4"/>
    <w:rsid w:val="00B72516"/>
    <w:rsid w:val="00B92C97"/>
    <w:rsid w:val="00BA3C70"/>
    <w:rsid w:val="00BB4E42"/>
    <w:rsid w:val="00BF0E19"/>
    <w:rsid w:val="00C01073"/>
    <w:rsid w:val="00C855F6"/>
    <w:rsid w:val="00C92F53"/>
    <w:rsid w:val="00CD5223"/>
    <w:rsid w:val="00CE5010"/>
    <w:rsid w:val="00CE6E17"/>
    <w:rsid w:val="00D0528A"/>
    <w:rsid w:val="00D11B37"/>
    <w:rsid w:val="00D408EF"/>
    <w:rsid w:val="00D5145C"/>
    <w:rsid w:val="00D64DAE"/>
    <w:rsid w:val="00D729A1"/>
    <w:rsid w:val="00D94578"/>
    <w:rsid w:val="00DB5225"/>
    <w:rsid w:val="00DD1E5E"/>
    <w:rsid w:val="00DE6417"/>
    <w:rsid w:val="00E16182"/>
    <w:rsid w:val="00E1627A"/>
    <w:rsid w:val="00E34C35"/>
    <w:rsid w:val="00E64BF7"/>
    <w:rsid w:val="00E650A8"/>
    <w:rsid w:val="00E878B4"/>
    <w:rsid w:val="00EA52E2"/>
    <w:rsid w:val="00EB3D00"/>
    <w:rsid w:val="00F71720"/>
    <w:rsid w:val="00FE040F"/>
    <w:rsid w:val="00FE42B3"/>
    <w:rsid w:val="014832F2"/>
    <w:rsid w:val="014C6B51"/>
    <w:rsid w:val="014D51C1"/>
    <w:rsid w:val="01714809"/>
    <w:rsid w:val="0179546C"/>
    <w:rsid w:val="01C52478"/>
    <w:rsid w:val="027408EE"/>
    <w:rsid w:val="02963F39"/>
    <w:rsid w:val="02B3095A"/>
    <w:rsid w:val="02B50726"/>
    <w:rsid w:val="02BA7274"/>
    <w:rsid w:val="03251978"/>
    <w:rsid w:val="0325718A"/>
    <w:rsid w:val="03A04F32"/>
    <w:rsid w:val="042921B6"/>
    <w:rsid w:val="043342B8"/>
    <w:rsid w:val="043B72BB"/>
    <w:rsid w:val="04461EC1"/>
    <w:rsid w:val="04504B3F"/>
    <w:rsid w:val="04510922"/>
    <w:rsid w:val="046B5540"/>
    <w:rsid w:val="04786935"/>
    <w:rsid w:val="049D18BB"/>
    <w:rsid w:val="04AD02B8"/>
    <w:rsid w:val="04DE51C8"/>
    <w:rsid w:val="04DF17D4"/>
    <w:rsid w:val="04EE7F1F"/>
    <w:rsid w:val="05355B4E"/>
    <w:rsid w:val="05412745"/>
    <w:rsid w:val="05491761"/>
    <w:rsid w:val="05A351AD"/>
    <w:rsid w:val="05F257ED"/>
    <w:rsid w:val="05F9748A"/>
    <w:rsid w:val="06266F78"/>
    <w:rsid w:val="063E7B7A"/>
    <w:rsid w:val="06582413"/>
    <w:rsid w:val="06682E69"/>
    <w:rsid w:val="066A28A8"/>
    <w:rsid w:val="067E33B8"/>
    <w:rsid w:val="06B96433"/>
    <w:rsid w:val="06E82FCB"/>
    <w:rsid w:val="06F34B95"/>
    <w:rsid w:val="07426476"/>
    <w:rsid w:val="07571DAC"/>
    <w:rsid w:val="07612C2A"/>
    <w:rsid w:val="07867620"/>
    <w:rsid w:val="08916B94"/>
    <w:rsid w:val="089D4136"/>
    <w:rsid w:val="08D5567E"/>
    <w:rsid w:val="08DD171B"/>
    <w:rsid w:val="08E64121"/>
    <w:rsid w:val="09097B66"/>
    <w:rsid w:val="090F1795"/>
    <w:rsid w:val="0942017F"/>
    <w:rsid w:val="0968268E"/>
    <w:rsid w:val="09BA1FBB"/>
    <w:rsid w:val="09CB139F"/>
    <w:rsid w:val="0A0106F5"/>
    <w:rsid w:val="0A112AB7"/>
    <w:rsid w:val="0A4E5482"/>
    <w:rsid w:val="0AAA504A"/>
    <w:rsid w:val="0AD71BC7"/>
    <w:rsid w:val="0AF049F1"/>
    <w:rsid w:val="0AF420EB"/>
    <w:rsid w:val="0B266665"/>
    <w:rsid w:val="0B2B2BF5"/>
    <w:rsid w:val="0B2F3908"/>
    <w:rsid w:val="0B3F6206"/>
    <w:rsid w:val="0B785C4C"/>
    <w:rsid w:val="0BDE715C"/>
    <w:rsid w:val="0BE12DB6"/>
    <w:rsid w:val="0BFC6504"/>
    <w:rsid w:val="0C345AD1"/>
    <w:rsid w:val="0C360B29"/>
    <w:rsid w:val="0C626CE4"/>
    <w:rsid w:val="0D030966"/>
    <w:rsid w:val="0D0C2B7B"/>
    <w:rsid w:val="0D807235"/>
    <w:rsid w:val="0D9308F8"/>
    <w:rsid w:val="0DE76C3D"/>
    <w:rsid w:val="0E1A1D85"/>
    <w:rsid w:val="0E1B0427"/>
    <w:rsid w:val="0E303356"/>
    <w:rsid w:val="0E750568"/>
    <w:rsid w:val="0E9C3C97"/>
    <w:rsid w:val="0F2D7A80"/>
    <w:rsid w:val="0F4277E5"/>
    <w:rsid w:val="0F930041"/>
    <w:rsid w:val="0FA75561"/>
    <w:rsid w:val="0FB83603"/>
    <w:rsid w:val="0FCA77F1"/>
    <w:rsid w:val="0FCD5DCC"/>
    <w:rsid w:val="10043197"/>
    <w:rsid w:val="10270545"/>
    <w:rsid w:val="103409DF"/>
    <w:rsid w:val="108A1D4B"/>
    <w:rsid w:val="10A10111"/>
    <w:rsid w:val="10BE093E"/>
    <w:rsid w:val="10E20BD8"/>
    <w:rsid w:val="111B0FE9"/>
    <w:rsid w:val="112C77F4"/>
    <w:rsid w:val="113440E3"/>
    <w:rsid w:val="114755AB"/>
    <w:rsid w:val="115F67A8"/>
    <w:rsid w:val="119A7465"/>
    <w:rsid w:val="11C07DA5"/>
    <w:rsid w:val="11C2491E"/>
    <w:rsid w:val="11F36B75"/>
    <w:rsid w:val="12491386"/>
    <w:rsid w:val="12E60579"/>
    <w:rsid w:val="12EB0F02"/>
    <w:rsid w:val="130D1D87"/>
    <w:rsid w:val="13695B36"/>
    <w:rsid w:val="1372609F"/>
    <w:rsid w:val="13D03611"/>
    <w:rsid w:val="13D73572"/>
    <w:rsid w:val="14504752"/>
    <w:rsid w:val="145A6A37"/>
    <w:rsid w:val="1467440F"/>
    <w:rsid w:val="14D7277E"/>
    <w:rsid w:val="15400323"/>
    <w:rsid w:val="15433A9B"/>
    <w:rsid w:val="15FC2F04"/>
    <w:rsid w:val="16181FAC"/>
    <w:rsid w:val="168756A0"/>
    <w:rsid w:val="16F94849"/>
    <w:rsid w:val="17045E51"/>
    <w:rsid w:val="172011D4"/>
    <w:rsid w:val="17252C3B"/>
    <w:rsid w:val="17312619"/>
    <w:rsid w:val="173C25C7"/>
    <w:rsid w:val="173F0A2E"/>
    <w:rsid w:val="17770BC2"/>
    <w:rsid w:val="17860E2F"/>
    <w:rsid w:val="17A119AA"/>
    <w:rsid w:val="180E4708"/>
    <w:rsid w:val="18586F2B"/>
    <w:rsid w:val="19087FDA"/>
    <w:rsid w:val="19A766B9"/>
    <w:rsid w:val="19CE76BA"/>
    <w:rsid w:val="19F26070"/>
    <w:rsid w:val="19F97C8B"/>
    <w:rsid w:val="1A1523CE"/>
    <w:rsid w:val="1AA44EB0"/>
    <w:rsid w:val="1AA730BD"/>
    <w:rsid w:val="1ADF38C8"/>
    <w:rsid w:val="1B2B1506"/>
    <w:rsid w:val="1B333D5D"/>
    <w:rsid w:val="1B4F7512"/>
    <w:rsid w:val="1B587618"/>
    <w:rsid w:val="1B5F19C7"/>
    <w:rsid w:val="1B612DA1"/>
    <w:rsid w:val="1B8C2514"/>
    <w:rsid w:val="1BF367A5"/>
    <w:rsid w:val="1C1C709B"/>
    <w:rsid w:val="1C400DBE"/>
    <w:rsid w:val="1C47643B"/>
    <w:rsid w:val="1C4F6795"/>
    <w:rsid w:val="1C9F6814"/>
    <w:rsid w:val="1CE7377A"/>
    <w:rsid w:val="1D5C514E"/>
    <w:rsid w:val="1D865D14"/>
    <w:rsid w:val="1D8705EC"/>
    <w:rsid w:val="1DEC0E7D"/>
    <w:rsid w:val="1DF20628"/>
    <w:rsid w:val="1DF63B37"/>
    <w:rsid w:val="1E43150B"/>
    <w:rsid w:val="1EA93E80"/>
    <w:rsid w:val="1ECE150A"/>
    <w:rsid w:val="1ED33FB6"/>
    <w:rsid w:val="1EE81332"/>
    <w:rsid w:val="1F1C3BAF"/>
    <w:rsid w:val="1F32415A"/>
    <w:rsid w:val="1F542F9A"/>
    <w:rsid w:val="1F702632"/>
    <w:rsid w:val="1F7E2174"/>
    <w:rsid w:val="1FB64E98"/>
    <w:rsid w:val="1FEA7809"/>
    <w:rsid w:val="20062169"/>
    <w:rsid w:val="20107567"/>
    <w:rsid w:val="20605D1D"/>
    <w:rsid w:val="20AB56C6"/>
    <w:rsid w:val="21093CBF"/>
    <w:rsid w:val="21547789"/>
    <w:rsid w:val="2176507C"/>
    <w:rsid w:val="21A1039B"/>
    <w:rsid w:val="21AE2AB8"/>
    <w:rsid w:val="21BE35AF"/>
    <w:rsid w:val="21C11174"/>
    <w:rsid w:val="22113368"/>
    <w:rsid w:val="22244B28"/>
    <w:rsid w:val="22467FD4"/>
    <w:rsid w:val="229451FD"/>
    <w:rsid w:val="22A12DB6"/>
    <w:rsid w:val="22AE7FBA"/>
    <w:rsid w:val="236356D1"/>
    <w:rsid w:val="23A91C83"/>
    <w:rsid w:val="23C962E8"/>
    <w:rsid w:val="241E7B2F"/>
    <w:rsid w:val="246D2675"/>
    <w:rsid w:val="247E4FED"/>
    <w:rsid w:val="24AD78E0"/>
    <w:rsid w:val="24B30BE8"/>
    <w:rsid w:val="24E34060"/>
    <w:rsid w:val="253A0491"/>
    <w:rsid w:val="254E0478"/>
    <w:rsid w:val="257D2ECD"/>
    <w:rsid w:val="25B14925"/>
    <w:rsid w:val="25E036B2"/>
    <w:rsid w:val="25E9082A"/>
    <w:rsid w:val="25F42473"/>
    <w:rsid w:val="269C17B8"/>
    <w:rsid w:val="26AF2D79"/>
    <w:rsid w:val="26B34B91"/>
    <w:rsid w:val="270075A9"/>
    <w:rsid w:val="270D66E8"/>
    <w:rsid w:val="27514612"/>
    <w:rsid w:val="278B0DAB"/>
    <w:rsid w:val="278D3850"/>
    <w:rsid w:val="279C6B0E"/>
    <w:rsid w:val="27A64735"/>
    <w:rsid w:val="27CC4DF2"/>
    <w:rsid w:val="280D64D7"/>
    <w:rsid w:val="281864F2"/>
    <w:rsid w:val="2838132E"/>
    <w:rsid w:val="286903EF"/>
    <w:rsid w:val="287F5DD3"/>
    <w:rsid w:val="288047CB"/>
    <w:rsid w:val="289E62FA"/>
    <w:rsid w:val="28FD6E90"/>
    <w:rsid w:val="291E2CA6"/>
    <w:rsid w:val="29331862"/>
    <w:rsid w:val="29622B06"/>
    <w:rsid w:val="297B5976"/>
    <w:rsid w:val="297D349C"/>
    <w:rsid w:val="299741EC"/>
    <w:rsid w:val="299E147F"/>
    <w:rsid w:val="29BD6726"/>
    <w:rsid w:val="29C32A87"/>
    <w:rsid w:val="29CF26DC"/>
    <w:rsid w:val="2A1C5DA0"/>
    <w:rsid w:val="2A200D39"/>
    <w:rsid w:val="2A507EFF"/>
    <w:rsid w:val="2A7C0D61"/>
    <w:rsid w:val="2ADC05A4"/>
    <w:rsid w:val="2AEF2177"/>
    <w:rsid w:val="2B161149"/>
    <w:rsid w:val="2B1B2F6C"/>
    <w:rsid w:val="2B391645"/>
    <w:rsid w:val="2B6F0D7F"/>
    <w:rsid w:val="2B844FB6"/>
    <w:rsid w:val="2B8716BD"/>
    <w:rsid w:val="2B8A1EA0"/>
    <w:rsid w:val="2B8B76FF"/>
    <w:rsid w:val="2BD5034F"/>
    <w:rsid w:val="2CDF446E"/>
    <w:rsid w:val="2D025012"/>
    <w:rsid w:val="2D4178F0"/>
    <w:rsid w:val="2DAE631A"/>
    <w:rsid w:val="2DD877E0"/>
    <w:rsid w:val="2DE616C9"/>
    <w:rsid w:val="2DFC2451"/>
    <w:rsid w:val="2E3422F8"/>
    <w:rsid w:val="2E607565"/>
    <w:rsid w:val="2E6E566D"/>
    <w:rsid w:val="2E7F188E"/>
    <w:rsid w:val="2EBC0905"/>
    <w:rsid w:val="2EC73739"/>
    <w:rsid w:val="2EFB1B0E"/>
    <w:rsid w:val="2F4D56BE"/>
    <w:rsid w:val="2F5C684F"/>
    <w:rsid w:val="2F63756E"/>
    <w:rsid w:val="2F6A0BF4"/>
    <w:rsid w:val="2F77098D"/>
    <w:rsid w:val="2FEC3129"/>
    <w:rsid w:val="2FF40230"/>
    <w:rsid w:val="303D3985"/>
    <w:rsid w:val="306A6644"/>
    <w:rsid w:val="30717AD3"/>
    <w:rsid w:val="307610EA"/>
    <w:rsid w:val="307776D1"/>
    <w:rsid w:val="30862574"/>
    <w:rsid w:val="30B631E1"/>
    <w:rsid w:val="30BD737C"/>
    <w:rsid w:val="30DF2A6F"/>
    <w:rsid w:val="30E860A3"/>
    <w:rsid w:val="311933AA"/>
    <w:rsid w:val="316B62D0"/>
    <w:rsid w:val="317D15BB"/>
    <w:rsid w:val="31C825FC"/>
    <w:rsid w:val="31D07E6C"/>
    <w:rsid w:val="31EB0716"/>
    <w:rsid w:val="32036508"/>
    <w:rsid w:val="323F65DA"/>
    <w:rsid w:val="32412074"/>
    <w:rsid w:val="324F5BF1"/>
    <w:rsid w:val="327C2FDC"/>
    <w:rsid w:val="32A43435"/>
    <w:rsid w:val="32DE0199"/>
    <w:rsid w:val="333C2963"/>
    <w:rsid w:val="3344327C"/>
    <w:rsid w:val="335B2774"/>
    <w:rsid w:val="335F1E64"/>
    <w:rsid w:val="33A4642E"/>
    <w:rsid w:val="33D4039C"/>
    <w:rsid w:val="33D47E05"/>
    <w:rsid w:val="33D65FD5"/>
    <w:rsid w:val="33DE547F"/>
    <w:rsid w:val="33E505BB"/>
    <w:rsid w:val="3413677D"/>
    <w:rsid w:val="342B544B"/>
    <w:rsid w:val="345E036E"/>
    <w:rsid w:val="34C47852"/>
    <w:rsid w:val="34DE1E4F"/>
    <w:rsid w:val="34F07DB1"/>
    <w:rsid w:val="35092435"/>
    <w:rsid w:val="359009FB"/>
    <w:rsid w:val="35D354B8"/>
    <w:rsid w:val="35D4025C"/>
    <w:rsid w:val="362666BC"/>
    <w:rsid w:val="368A6B11"/>
    <w:rsid w:val="37085B1F"/>
    <w:rsid w:val="372E04CB"/>
    <w:rsid w:val="378B76CC"/>
    <w:rsid w:val="37CA01F4"/>
    <w:rsid w:val="381274A5"/>
    <w:rsid w:val="38206BF2"/>
    <w:rsid w:val="38E070F2"/>
    <w:rsid w:val="390D33AB"/>
    <w:rsid w:val="391E6D06"/>
    <w:rsid w:val="3A074847"/>
    <w:rsid w:val="3A685AA2"/>
    <w:rsid w:val="3A830B2E"/>
    <w:rsid w:val="3A9F2A6E"/>
    <w:rsid w:val="3AA90FE6"/>
    <w:rsid w:val="3AA9318F"/>
    <w:rsid w:val="3AB62DA0"/>
    <w:rsid w:val="3ACA1B91"/>
    <w:rsid w:val="3B0D21A6"/>
    <w:rsid w:val="3B451BFD"/>
    <w:rsid w:val="3B69577B"/>
    <w:rsid w:val="3B702D85"/>
    <w:rsid w:val="3B7D3FD5"/>
    <w:rsid w:val="3B823DDF"/>
    <w:rsid w:val="3BC431AC"/>
    <w:rsid w:val="3BD827B4"/>
    <w:rsid w:val="3C237ED3"/>
    <w:rsid w:val="3C460D90"/>
    <w:rsid w:val="3C4D2D59"/>
    <w:rsid w:val="3CAA596A"/>
    <w:rsid w:val="3CAF1D22"/>
    <w:rsid w:val="3CB1587B"/>
    <w:rsid w:val="3CB735F2"/>
    <w:rsid w:val="3CCD42E3"/>
    <w:rsid w:val="3CF84DD4"/>
    <w:rsid w:val="3D037D04"/>
    <w:rsid w:val="3D186684"/>
    <w:rsid w:val="3D363C36"/>
    <w:rsid w:val="3D6A1B31"/>
    <w:rsid w:val="3D8B2178"/>
    <w:rsid w:val="3DB34909"/>
    <w:rsid w:val="3DD115F5"/>
    <w:rsid w:val="3DE435F0"/>
    <w:rsid w:val="3DE5122C"/>
    <w:rsid w:val="3DF37E53"/>
    <w:rsid w:val="3EC314F9"/>
    <w:rsid w:val="3ED26DE9"/>
    <w:rsid w:val="3EED17D0"/>
    <w:rsid w:val="3F0C0304"/>
    <w:rsid w:val="3F774839"/>
    <w:rsid w:val="3F7D3D9E"/>
    <w:rsid w:val="3F9410E8"/>
    <w:rsid w:val="3FEC147E"/>
    <w:rsid w:val="40376375"/>
    <w:rsid w:val="412732B7"/>
    <w:rsid w:val="4127791F"/>
    <w:rsid w:val="41281794"/>
    <w:rsid w:val="413C1FDF"/>
    <w:rsid w:val="41806A69"/>
    <w:rsid w:val="41B0259C"/>
    <w:rsid w:val="41BC6F1C"/>
    <w:rsid w:val="41C061C4"/>
    <w:rsid w:val="41EF2363"/>
    <w:rsid w:val="41F77860"/>
    <w:rsid w:val="424A4B98"/>
    <w:rsid w:val="42581D3A"/>
    <w:rsid w:val="42ED2EA4"/>
    <w:rsid w:val="42F6649D"/>
    <w:rsid w:val="42FE0080"/>
    <w:rsid w:val="43315D2E"/>
    <w:rsid w:val="43670C99"/>
    <w:rsid w:val="43824A1C"/>
    <w:rsid w:val="43AE09CA"/>
    <w:rsid w:val="43B1743B"/>
    <w:rsid w:val="43D110E1"/>
    <w:rsid w:val="43D61CCF"/>
    <w:rsid w:val="43DF072A"/>
    <w:rsid w:val="43E873C9"/>
    <w:rsid w:val="44905B1F"/>
    <w:rsid w:val="45316885"/>
    <w:rsid w:val="45326A50"/>
    <w:rsid w:val="45334280"/>
    <w:rsid w:val="454E56C4"/>
    <w:rsid w:val="458464CB"/>
    <w:rsid w:val="45A95EE9"/>
    <w:rsid w:val="45FB0F21"/>
    <w:rsid w:val="46167166"/>
    <w:rsid w:val="46255415"/>
    <w:rsid w:val="4636719A"/>
    <w:rsid w:val="46380A1F"/>
    <w:rsid w:val="46BF3973"/>
    <w:rsid w:val="4714591E"/>
    <w:rsid w:val="47200EE3"/>
    <w:rsid w:val="47435AC2"/>
    <w:rsid w:val="47544B78"/>
    <w:rsid w:val="47587AF7"/>
    <w:rsid w:val="47745A86"/>
    <w:rsid w:val="47E239AC"/>
    <w:rsid w:val="480F4B73"/>
    <w:rsid w:val="487974BD"/>
    <w:rsid w:val="48895562"/>
    <w:rsid w:val="48DB38E3"/>
    <w:rsid w:val="49001B5E"/>
    <w:rsid w:val="49376DB0"/>
    <w:rsid w:val="49804BB7"/>
    <w:rsid w:val="49826DCB"/>
    <w:rsid w:val="499013E7"/>
    <w:rsid w:val="49C8088A"/>
    <w:rsid w:val="4A0F6D68"/>
    <w:rsid w:val="4A301C93"/>
    <w:rsid w:val="4A3302AB"/>
    <w:rsid w:val="4A4060F4"/>
    <w:rsid w:val="4A572A17"/>
    <w:rsid w:val="4A6F2535"/>
    <w:rsid w:val="4AC85D49"/>
    <w:rsid w:val="4AE308A9"/>
    <w:rsid w:val="4B117A90"/>
    <w:rsid w:val="4B260F2D"/>
    <w:rsid w:val="4B9A1456"/>
    <w:rsid w:val="4BA32C82"/>
    <w:rsid w:val="4BE70627"/>
    <w:rsid w:val="4BFC24EE"/>
    <w:rsid w:val="4C0A5AE1"/>
    <w:rsid w:val="4C130AB8"/>
    <w:rsid w:val="4C5A284D"/>
    <w:rsid w:val="4C5C0673"/>
    <w:rsid w:val="4C786019"/>
    <w:rsid w:val="4C856040"/>
    <w:rsid w:val="4CB96B43"/>
    <w:rsid w:val="4CC75FCC"/>
    <w:rsid w:val="4CC87A5E"/>
    <w:rsid w:val="4CD63947"/>
    <w:rsid w:val="4CDB2104"/>
    <w:rsid w:val="4CFC49F4"/>
    <w:rsid w:val="4D073D73"/>
    <w:rsid w:val="4D1D44CA"/>
    <w:rsid w:val="4D1E27BA"/>
    <w:rsid w:val="4D23574A"/>
    <w:rsid w:val="4D4C4DB0"/>
    <w:rsid w:val="4D7322D5"/>
    <w:rsid w:val="4DC000E1"/>
    <w:rsid w:val="4DD7034C"/>
    <w:rsid w:val="4DE312CB"/>
    <w:rsid w:val="4DF5318E"/>
    <w:rsid w:val="4E1F4862"/>
    <w:rsid w:val="4E2E4393"/>
    <w:rsid w:val="4E535EF2"/>
    <w:rsid w:val="4EBB0839"/>
    <w:rsid w:val="4EDA4744"/>
    <w:rsid w:val="4F0170F3"/>
    <w:rsid w:val="4F08773C"/>
    <w:rsid w:val="4F31409F"/>
    <w:rsid w:val="4F576D80"/>
    <w:rsid w:val="4F5E670E"/>
    <w:rsid w:val="4F846A83"/>
    <w:rsid w:val="4F883E6C"/>
    <w:rsid w:val="50070E2C"/>
    <w:rsid w:val="501112F3"/>
    <w:rsid w:val="504B57F2"/>
    <w:rsid w:val="50850D04"/>
    <w:rsid w:val="50C5433A"/>
    <w:rsid w:val="50C62BC7"/>
    <w:rsid w:val="50D3475E"/>
    <w:rsid w:val="50F72A66"/>
    <w:rsid w:val="5123368C"/>
    <w:rsid w:val="5130747C"/>
    <w:rsid w:val="51417051"/>
    <w:rsid w:val="515C765A"/>
    <w:rsid w:val="51905BB3"/>
    <w:rsid w:val="51946FCB"/>
    <w:rsid w:val="51AC406F"/>
    <w:rsid w:val="51DD796B"/>
    <w:rsid w:val="51DF373B"/>
    <w:rsid w:val="52846D9A"/>
    <w:rsid w:val="52BC4786"/>
    <w:rsid w:val="52C96FAF"/>
    <w:rsid w:val="52EF4CB5"/>
    <w:rsid w:val="52F959F0"/>
    <w:rsid w:val="5302488E"/>
    <w:rsid w:val="53136173"/>
    <w:rsid w:val="53163E96"/>
    <w:rsid w:val="534B12B7"/>
    <w:rsid w:val="539442AF"/>
    <w:rsid w:val="539A4AC7"/>
    <w:rsid w:val="53D61877"/>
    <w:rsid w:val="542631B6"/>
    <w:rsid w:val="542B3971"/>
    <w:rsid w:val="543D6020"/>
    <w:rsid w:val="5447483C"/>
    <w:rsid w:val="547A000A"/>
    <w:rsid w:val="54862A07"/>
    <w:rsid w:val="54942CAE"/>
    <w:rsid w:val="54A61722"/>
    <w:rsid w:val="54B0031A"/>
    <w:rsid w:val="54B31FAF"/>
    <w:rsid w:val="54CB31BB"/>
    <w:rsid w:val="54D44008"/>
    <w:rsid w:val="54FB10D7"/>
    <w:rsid w:val="54FD46FE"/>
    <w:rsid w:val="55326D63"/>
    <w:rsid w:val="555413F3"/>
    <w:rsid w:val="555D1A10"/>
    <w:rsid w:val="55C300FC"/>
    <w:rsid w:val="56AC4A78"/>
    <w:rsid w:val="56C2011A"/>
    <w:rsid w:val="56CB4F97"/>
    <w:rsid w:val="56DB16B9"/>
    <w:rsid w:val="574D00A2"/>
    <w:rsid w:val="5778511F"/>
    <w:rsid w:val="577A3463"/>
    <w:rsid w:val="579F27B0"/>
    <w:rsid w:val="57AA72A2"/>
    <w:rsid w:val="57F967AD"/>
    <w:rsid w:val="58052975"/>
    <w:rsid w:val="58063909"/>
    <w:rsid w:val="580F5357"/>
    <w:rsid w:val="583D3C73"/>
    <w:rsid w:val="584D1A65"/>
    <w:rsid w:val="584F5C44"/>
    <w:rsid w:val="58E525CA"/>
    <w:rsid w:val="58EE7372"/>
    <w:rsid w:val="59227E09"/>
    <w:rsid w:val="593D045A"/>
    <w:rsid w:val="5960739E"/>
    <w:rsid w:val="59896D0A"/>
    <w:rsid w:val="59B72684"/>
    <w:rsid w:val="5A7140A7"/>
    <w:rsid w:val="5A8E6A07"/>
    <w:rsid w:val="5A9579AE"/>
    <w:rsid w:val="5AA91A93"/>
    <w:rsid w:val="5AB0697E"/>
    <w:rsid w:val="5AC468CD"/>
    <w:rsid w:val="5B342B9A"/>
    <w:rsid w:val="5B5953B0"/>
    <w:rsid w:val="5B630802"/>
    <w:rsid w:val="5B807F68"/>
    <w:rsid w:val="5BA72CE5"/>
    <w:rsid w:val="5C034D53"/>
    <w:rsid w:val="5C0A43A9"/>
    <w:rsid w:val="5C647631"/>
    <w:rsid w:val="5C7B276E"/>
    <w:rsid w:val="5CC96BFE"/>
    <w:rsid w:val="5D722852"/>
    <w:rsid w:val="5DA13E95"/>
    <w:rsid w:val="5DE51034"/>
    <w:rsid w:val="5DF60588"/>
    <w:rsid w:val="5E1D6F56"/>
    <w:rsid w:val="5E361890"/>
    <w:rsid w:val="5E52187F"/>
    <w:rsid w:val="5E6567AD"/>
    <w:rsid w:val="5E6A13CD"/>
    <w:rsid w:val="5E705D15"/>
    <w:rsid w:val="5E93326C"/>
    <w:rsid w:val="5E9F1A7A"/>
    <w:rsid w:val="5EAF3818"/>
    <w:rsid w:val="5EFB4BA4"/>
    <w:rsid w:val="5F025452"/>
    <w:rsid w:val="5F127074"/>
    <w:rsid w:val="5F5F46B5"/>
    <w:rsid w:val="5FB25360"/>
    <w:rsid w:val="5FBA3CC0"/>
    <w:rsid w:val="5FBE258A"/>
    <w:rsid w:val="5FD90D61"/>
    <w:rsid w:val="60177697"/>
    <w:rsid w:val="602329DB"/>
    <w:rsid w:val="607777D6"/>
    <w:rsid w:val="608F5287"/>
    <w:rsid w:val="60B50B3A"/>
    <w:rsid w:val="60BC76A1"/>
    <w:rsid w:val="60D62EB6"/>
    <w:rsid w:val="610B7637"/>
    <w:rsid w:val="612279BA"/>
    <w:rsid w:val="615F5624"/>
    <w:rsid w:val="61D215CF"/>
    <w:rsid w:val="61D73926"/>
    <w:rsid w:val="625C563D"/>
    <w:rsid w:val="626A1704"/>
    <w:rsid w:val="627921C2"/>
    <w:rsid w:val="62B362C8"/>
    <w:rsid w:val="62C1330E"/>
    <w:rsid w:val="633D0FCB"/>
    <w:rsid w:val="6342085E"/>
    <w:rsid w:val="636F415C"/>
    <w:rsid w:val="64464B44"/>
    <w:rsid w:val="644C0547"/>
    <w:rsid w:val="6488096B"/>
    <w:rsid w:val="64917820"/>
    <w:rsid w:val="649E018F"/>
    <w:rsid w:val="64AA1CC5"/>
    <w:rsid w:val="65200BA4"/>
    <w:rsid w:val="6528341F"/>
    <w:rsid w:val="656B2909"/>
    <w:rsid w:val="658D448B"/>
    <w:rsid w:val="65970AF2"/>
    <w:rsid w:val="65A3045D"/>
    <w:rsid w:val="65C21C5B"/>
    <w:rsid w:val="65D97752"/>
    <w:rsid w:val="65E25E59"/>
    <w:rsid w:val="66307F76"/>
    <w:rsid w:val="66580EAF"/>
    <w:rsid w:val="66694D0D"/>
    <w:rsid w:val="667B4472"/>
    <w:rsid w:val="66F041A8"/>
    <w:rsid w:val="6721178A"/>
    <w:rsid w:val="6739399A"/>
    <w:rsid w:val="673B1CC5"/>
    <w:rsid w:val="673F39DE"/>
    <w:rsid w:val="674C5D22"/>
    <w:rsid w:val="67663AF8"/>
    <w:rsid w:val="67762CFD"/>
    <w:rsid w:val="677A678D"/>
    <w:rsid w:val="677F7E04"/>
    <w:rsid w:val="67B77327"/>
    <w:rsid w:val="67D30B32"/>
    <w:rsid w:val="67F051D2"/>
    <w:rsid w:val="68011379"/>
    <w:rsid w:val="68252C37"/>
    <w:rsid w:val="683338F6"/>
    <w:rsid w:val="68817BAC"/>
    <w:rsid w:val="689A5E59"/>
    <w:rsid w:val="68A94E70"/>
    <w:rsid w:val="68EE72DF"/>
    <w:rsid w:val="68FE744E"/>
    <w:rsid w:val="690B4C92"/>
    <w:rsid w:val="69485FEA"/>
    <w:rsid w:val="69677DC0"/>
    <w:rsid w:val="69937EC7"/>
    <w:rsid w:val="69D64558"/>
    <w:rsid w:val="6A042548"/>
    <w:rsid w:val="6A3739C7"/>
    <w:rsid w:val="6A471EFD"/>
    <w:rsid w:val="6A505A87"/>
    <w:rsid w:val="6A755CB7"/>
    <w:rsid w:val="6AB57116"/>
    <w:rsid w:val="6B17424A"/>
    <w:rsid w:val="6B2218FA"/>
    <w:rsid w:val="6B686C59"/>
    <w:rsid w:val="6B691672"/>
    <w:rsid w:val="6BAF2C82"/>
    <w:rsid w:val="6BC06C3D"/>
    <w:rsid w:val="6BE97F42"/>
    <w:rsid w:val="6C270A6A"/>
    <w:rsid w:val="6C5E6A51"/>
    <w:rsid w:val="6C6513C3"/>
    <w:rsid w:val="6C744268"/>
    <w:rsid w:val="6C913746"/>
    <w:rsid w:val="6CA64085"/>
    <w:rsid w:val="6CD62D03"/>
    <w:rsid w:val="6CD97FB6"/>
    <w:rsid w:val="6D0E5050"/>
    <w:rsid w:val="6D4B22B8"/>
    <w:rsid w:val="6D930013"/>
    <w:rsid w:val="6DBE0F5A"/>
    <w:rsid w:val="6DD54C21"/>
    <w:rsid w:val="6E1A1656"/>
    <w:rsid w:val="6E231DD6"/>
    <w:rsid w:val="6E274D51"/>
    <w:rsid w:val="6E5A5288"/>
    <w:rsid w:val="6E9A5523"/>
    <w:rsid w:val="6EE013EE"/>
    <w:rsid w:val="6EE079F1"/>
    <w:rsid w:val="6EE42C42"/>
    <w:rsid w:val="6F7F7CB0"/>
    <w:rsid w:val="6FE0165C"/>
    <w:rsid w:val="6FE10C44"/>
    <w:rsid w:val="6FE32EFA"/>
    <w:rsid w:val="70222744"/>
    <w:rsid w:val="706D25DF"/>
    <w:rsid w:val="706D2B21"/>
    <w:rsid w:val="707B1384"/>
    <w:rsid w:val="70857A34"/>
    <w:rsid w:val="70985D3C"/>
    <w:rsid w:val="70ED4030"/>
    <w:rsid w:val="70F81685"/>
    <w:rsid w:val="71047C73"/>
    <w:rsid w:val="7107096A"/>
    <w:rsid w:val="7109004F"/>
    <w:rsid w:val="71103167"/>
    <w:rsid w:val="712E56F7"/>
    <w:rsid w:val="713175C0"/>
    <w:rsid w:val="71691ABB"/>
    <w:rsid w:val="71AE1AEA"/>
    <w:rsid w:val="71CF3B6C"/>
    <w:rsid w:val="71DB032D"/>
    <w:rsid w:val="71F80F33"/>
    <w:rsid w:val="721101F2"/>
    <w:rsid w:val="722922C6"/>
    <w:rsid w:val="727176A7"/>
    <w:rsid w:val="72AC2584"/>
    <w:rsid w:val="72CB03A1"/>
    <w:rsid w:val="732D4B5D"/>
    <w:rsid w:val="73393C88"/>
    <w:rsid w:val="7362513F"/>
    <w:rsid w:val="73771D49"/>
    <w:rsid w:val="73A1354E"/>
    <w:rsid w:val="74006876"/>
    <w:rsid w:val="745B5755"/>
    <w:rsid w:val="747607E0"/>
    <w:rsid w:val="74A11E7D"/>
    <w:rsid w:val="74C4654A"/>
    <w:rsid w:val="75387844"/>
    <w:rsid w:val="753A79B9"/>
    <w:rsid w:val="75590B0A"/>
    <w:rsid w:val="7582279F"/>
    <w:rsid w:val="75843EB5"/>
    <w:rsid w:val="75BB71AF"/>
    <w:rsid w:val="75F01962"/>
    <w:rsid w:val="75F145C2"/>
    <w:rsid w:val="760E19DF"/>
    <w:rsid w:val="764E52E0"/>
    <w:rsid w:val="76557F3E"/>
    <w:rsid w:val="76676A53"/>
    <w:rsid w:val="76961750"/>
    <w:rsid w:val="76A3294D"/>
    <w:rsid w:val="76B620A1"/>
    <w:rsid w:val="76F20814"/>
    <w:rsid w:val="77462524"/>
    <w:rsid w:val="776C358D"/>
    <w:rsid w:val="779A6594"/>
    <w:rsid w:val="77A21064"/>
    <w:rsid w:val="77E34EB2"/>
    <w:rsid w:val="78071E5D"/>
    <w:rsid w:val="780B56E4"/>
    <w:rsid w:val="781564B8"/>
    <w:rsid w:val="781B2E5F"/>
    <w:rsid w:val="78224ACF"/>
    <w:rsid w:val="783E7E0B"/>
    <w:rsid w:val="78CD6DCC"/>
    <w:rsid w:val="78CE0BEB"/>
    <w:rsid w:val="78D07CAF"/>
    <w:rsid w:val="78DE12D7"/>
    <w:rsid w:val="79210683"/>
    <w:rsid w:val="799C3465"/>
    <w:rsid w:val="79B14EC4"/>
    <w:rsid w:val="7A2A6B4A"/>
    <w:rsid w:val="7A304F8E"/>
    <w:rsid w:val="7A3507F6"/>
    <w:rsid w:val="7A681070"/>
    <w:rsid w:val="7A860C7C"/>
    <w:rsid w:val="7AB879FE"/>
    <w:rsid w:val="7AC34054"/>
    <w:rsid w:val="7AF64429"/>
    <w:rsid w:val="7B072683"/>
    <w:rsid w:val="7B3264DD"/>
    <w:rsid w:val="7B81188A"/>
    <w:rsid w:val="7B9E2902"/>
    <w:rsid w:val="7BC854E2"/>
    <w:rsid w:val="7BE67FFA"/>
    <w:rsid w:val="7C0562EC"/>
    <w:rsid w:val="7C067A45"/>
    <w:rsid w:val="7C27683F"/>
    <w:rsid w:val="7C3A6597"/>
    <w:rsid w:val="7CB14B4D"/>
    <w:rsid w:val="7CB43C54"/>
    <w:rsid w:val="7CD57FDE"/>
    <w:rsid w:val="7CF26969"/>
    <w:rsid w:val="7D25523C"/>
    <w:rsid w:val="7D2A660C"/>
    <w:rsid w:val="7D6C2781"/>
    <w:rsid w:val="7DB23041"/>
    <w:rsid w:val="7E253FEC"/>
    <w:rsid w:val="7E5F7809"/>
    <w:rsid w:val="7ED56C53"/>
    <w:rsid w:val="7EEA1BAF"/>
    <w:rsid w:val="7F5460D4"/>
    <w:rsid w:val="7F552892"/>
    <w:rsid w:val="7F98296F"/>
    <w:rsid w:val="7FC44AF6"/>
    <w:rsid w:val="B7BFD17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nhideWhenUsed="0" w:uiPriority="0" w:semiHidden="0"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3"/>
    <w:next w:val="1"/>
    <w:link w:val="51"/>
    <w:qFormat/>
    <w:uiPriority w:val="9"/>
    <w:pPr>
      <w:keepNext/>
      <w:keepLines/>
      <w:jc w:val="center"/>
      <w:outlineLvl w:val="0"/>
    </w:pPr>
    <w:rPr>
      <w:b/>
      <w:bCs/>
      <w:kern w:val="44"/>
      <w:sz w:val="36"/>
      <w:szCs w:val="44"/>
    </w:rPr>
  </w:style>
  <w:style w:type="paragraph" w:styleId="4">
    <w:name w:val="heading 2"/>
    <w:basedOn w:val="1"/>
    <w:next w:val="1"/>
    <w:link w:val="52"/>
    <w:qFormat/>
    <w:uiPriority w:val="9"/>
    <w:pPr>
      <w:keepNext/>
      <w:keepLines/>
      <w:spacing w:line="360" w:lineRule="auto"/>
      <w:outlineLvl w:val="1"/>
    </w:pPr>
    <w:rPr>
      <w:rFonts w:ascii="Arial" w:hAnsi="Arial" w:eastAsia="宋体" w:cs="Times New Roman"/>
      <w:sz w:val="24"/>
      <w:szCs w:val="32"/>
    </w:rPr>
  </w:style>
  <w:style w:type="paragraph" w:styleId="5">
    <w:name w:val="heading 3"/>
    <w:basedOn w:val="1"/>
    <w:next w:val="1"/>
    <w:link w:val="53"/>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paragraph" w:styleId="7">
    <w:name w:val="heading 5"/>
    <w:basedOn w:val="1"/>
    <w:next w:val="1"/>
    <w:qFormat/>
    <w:uiPriority w:val="0"/>
    <w:pPr>
      <w:keepNext/>
      <w:keepLines/>
      <w:spacing w:line="480" w:lineRule="exact"/>
      <w:outlineLvl w:val="4"/>
    </w:pPr>
    <w:rPr>
      <w:bCs/>
      <w:szCs w:val="28"/>
    </w:rPr>
  </w:style>
  <w:style w:type="character" w:default="1" w:styleId="38">
    <w:name w:val="Default Paragraph Font"/>
    <w:semiHidden/>
    <w:unhideWhenUsed/>
    <w:qFormat/>
    <w:uiPriority w:val="1"/>
  </w:style>
  <w:style w:type="table" w:default="1" w:styleId="36">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qFormat/>
    <w:uiPriority w:val="39"/>
    <w:pPr>
      <w:ind w:left="480"/>
      <w:jc w:val="left"/>
    </w:pPr>
    <w:rPr>
      <w:rFonts w:ascii="Calibri" w:hAnsi="Calibri" w:eastAsia="宋体" w:cs="Times New Roman"/>
      <w:i/>
      <w:iCs/>
      <w:sz w:val="20"/>
      <w:szCs w:val="20"/>
    </w:rPr>
  </w:style>
  <w:style w:type="paragraph" w:styleId="8">
    <w:name w:val="toc 7"/>
    <w:basedOn w:val="1"/>
    <w:next w:val="1"/>
    <w:qFormat/>
    <w:uiPriority w:val="39"/>
    <w:pPr>
      <w:ind w:left="1440"/>
      <w:jc w:val="left"/>
    </w:pPr>
    <w:rPr>
      <w:rFonts w:ascii="Calibri" w:hAnsi="Calibri" w:eastAsia="宋体" w:cs="Times New Roman"/>
      <w:sz w:val="18"/>
      <w:szCs w:val="18"/>
    </w:rPr>
  </w:style>
  <w:style w:type="paragraph" w:styleId="9">
    <w:name w:val="caption"/>
    <w:basedOn w:val="1"/>
    <w:next w:val="1"/>
    <w:qFormat/>
    <w:uiPriority w:val="35"/>
    <w:pPr>
      <w:spacing w:before="152" w:after="160"/>
    </w:pPr>
    <w:rPr>
      <w:rFonts w:ascii="Arial" w:hAnsi="Arial" w:eastAsia="黑体" w:cs="Arial"/>
      <w:sz w:val="20"/>
      <w:szCs w:val="20"/>
    </w:rPr>
  </w:style>
  <w:style w:type="paragraph" w:styleId="10">
    <w:name w:val="Document Map"/>
    <w:basedOn w:val="1"/>
    <w:link w:val="74"/>
    <w:qFormat/>
    <w:uiPriority w:val="0"/>
    <w:pPr>
      <w:shd w:val="clear" w:color="auto" w:fill="000080"/>
    </w:pPr>
    <w:rPr>
      <w:sz w:val="24"/>
    </w:rPr>
  </w:style>
  <w:style w:type="paragraph" w:styleId="11">
    <w:name w:val="toa heading"/>
    <w:basedOn w:val="1"/>
    <w:next w:val="1"/>
    <w:qFormat/>
    <w:uiPriority w:val="99"/>
    <w:pPr>
      <w:spacing w:before="120"/>
    </w:pPr>
    <w:rPr>
      <w:rFonts w:ascii="Arial" w:hAnsi="Arial" w:eastAsia="宋体" w:cs="Arial"/>
      <w:sz w:val="24"/>
      <w:szCs w:val="24"/>
    </w:rPr>
  </w:style>
  <w:style w:type="paragraph" w:styleId="12">
    <w:name w:val="annotation text"/>
    <w:basedOn w:val="1"/>
    <w:link w:val="65"/>
    <w:qFormat/>
    <w:uiPriority w:val="0"/>
    <w:pPr>
      <w:jc w:val="left"/>
    </w:pPr>
  </w:style>
  <w:style w:type="paragraph" w:styleId="13">
    <w:name w:val="Body Text"/>
    <w:basedOn w:val="1"/>
    <w:link w:val="86"/>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4">
    <w:name w:val="Body Text Indent"/>
    <w:basedOn w:val="1"/>
    <w:link w:val="83"/>
    <w:qFormat/>
    <w:uiPriority w:val="99"/>
    <w:pPr>
      <w:spacing w:after="120"/>
      <w:ind w:left="420" w:leftChars="200"/>
    </w:pPr>
    <w:rPr>
      <w:rFonts w:ascii="Calibri" w:hAnsi="Calibri" w:eastAsia="宋体" w:cs="Times New Roman"/>
      <w:szCs w:val="20"/>
    </w:rPr>
  </w:style>
  <w:style w:type="paragraph" w:styleId="15">
    <w:name w:val="index 4"/>
    <w:basedOn w:val="1"/>
    <w:next w:val="1"/>
    <w:qFormat/>
    <w:uiPriority w:val="0"/>
    <w:pPr>
      <w:ind w:left="600" w:leftChars="600"/>
    </w:pPr>
  </w:style>
  <w:style w:type="paragraph" w:styleId="16">
    <w:name w:val="toc 5"/>
    <w:basedOn w:val="1"/>
    <w:next w:val="1"/>
    <w:qFormat/>
    <w:uiPriority w:val="39"/>
    <w:pPr>
      <w:ind w:left="960"/>
      <w:jc w:val="left"/>
    </w:pPr>
    <w:rPr>
      <w:rFonts w:ascii="Calibri" w:hAnsi="Calibri" w:eastAsia="宋体" w:cs="Times New Roman"/>
      <w:sz w:val="18"/>
      <w:szCs w:val="18"/>
    </w:rPr>
  </w:style>
  <w:style w:type="paragraph" w:styleId="17">
    <w:name w:val="Plain Text"/>
    <w:basedOn w:val="1"/>
    <w:link w:val="76"/>
    <w:qFormat/>
    <w:uiPriority w:val="0"/>
    <w:rPr>
      <w:rFonts w:ascii="宋体" w:hAnsi="Courier New"/>
    </w:rPr>
  </w:style>
  <w:style w:type="paragraph" w:styleId="18">
    <w:name w:val="toc 8"/>
    <w:basedOn w:val="1"/>
    <w:next w:val="1"/>
    <w:qFormat/>
    <w:uiPriority w:val="39"/>
    <w:pPr>
      <w:ind w:left="1680"/>
      <w:jc w:val="left"/>
    </w:pPr>
    <w:rPr>
      <w:rFonts w:ascii="Calibri" w:hAnsi="Calibri" w:eastAsia="宋体" w:cs="Times New Roman"/>
      <w:sz w:val="18"/>
      <w:szCs w:val="18"/>
    </w:rPr>
  </w:style>
  <w:style w:type="paragraph" w:styleId="19">
    <w:name w:val="Date"/>
    <w:basedOn w:val="1"/>
    <w:next w:val="1"/>
    <w:link w:val="67"/>
    <w:qFormat/>
    <w:uiPriority w:val="0"/>
    <w:pPr>
      <w:ind w:left="100" w:leftChars="2500"/>
    </w:pPr>
    <w:rPr>
      <w:sz w:val="24"/>
    </w:rPr>
  </w:style>
  <w:style w:type="paragraph" w:styleId="20">
    <w:name w:val="Body Text Indent 2"/>
    <w:basedOn w:val="1"/>
    <w:link w:val="55"/>
    <w:qFormat/>
    <w:uiPriority w:val="0"/>
    <w:pPr>
      <w:spacing w:after="120" w:line="480" w:lineRule="auto"/>
      <w:ind w:left="420" w:leftChars="200"/>
    </w:pPr>
  </w:style>
  <w:style w:type="paragraph" w:styleId="21">
    <w:name w:val="Balloon Text"/>
    <w:basedOn w:val="1"/>
    <w:link w:val="71"/>
    <w:qFormat/>
    <w:uiPriority w:val="0"/>
    <w:rPr>
      <w:sz w:val="18"/>
    </w:rPr>
  </w:style>
  <w:style w:type="paragraph" w:styleId="22">
    <w:name w:val="footer"/>
    <w:basedOn w:val="1"/>
    <w:link w:val="77"/>
    <w:qFormat/>
    <w:uiPriority w:val="99"/>
    <w:pPr>
      <w:tabs>
        <w:tab w:val="center" w:pos="4153"/>
        <w:tab w:val="right" w:pos="8306"/>
      </w:tabs>
      <w:snapToGrid w:val="0"/>
      <w:jc w:val="left"/>
    </w:pPr>
    <w:rPr>
      <w:sz w:val="18"/>
    </w:rPr>
  </w:style>
  <w:style w:type="paragraph" w:styleId="23">
    <w:name w:val="header"/>
    <w:basedOn w:val="1"/>
    <w:link w:val="63"/>
    <w:qFormat/>
    <w:uiPriority w:val="0"/>
    <w:pPr>
      <w:pBdr>
        <w:bottom w:val="single" w:color="auto" w:sz="6" w:space="1"/>
      </w:pBdr>
      <w:tabs>
        <w:tab w:val="center" w:pos="4153"/>
        <w:tab w:val="right" w:pos="8306"/>
      </w:tabs>
      <w:snapToGrid w:val="0"/>
      <w:jc w:val="center"/>
    </w:pPr>
    <w:rPr>
      <w:sz w:val="18"/>
    </w:rPr>
  </w:style>
  <w:style w:type="paragraph" w:styleId="24">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5">
    <w:name w:val="toc 4"/>
    <w:basedOn w:val="1"/>
    <w:next w:val="1"/>
    <w:qFormat/>
    <w:uiPriority w:val="39"/>
    <w:pPr>
      <w:ind w:left="720"/>
      <w:jc w:val="left"/>
    </w:pPr>
    <w:rPr>
      <w:rFonts w:ascii="Calibri" w:hAnsi="Calibri" w:eastAsia="宋体" w:cs="Times New Roman"/>
      <w:sz w:val="18"/>
      <w:szCs w:val="18"/>
    </w:rPr>
  </w:style>
  <w:style w:type="paragraph" w:styleId="26">
    <w:name w:val="List"/>
    <w:basedOn w:val="1"/>
    <w:qFormat/>
    <w:uiPriority w:val="99"/>
    <w:pPr>
      <w:ind w:left="420" w:hanging="420"/>
    </w:pPr>
    <w:rPr>
      <w:rFonts w:ascii="Times New Roman" w:hAnsi="Times New Roman" w:eastAsia="宋体" w:cs="Times New Roman"/>
      <w:szCs w:val="20"/>
    </w:rPr>
  </w:style>
  <w:style w:type="paragraph" w:styleId="27">
    <w:name w:val="toc 6"/>
    <w:basedOn w:val="1"/>
    <w:next w:val="1"/>
    <w:qFormat/>
    <w:uiPriority w:val="39"/>
    <w:pPr>
      <w:ind w:left="1200"/>
      <w:jc w:val="left"/>
    </w:pPr>
    <w:rPr>
      <w:rFonts w:ascii="Calibri" w:hAnsi="Calibri" w:eastAsia="宋体" w:cs="Times New Roman"/>
      <w:sz w:val="18"/>
      <w:szCs w:val="18"/>
    </w:rPr>
  </w:style>
  <w:style w:type="paragraph" w:styleId="28">
    <w:name w:val="Body Text Indent 3"/>
    <w:basedOn w:val="1"/>
    <w:link w:val="57"/>
    <w:qFormat/>
    <w:uiPriority w:val="0"/>
    <w:pPr>
      <w:spacing w:after="120"/>
      <w:ind w:left="420" w:leftChars="200"/>
    </w:pPr>
    <w:rPr>
      <w:sz w:val="16"/>
    </w:rPr>
  </w:style>
  <w:style w:type="paragraph" w:styleId="29">
    <w:name w:val="toc 2"/>
    <w:basedOn w:val="1"/>
    <w:next w:val="1"/>
    <w:unhideWhenUsed/>
    <w:qFormat/>
    <w:uiPriority w:val="39"/>
    <w:pPr>
      <w:ind w:left="420" w:leftChars="200"/>
    </w:pPr>
    <w:rPr>
      <w:rFonts w:ascii="Calibri" w:hAnsi="Calibri" w:eastAsia="宋体" w:cs="Times New Roman"/>
      <w:szCs w:val="20"/>
    </w:rPr>
  </w:style>
  <w:style w:type="paragraph" w:styleId="30">
    <w:name w:val="toc 9"/>
    <w:basedOn w:val="1"/>
    <w:next w:val="1"/>
    <w:qFormat/>
    <w:uiPriority w:val="39"/>
    <w:pPr>
      <w:ind w:left="1920"/>
      <w:jc w:val="left"/>
    </w:pPr>
    <w:rPr>
      <w:rFonts w:ascii="Calibri" w:hAnsi="Calibri" w:eastAsia="宋体" w:cs="Times New Roman"/>
      <w:sz w:val="18"/>
      <w:szCs w:val="18"/>
    </w:rPr>
  </w:style>
  <w:style w:type="paragraph" w:styleId="31">
    <w:name w:val="Normal (Web)"/>
    <w:basedOn w:val="1"/>
    <w:qFormat/>
    <w:uiPriority w:val="99"/>
    <w:rPr>
      <w:rFonts w:ascii="Calibri" w:hAnsi="Calibri" w:eastAsia="宋体" w:cs="Times New Roman"/>
      <w:sz w:val="24"/>
      <w:szCs w:val="20"/>
    </w:rPr>
  </w:style>
  <w:style w:type="paragraph" w:styleId="32">
    <w:name w:val="index 1"/>
    <w:basedOn w:val="1"/>
    <w:next w:val="1"/>
    <w:qFormat/>
    <w:uiPriority w:val="99"/>
    <w:rPr>
      <w:rFonts w:ascii="Calibri" w:hAnsi="Calibri" w:eastAsia="宋体" w:cs="Times New Roman"/>
      <w:sz w:val="24"/>
      <w:szCs w:val="24"/>
    </w:rPr>
  </w:style>
  <w:style w:type="paragraph" w:styleId="33">
    <w:name w:val="Title"/>
    <w:basedOn w:val="1"/>
    <w:link w:val="66"/>
    <w:qFormat/>
    <w:uiPriority w:val="0"/>
    <w:pPr>
      <w:spacing w:before="160" w:after="40" w:line="240" w:lineRule="atLeast"/>
      <w:ind w:left="425" w:hanging="425"/>
      <w:jc w:val="center"/>
      <w:outlineLvl w:val="0"/>
    </w:pPr>
    <w:rPr>
      <w:rFonts w:ascii="Arial" w:hAnsi="Arial"/>
      <w:b/>
      <w:sz w:val="32"/>
    </w:rPr>
  </w:style>
  <w:style w:type="paragraph" w:styleId="34">
    <w:name w:val="annotation subject"/>
    <w:basedOn w:val="12"/>
    <w:next w:val="12"/>
    <w:link w:val="56"/>
    <w:qFormat/>
    <w:uiPriority w:val="0"/>
    <w:rPr>
      <w:b/>
    </w:rPr>
  </w:style>
  <w:style w:type="paragraph" w:styleId="35">
    <w:name w:val="Body Text First Indent 2"/>
    <w:basedOn w:val="14"/>
    <w:semiHidden/>
    <w:qFormat/>
    <w:uiPriority w:val="99"/>
    <w:pPr>
      <w:spacing w:line="276" w:lineRule="auto"/>
      <w:ind w:firstLine="420" w:firstLineChars="200"/>
      <w:jc w:val="left"/>
    </w:pPr>
  </w:style>
  <w:style w:type="table" w:styleId="37">
    <w:name w:val="Table Grid"/>
    <w:basedOn w:val="36"/>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9">
    <w:name w:val="Strong"/>
    <w:basedOn w:val="38"/>
    <w:qFormat/>
    <w:uiPriority w:val="22"/>
    <w:rPr>
      <w:b/>
      <w:bCs/>
    </w:rPr>
  </w:style>
  <w:style w:type="character" w:styleId="40">
    <w:name w:val="page number"/>
    <w:basedOn w:val="38"/>
    <w:qFormat/>
    <w:uiPriority w:val="99"/>
    <w:rPr>
      <w:rFonts w:cs="Times New Roman"/>
    </w:rPr>
  </w:style>
  <w:style w:type="character" w:styleId="41">
    <w:name w:val="FollowedHyperlink"/>
    <w:basedOn w:val="38"/>
    <w:qFormat/>
    <w:uiPriority w:val="99"/>
    <w:rPr>
      <w:color w:val="800080"/>
      <w:u w:val="single"/>
    </w:rPr>
  </w:style>
  <w:style w:type="character" w:styleId="42">
    <w:name w:val="Emphasis"/>
    <w:qFormat/>
    <w:uiPriority w:val="99"/>
    <w:rPr>
      <w:rFonts w:cs="Times New Roman"/>
      <w:color w:val="auto"/>
    </w:rPr>
  </w:style>
  <w:style w:type="character" w:styleId="43">
    <w:name w:val="HTML Definition"/>
    <w:basedOn w:val="38"/>
    <w:semiHidden/>
    <w:unhideWhenUsed/>
    <w:qFormat/>
    <w:uiPriority w:val="99"/>
    <w:rPr>
      <w:i/>
      <w:iCs/>
      <w:vertAlign w:val="baseline"/>
    </w:rPr>
  </w:style>
  <w:style w:type="character" w:styleId="44">
    <w:name w:val="HTML Acronym"/>
    <w:basedOn w:val="38"/>
    <w:qFormat/>
    <w:uiPriority w:val="99"/>
  </w:style>
  <w:style w:type="character" w:styleId="45">
    <w:name w:val="Hyperlink"/>
    <w:basedOn w:val="38"/>
    <w:qFormat/>
    <w:uiPriority w:val="99"/>
    <w:rPr>
      <w:color w:val="1F4F88"/>
      <w:u w:val="none"/>
    </w:rPr>
  </w:style>
  <w:style w:type="character" w:styleId="46">
    <w:name w:val="HTML Code"/>
    <w:basedOn w:val="38"/>
    <w:semiHidden/>
    <w:unhideWhenUsed/>
    <w:qFormat/>
    <w:uiPriority w:val="99"/>
    <w:rPr>
      <w:rFonts w:ascii="Consolas" w:hAnsi="Consolas" w:eastAsia="Consolas" w:cs="Consolas"/>
      <w:sz w:val="21"/>
      <w:szCs w:val="21"/>
    </w:rPr>
  </w:style>
  <w:style w:type="character" w:styleId="47">
    <w:name w:val="annotation reference"/>
    <w:basedOn w:val="38"/>
    <w:qFormat/>
    <w:uiPriority w:val="99"/>
    <w:rPr>
      <w:sz w:val="21"/>
    </w:rPr>
  </w:style>
  <w:style w:type="character" w:styleId="48">
    <w:name w:val="HTML Keyboard"/>
    <w:basedOn w:val="38"/>
    <w:semiHidden/>
    <w:unhideWhenUsed/>
    <w:qFormat/>
    <w:uiPriority w:val="99"/>
    <w:rPr>
      <w:rFonts w:hint="default" w:ascii="Consolas" w:hAnsi="Consolas" w:eastAsia="Consolas" w:cs="Consolas"/>
      <w:sz w:val="21"/>
      <w:szCs w:val="21"/>
    </w:rPr>
  </w:style>
  <w:style w:type="character" w:styleId="49">
    <w:name w:val="HTML Sample"/>
    <w:basedOn w:val="38"/>
    <w:semiHidden/>
    <w:unhideWhenUsed/>
    <w:qFormat/>
    <w:uiPriority w:val="99"/>
    <w:rPr>
      <w:rFonts w:hint="default" w:ascii="Consolas" w:hAnsi="Consolas" w:eastAsia="Consolas" w:cs="Consolas"/>
      <w:sz w:val="21"/>
      <w:szCs w:val="21"/>
    </w:rPr>
  </w:style>
  <w:style w:type="paragraph" w:customStyle="1" w:styleId="50">
    <w:name w:val="Fließtext"/>
    <w:basedOn w:val="1"/>
    <w:qFormat/>
    <w:uiPriority w:val="99"/>
    <w:pPr>
      <w:widowControl/>
      <w:ind w:left="1134"/>
      <w:jc w:val="left"/>
    </w:pPr>
    <w:rPr>
      <w:rFonts w:ascii="Arial" w:hAnsi="Arial"/>
      <w:kern w:val="0"/>
      <w:szCs w:val="20"/>
      <w:lang w:val="de-DE" w:eastAsia="de-DE"/>
    </w:rPr>
  </w:style>
  <w:style w:type="character" w:customStyle="1" w:styleId="51">
    <w:name w:val="标题 1 字符"/>
    <w:basedOn w:val="38"/>
    <w:link w:val="2"/>
    <w:qFormat/>
    <w:uiPriority w:val="9"/>
    <w:rPr>
      <w:rFonts w:ascii="Calibri" w:hAnsi="Calibri" w:eastAsia="宋体" w:cs="Times New Roman"/>
      <w:b/>
      <w:bCs/>
      <w:kern w:val="44"/>
      <w:sz w:val="36"/>
      <w:szCs w:val="44"/>
    </w:rPr>
  </w:style>
  <w:style w:type="character" w:customStyle="1" w:styleId="52">
    <w:name w:val="标题 2 字符"/>
    <w:basedOn w:val="38"/>
    <w:link w:val="4"/>
    <w:qFormat/>
    <w:uiPriority w:val="9"/>
    <w:rPr>
      <w:rFonts w:ascii="Arial" w:hAnsi="Arial" w:eastAsia="宋体" w:cs="Times New Roman"/>
      <w:b/>
      <w:bCs/>
      <w:sz w:val="24"/>
      <w:szCs w:val="32"/>
    </w:rPr>
  </w:style>
  <w:style w:type="character" w:customStyle="1" w:styleId="53">
    <w:name w:val="标题 3 字符"/>
    <w:basedOn w:val="38"/>
    <w:link w:val="5"/>
    <w:semiHidden/>
    <w:qFormat/>
    <w:uiPriority w:val="9"/>
    <w:rPr>
      <w:rFonts w:ascii="Calibri" w:hAnsi="Calibri" w:eastAsia="宋体" w:cs="Times New Roman"/>
      <w:b/>
      <w:bCs/>
      <w:sz w:val="32"/>
      <w:szCs w:val="32"/>
    </w:rPr>
  </w:style>
  <w:style w:type="character" w:customStyle="1" w:styleId="54">
    <w:name w:val="Char Char3"/>
    <w:qFormat/>
    <w:uiPriority w:val="0"/>
    <w:rPr>
      <w:rFonts w:ascii="宋体" w:hAnsi="Courier New" w:eastAsia="宋体"/>
      <w:kern w:val="2"/>
      <w:sz w:val="21"/>
      <w:lang w:val="en-US" w:eastAsia="zh-CN"/>
    </w:rPr>
  </w:style>
  <w:style w:type="character" w:customStyle="1" w:styleId="55">
    <w:name w:val="正文文本缩进 2 字符"/>
    <w:link w:val="20"/>
    <w:qFormat/>
    <w:locked/>
    <w:uiPriority w:val="0"/>
  </w:style>
  <w:style w:type="character" w:customStyle="1" w:styleId="56">
    <w:name w:val="批注主题 字符"/>
    <w:link w:val="34"/>
    <w:qFormat/>
    <w:locked/>
    <w:uiPriority w:val="0"/>
    <w:rPr>
      <w:b/>
    </w:rPr>
  </w:style>
  <w:style w:type="character" w:customStyle="1" w:styleId="57">
    <w:name w:val="正文文本缩进 3 字符"/>
    <w:link w:val="28"/>
    <w:qFormat/>
    <w:locked/>
    <w:uiPriority w:val="0"/>
    <w:rPr>
      <w:sz w:val="16"/>
    </w:rPr>
  </w:style>
  <w:style w:type="character" w:customStyle="1" w:styleId="58">
    <w:name w:val="纯文本 Char"/>
    <w:qFormat/>
    <w:uiPriority w:val="0"/>
    <w:rPr>
      <w:rFonts w:ascii="宋体" w:hAnsi="Courier New" w:eastAsia="宋体"/>
      <w:kern w:val="2"/>
      <w:sz w:val="21"/>
      <w:lang w:val="en-US" w:eastAsia="zh-CN"/>
    </w:rPr>
  </w:style>
  <w:style w:type="character" w:customStyle="1" w:styleId="59">
    <w:name w:val="Char Char2"/>
    <w:qFormat/>
    <w:uiPriority w:val="0"/>
    <w:rPr>
      <w:rFonts w:ascii="宋体" w:hAnsi="Courier New"/>
      <w:kern w:val="2"/>
      <w:sz w:val="21"/>
    </w:rPr>
  </w:style>
  <w:style w:type="character" w:customStyle="1" w:styleId="60">
    <w:name w:val="列出段落 字符"/>
    <w:link w:val="61"/>
    <w:qFormat/>
    <w:locked/>
    <w:uiPriority w:val="34"/>
    <w:rPr>
      <w:sz w:val="22"/>
    </w:rPr>
  </w:style>
  <w:style w:type="paragraph" w:customStyle="1" w:styleId="61">
    <w:name w:val="列出段落1"/>
    <w:basedOn w:val="1"/>
    <w:link w:val="60"/>
    <w:qFormat/>
    <w:uiPriority w:val="34"/>
    <w:pPr>
      <w:ind w:firstLine="420" w:firstLineChars="200"/>
    </w:pPr>
    <w:rPr>
      <w:sz w:val="22"/>
    </w:rPr>
  </w:style>
  <w:style w:type="character" w:customStyle="1" w:styleId="62">
    <w:name w:val="apple-converted-space"/>
    <w:basedOn w:val="38"/>
    <w:qFormat/>
    <w:uiPriority w:val="0"/>
    <w:rPr>
      <w:rFonts w:cs="Times New Roman"/>
    </w:rPr>
  </w:style>
  <w:style w:type="character" w:customStyle="1" w:styleId="63">
    <w:name w:val="页眉 字符"/>
    <w:link w:val="23"/>
    <w:qFormat/>
    <w:locked/>
    <w:uiPriority w:val="0"/>
    <w:rPr>
      <w:sz w:val="18"/>
    </w:rPr>
  </w:style>
  <w:style w:type="character" w:customStyle="1" w:styleId="64">
    <w:name w:val="BODY TEXT Char"/>
    <w:qFormat/>
    <w:locked/>
    <w:uiPriority w:val="0"/>
    <w:rPr>
      <w:rFonts w:eastAsia="新宋体"/>
      <w:kern w:val="2"/>
      <w:sz w:val="21"/>
    </w:rPr>
  </w:style>
  <w:style w:type="character" w:customStyle="1" w:styleId="65">
    <w:name w:val="批注文字 字符"/>
    <w:link w:val="12"/>
    <w:qFormat/>
    <w:locked/>
    <w:uiPriority w:val="0"/>
  </w:style>
  <w:style w:type="character" w:customStyle="1" w:styleId="66">
    <w:name w:val="标题 字符"/>
    <w:link w:val="33"/>
    <w:qFormat/>
    <w:locked/>
    <w:uiPriority w:val="0"/>
    <w:rPr>
      <w:rFonts w:ascii="Arial" w:hAnsi="Arial"/>
      <w:b/>
      <w:sz w:val="32"/>
    </w:rPr>
  </w:style>
  <w:style w:type="character" w:customStyle="1" w:styleId="67">
    <w:name w:val="日期 字符"/>
    <w:link w:val="19"/>
    <w:qFormat/>
    <w:locked/>
    <w:uiPriority w:val="0"/>
    <w:rPr>
      <w:sz w:val="24"/>
    </w:rPr>
  </w:style>
  <w:style w:type="character" w:customStyle="1" w:styleId="68">
    <w:name w:val="ATXT_Bullets Zchn"/>
    <w:link w:val="69"/>
    <w:qFormat/>
    <w:locked/>
    <w:uiPriority w:val="99"/>
    <w:rPr>
      <w:rFonts w:ascii="Arial" w:hAnsi="Arial"/>
      <w:lang w:val="de-AT" w:eastAsia="zh-CN"/>
    </w:rPr>
  </w:style>
  <w:style w:type="paragraph" w:customStyle="1" w:styleId="69">
    <w:name w:val="ATXT_Bullets"/>
    <w:link w:val="68"/>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0">
    <w:name w:val="Char Char5"/>
    <w:qFormat/>
    <w:uiPriority w:val="0"/>
    <w:rPr>
      <w:rFonts w:ascii="宋体" w:hAnsi="Courier New" w:eastAsia="宋体"/>
      <w:kern w:val="2"/>
      <w:sz w:val="21"/>
      <w:lang w:val="en-US" w:eastAsia="zh-CN"/>
    </w:rPr>
  </w:style>
  <w:style w:type="character" w:customStyle="1" w:styleId="71">
    <w:name w:val="批注框文本 字符"/>
    <w:link w:val="21"/>
    <w:qFormat/>
    <w:locked/>
    <w:uiPriority w:val="0"/>
    <w:rPr>
      <w:sz w:val="18"/>
    </w:rPr>
  </w:style>
  <w:style w:type="character" w:customStyle="1" w:styleId="72">
    <w:name w:val="批注文字 Char"/>
    <w:qFormat/>
    <w:uiPriority w:val="0"/>
    <w:rPr>
      <w:kern w:val="2"/>
    </w:rPr>
  </w:style>
  <w:style w:type="character" w:customStyle="1" w:styleId="73">
    <w:name w:val="批注主题 Char"/>
    <w:qFormat/>
    <w:uiPriority w:val="0"/>
    <w:rPr>
      <w:b/>
      <w:kern w:val="2"/>
    </w:rPr>
  </w:style>
  <w:style w:type="character" w:customStyle="1" w:styleId="74">
    <w:name w:val="文档结构图 字符"/>
    <w:link w:val="10"/>
    <w:qFormat/>
    <w:locked/>
    <w:uiPriority w:val="0"/>
    <w:rPr>
      <w:sz w:val="24"/>
      <w:shd w:val="clear" w:color="auto" w:fill="000080"/>
    </w:rPr>
  </w:style>
  <w:style w:type="character" w:customStyle="1" w:styleId="75">
    <w:name w:val="HTML Markup"/>
    <w:qFormat/>
    <w:uiPriority w:val="0"/>
    <w:rPr>
      <w:vanish/>
      <w:color w:val="FF0000"/>
    </w:rPr>
  </w:style>
  <w:style w:type="character" w:customStyle="1" w:styleId="76">
    <w:name w:val="纯文本 字符"/>
    <w:link w:val="17"/>
    <w:qFormat/>
    <w:locked/>
    <w:uiPriority w:val="0"/>
    <w:rPr>
      <w:rFonts w:ascii="宋体" w:hAnsi="Courier New"/>
    </w:rPr>
  </w:style>
  <w:style w:type="character" w:customStyle="1" w:styleId="77">
    <w:name w:val="页脚 字符"/>
    <w:link w:val="22"/>
    <w:qFormat/>
    <w:locked/>
    <w:uiPriority w:val="99"/>
    <w:rPr>
      <w:sz w:val="18"/>
    </w:rPr>
  </w:style>
  <w:style w:type="character" w:customStyle="1" w:styleId="78">
    <w:name w:val="Default Char"/>
    <w:link w:val="79"/>
    <w:qFormat/>
    <w:locked/>
    <w:uiPriority w:val="0"/>
    <w:rPr>
      <w:rFonts w:ascii="仿宋_GB2312" w:eastAsia="仿宋_GB2312"/>
      <w:color w:val="000000"/>
      <w:sz w:val="24"/>
    </w:rPr>
  </w:style>
  <w:style w:type="paragraph" w:customStyle="1" w:styleId="79">
    <w:name w:val="Default"/>
    <w:link w:val="78"/>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80">
    <w:name w:val="页脚 Char"/>
    <w:qFormat/>
    <w:locked/>
    <w:uiPriority w:val="99"/>
    <w:rPr>
      <w:sz w:val="18"/>
    </w:rPr>
  </w:style>
  <w:style w:type="character" w:customStyle="1" w:styleId="81">
    <w:name w:val="批注文字 字符1"/>
    <w:basedOn w:val="38"/>
    <w:semiHidden/>
    <w:qFormat/>
    <w:uiPriority w:val="99"/>
  </w:style>
  <w:style w:type="character" w:customStyle="1" w:styleId="82">
    <w:name w:val="批注文字 字符11"/>
    <w:basedOn w:val="38"/>
    <w:qFormat/>
    <w:uiPriority w:val="0"/>
    <w:rPr>
      <w:rFonts w:cs="Times New Roman"/>
      <w:kern w:val="2"/>
      <w:sz w:val="21"/>
    </w:rPr>
  </w:style>
  <w:style w:type="character" w:customStyle="1" w:styleId="83">
    <w:name w:val="正文文本缩进 字符"/>
    <w:basedOn w:val="38"/>
    <w:link w:val="14"/>
    <w:qFormat/>
    <w:uiPriority w:val="99"/>
    <w:rPr>
      <w:rFonts w:ascii="Calibri" w:hAnsi="Calibri" w:eastAsia="宋体" w:cs="Times New Roman"/>
      <w:szCs w:val="20"/>
    </w:rPr>
  </w:style>
  <w:style w:type="character" w:customStyle="1" w:styleId="84">
    <w:name w:val="文档结构图 字符1"/>
    <w:basedOn w:val="38"/>
    <w:semiHidden/>
    <w:qFormat/>
    <w:uiPriority w:val="99"/>
    <w:rPr>
      <w:rFonts w:ascii="Microsoft YaHei UI" w:eastAsia="Microsoft YaHei UI"/>
      <w:sz w:val="18"/>
      <w:szCs w:val="18"/>
    </w:rPr>
  </w:style>
  <w:style w:type="character" w:customStyle="1" w:styleId="85">
    <w:name w:val="文档结构图 字符11"/>
    <w:basedOn w:val="38"/>
    <w:semiHidden/>
    <w:qFormat/>
    <w:uiPriority w:val="99"/>
    <w:rPr>
      <w:rFonts w:ascii="Microsoft YaHei UI" w:eastAsia="Microsoft YaHei UI" w:cs="Times New Roman"/>
      <w:kern w:val="2"/>
      <w:sz w:val="18"/>
      <w:szCs w:val="18"/>
    </w:rPr>
  </w:style>
  <w:style w:type="character" w:customStyle="1" w:styleId="86">
    <w:name w:val="正文文本 字符"/>
    <w:basedOn w:val="38"/>
    <w:link w:val="13"/>
    <w:qFormat/>
    <w:uiPriority w:val="99"/>
    <w:rPr>
      <w:rFonts w:ascii="Calibri" w:hAnsi="Calibri" w:eastAsia="新宋体" w:cs="Times New Roman"/>
      <w:szCs w:val="21"/>
    </w:rPr>
  </w:style>
  <w:style w:type="character" w:customStyle="1" w:styleId="87">
    <w:name w:val="纯文本 字符1"/>
    <w:basedOn w:val="38"/>
    <w:semiHidden/>
    <w:qFormat/>
    <w:uiPriority w:val="99"/>
    <w:rPr>
      <w:rFonts w:hAnsi="Courier New" w:cs="Courier New" w:asciiTheme="minorEastAsia"/>
    </w:rPr>
  </w:style>
  <w:style w:type="character" w:customStyle="1" w:styleId="88">
    <w:name w:val="纯文本 字符11"/>
    <w:basedOn w:val="38"/>
    <w:qFormat/>
    <w:uiPriority w:val="0"/>
    <w:rPr>
      <w:rFonts w:hAnsi="Courier New" w:cs="Courier New" w:asciiTheme="minorEastAsia" w:eastAsiaTheme="minorEastAsia"/>
      <w:kern w:val="2"/>
      <w:sz w:val="21"/>
    </w:rPr>
  </w:style>
  <w:style w:type="character" w:customStyle="1" w:styleId="89">
    <w:name w:val="页眉 字符1"/>
    <w:basedOn w:val="38"/>
    <w:semiHidden/>
    <w:qFormat/>
    <w:uiPriority w:val="99"/>
    <w:rPr>
      <w:sz w:val="18"/>
      <w:szCs w:val="18"/>
    </w:rPr>
  </w:style>
  <w:style w:type="character" w:customStyle="1" w:styleId="90">
    <w:name w:val="页眉 字符11"/>
    <w:basedOn w:val="38"/>
    <w:semiHidden/>
    <w:qFormat/>
    <w:uiPriority w:val="99"/>
    <w:rPr>
      <w:rFonts w:cs="Times New Roman"/>
      <w:kern w:val="2"/>
      <w:sz w:val="18"/>
      <w:szCs w:val="18"/>
    </w:rPr>
  </w:style>
  <w:style w:type="character" w:customStyle="1" w:styleId="91">
    <w:name w:val="批注框文本 字符1"/>
    <w:basedOn w:val="38"/>
    <w:semiHidden/>
    <w:qFormat/>
    <w:uiPriority w:val="99"/>
    <w:rPr>
      <w:sz w:val="18"/>
      <w:szCs w:val="18"/>
    </w:rPr>
  </w:style>
  <w:style w:type="character" w:customStyle="1" w:styleId="92">
    <w:name w:val="批注框文本 字符11"/>
    <w:basedOn w:val="38"/>
    <w:semiHidden/>
    <w:qFormat/>
    <w:uiPriority w:val="99"/>
    <w:rPr>
      <w:rFonts w:cs="Times New Roman"/>
      <w:kern w:val="2"/>
      <w:sz w:val="18"/>
      <w:szCs w:val="18"/>
    </w:rPr>
  </w:style>
  <w:style w:type="character" w:customStyle="1" w:styleId="93">
    <w:name w:val="日期 字符1"/>
    <w:basedOn w:val="38"/>
    <w:semiHidden/>
    <w:qFormat/>
    <w:uiPriority w:val="99"/>
  </w:style>
  <w:style w:type="character" w:customStyle="1" w:styleId="94">
    <w:name w:val="日期 字符11"/>
    <w:basedOn w:val="38"/>
    <w:semiHidden/>
    <w:qFormat/>
    <w:uiPriority w:val="99"/>
    <w:rPr>
      <w:rFonts w:cs="Times New Roman"/>
      <w:kern w:val="2"/>
      <w:sz w:val="21"/>
    </w:rPr>
  </w:style>
  <w:style w:type="character" w:customStyle="1" w:styleId="95">
    <w:name w:val="页脚 字符1"/>
    <w:basedOn w:val="38"/>
    <w:semiHidden/>
    <w:qFormat/>
    <w:uiPriority w:val="99"/>
    <w:rPr>
      <w:sz w:val="18"/>
      <w:szCs w:val="18"/>
    </w:rPr>
  </w:style>
  <w:style w:type="character" w:customStyle="1" w:styleId="96">
    <w:name w:val="页脚 字符11"/>
    <w:basedOn w:val="38"/>
    <w:semiHidden/>
    <w:qFormat/>
    <w:uiPriority w:val="99"/>
    <w:rPr>
      <w:rFonts w:cs="Times New Roman"/>
      <w:kern w:val="2"/>
      <w:sz w:val="18"/>
      <w:szCs w:val="18"/>
    </w:rPr>
  </w:style>
  <w:style w:type="character" w:customStyle="1" w:styleId="97">
    <w:name w:val="正文文本缩进 2 字符1"/>
    <w:basedOn w:val="38"/>
    <w:semiHidden/>
    <w:qFormat/>
    <w:uiPriority w:val="99"/>
  </w:style>
  <w:style w:type="character" w:customStyle="1" w:styleId="98">
    <w:name w:val="正文文本缩进 2 字符11"/>
    <w:basedOn w:val="38"/>
    <w:semiHidden/>
    <w:qFormat/>
    <w:uiPriority w:val="99"/>
    <w:rPr>
      <w:rFonts w:cs="Times New Roman"/>
      <w:kern w:val="2"/>
      <w:sz w:val="21"/>
    </w:rPr>
  </w:style>
  <w:style w:type="character" w:customStyle="1" w:styleId="99">
    <w:name w:val="正文文本缩进 3 字符1"/>
    <w:basedOn w:val="38"/>
    <w:semiHidden/>
    <w:qFormat/>
    <w:uiPriority w:val="99"/>
    <w:rPr>
      <w:sz w:val="16"/>
      <w:szCs w:val="16"/>
    </w:rPr>
  </w:style>
  <w:style w:type="character" w:customStyle="1" w:styleId="100">
    <w:name w:val="正文文本缩进 3 字符11"/>
    <w:basedOn w:val="38"/>
    <w:semiHidden/>
    <w:qFormat/>
    <w:uiPriority w:val="99"/>
    <w:rPr>
      <w:rFonts w:cs="Times New Roman"/>
      <w:kern w:val="2"/>
      <w:sz w:val="16"/>
      <w:szCs w:val="16"/>
    </w:rPr>
  </w:style>
  <w:style w:type="character" w:customStyle="1" w:styleId="101">
    <w:name w:val="批注主题 字符1"/>
    <w:basedOn w:val="81"/>
    <w:semiHidden/>
    <w:qFormat/>
    <w:uiPriority w:val="99"/>
    <w:rPr>
      <w:b/>
      <w:bCs/>
    </w:rPr>
  </w:style>
  <w:style w:type="character" w:customStyle="1" w:styleId="102">
    <w:name w:val="批注主题 字符11"/>
    <w:basedOn w:val="82"/>
    <w:semiHidden/>
    <w:qFormat/>
    <w:uiPriority w:val="99"/>
    <w:rPr>
      <w:rFonts w:cs="Times New Roman"/>
      <w:b/>
      <w:bCs/>
      <w:kern w:val="2"/>
      <w:sz w:val="21"/>
    </w:rPr>
  </w:style>
  <w:style w:type="character" w:customStyle="1" w:styleId="103">
    <w:name w:val="标题 字符1"/>
    <w:basedOn w:val="38"/>
    <w:qFormat/>
    <w:uiPriority w:val="10"/>
    <w:rPr>
      <w:rFonts w:asciiTheme="majorHAnsi" w:hAnsiTheme="majorHAnsi" w:eastAsiaTheme="majorEastAsia" w:cstheme="majorBidi"/>
      <w:b/>
      <w:bCs/>
      <w:sz w:val="32"/>
      <w:szCs w:val="32"/>
    </w:rPr>
  </w:style>
  <w:style w:type="character" w:customStyle="1" w:styleId="104">
    <w:name w:val="标题 字符11"/>
    <w:basedOn w:val="38"/>
    <w:qFormat/>
    <w:uiPriority w:val="10"/>
    <w:rPr>
      <w:rFonts w:cs="Times New Roman" w:asciiTheme="majorHAnsi" w:hAnsiTheme="majorHAnsi" w:eastAsiaTheme="majorEastAsia"/>
      <w:b/>
      <w:bCs/>
      <w:kern w:val="2"/>
      <w:sz w:val="32"/>
      <w:szCs w:val="32"/>
    </w:rPr>
  </w:style>
  <w:style w:type="paragraph" w:customStyle="1" w:styleId="105">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6">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qFormat/>
    <w:uiPriority w:val="0"/>
    <w:rPr>
      <w:rFonts w:ascii="Calibri" w:hAnsi="Calibri" w:eastAsia="宋体" w:cs="Times New Roman"/>
      <w:szCs w:val="20"/>
    </w:rPr>
  </w:style>
  <w:style w:type="paragraph" w:customStyle="1" w:styleId="108">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17"/>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4"/>
    <w:link w:val="121"/>
    <w:qFormat/>
    <w:uiPriority w:val="0"/>
    <w:pPr>
      <w:spacing w:line="240" w:lineRule="auto"/>
      <w:jc w:val="left"/>
    </w:pPr>
    <w:rPr>
      <w:rFonts w:ascii="宋体" w:hAnsi="宋体" w:eastAsia="黑体"/>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5"/>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99"/>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2"/>
    <w:qFormat/>
    <w:uiPriority w:val="0"/>
    <w:rPr>
      <w:rFonts w:eastAsia="黑体"/>
      <w:b w:val="0"/>
      <w:color w:val="000000"/>
      <w:sz w:val="30"/>
      <w:szCs w:val="24"/>
    </w:rPr>
  </w:style>
  <w:style w:type="paragraph" w:customStyle="1" w:styleId="137">
    <w:name w:val="无间隔1"/>
    <w:qFormat/>
    <w:uiPriority w:val="0"/>
    <w:rPr>
      <w:rFonts w:ascii="Calibri" w:hAnsi="Calibri" w:eastAsia="Calibri" w:cs="Times New Roman"/>
      <w:szCs w:val="22"/>
      <w:lang w:val="en-GB" w:eastAsia="en-US" w:bidi="ar-SA"/>
    </w:rPr>
  </w:style>
  <w:style w:type="character" w:customStyle="1" w:styleId="138">
    <w:name w:val="font21"/>
    <w:basedOn w:val="38"/>
    <w:qFormat/>
    <w:uiPriority w:val="0"/>
    <w:rPr>
      <w:rFonts w:hint="eastAsia" w:ascii="宋体" w:hAnsi="宋体" w:eastAsia="宋体" w:cs="宋体"/>
      <w:color w:val="000000"/>
      <w:sz w:val="24"/>
      <w:szCs w:val="24"/>
      <w:u w:val="none"/>
    </w:rPr>
  </w:style>
  <w:style w:type="character" w:customStyle="1" w:styleId="139">
    <w:name w:val="font01"/>
    <w:basedOn w:val="38"/>
    <w:qFormat/>
    <w:uiPriority w:val="0"/>
    <w:rPr>
      <w:rFonts w:hint="eastAsia" w:ascii="宋体" w:hAnsi="宋体" w:eastAsia="宋体" w:cs="宋体"/>
      <w:color w:val="000000"/>
      <w:sz w:val="18"/>
      <w:szCs w:val="18"/>
      <w:u w:val="none"/>
    </w:rPr>
  </w:style>
  <w:style w:type="character" w:customStyle="1" w:styleId="140">
    <w:name w:val="15"/>
    <w:qFormat/>
    <w:uiPriority w:val="0"/>
    <w:rPr>
      <w:rFonts w:hint="eastAsia" w:ascii="微软雅黑" w:hAnsi="微软雅黑" w:eastAsia="微软雅黑"/>
      <w:color w:val="000000"/>
      <w:sz w:val="22"/>
      <w:szCs w:val="22"/>
    </w:rPr>
  </w:style>
  <w:style w:type="paragraph" w:customStyle="1" w:styleId="141">
    <w:name w:val="1正文段落"/>
    <w:basedOn w:val="1"/>
    <w:qFormat/>
    <w:uiPriority w:val="0"/>
    <w:pPr>
      <w:spacing w:line="360" w:lineRule="auto"/>
      <w:ind w:firstLine="480" w:firstLineChars="200"/>
      <w:jc w:val="left"/>
    </w:pPr>
    <w:rPr>
      <w:kern w:val="0"/>
      <w:szCs w:val="20"/>
    </w:rPr>
  </w:style>
  <w:style w:type="character" w:customStyle="1" w:styleId="142">
    <w:name w:val="ant-tree-checkbox8"/>
    <w:basedOn w:val="38"/>
    <w:qFormat/>
    <w:uiPriority w:val="0"/>
  </w:style>
  <w:style w:type="character" w:customStyle="1" w:styleId="143">
    <w:name w:val="ant-select-tree-iconele"/>
    <w:basedOn w:val="38"/>
    <w:qFormat/>
    <w:uiPriority w:val="0"/>
  </w:style>
  <w:style w:type="character" w:customStyle="1" w:styleId="144">
    <w:name w:val="wea-dropdown-triangle"/>
    <w:basedOn w:val="38"/>
    <w:qFormat/>
    <w:uiPriority w:val="0"/>
  </w:style>
  <w:style w:type="character" w:customStyle="1" w:styleId="145">
    <w:name w:val="button"/>
    <w:basedOn w:val="38"/>
    <w:qFormat/>
    <w:uiPriority w:val="0"/>
  </w:style>
  <w:style w:type="character" w:customStyle="1" w:styleId="146">
    <w:name w:val="button1"/>
    <w:basedOn w:val="38"/>
    <w:qFormat/>
    <w:uiPriority w:val="0"/>
  </w:style>
  <w:style w:type="character" w:customStyle="1" w:styleId="147">
    <w:name w:val="hover34"/>
    <w:basedOn w:val="38"/>
    <w:qFormat/>
    <w:uiPriority w:val="0"/>
    <w:rPr>
      <w:color w:val="009DFF"/>
    </w:rPr>
  </w:style>
  <w:style w:type="character" w:customStyle="1" w:styleId="148">
    <w:name w:val="hover35"/>
    <w:basedOn w:val="38"/>
    <w:qFormat/>
    <w:uiPriority w:val="0"/>
    <w:rPr>
      <w:color w:val="009DFF"/>
    </w:rPr>
  </w:style>
  <w:style w:type="character" w:customStyle="1" w:styleId="149">
    <w:name w:val="first-of-type"/>
    <w:basedOn w:val="38"/>
    <w:qFormat/>
    <w:uiPriority w:val="0"/>
    <w:rPr>
      <w:color w:val="FF0000"/>
    </w:rPr>
  </w:style>
  <w:style w:type="character" w:customStyle="1" w:styleId="150">
    <w:name w:val="first-of-type1"/>
    <w:basedOn w:val="38"/>
    <w:qFormat/>
    <w:uiPriority w:val="0"/>
    <w:rPr>
      <w:color w:val="FF0000"/>
    </w:rPr>
  </w:style>
  <w:style w:type="character" w:customStyle="1" w:styleId="151">
    <w:name w:val="not-pass-node"/>
    <w:basedOn w:val="38"/>
    <w:qFormat/>
    <w:uiPriority w:val="0"/>
    <w:rPr>
      <w:bdr w:val="single" w:color="5ABD6B" w:sz="6" w:space="0"/>
      <w:shd w:val="clear" w:fill="BFF3C3"/>
    </w:rPr>
  </w:style>
  <w:style w:type="character" w:customStyle="1" w:styleId="152">
    <w:name w:val="ant-tree-switcher8"/>
    <w:basedOn w:val="38"/>
    <w:qFormat/>
    <w:uiPriority w:val="0"/>
  </w:style>
  <w:style w:type="character" w:customStyle="1" w:styleId="153">
    <w:name w:val="ant-radio+*"/>
    <w:basedOn w:val="38"/>
    <w:qFormat/>
    <w:uiPriority w:val="0"/>
  </w:style>
  <w:style w:type="character" w:customStyle="1" w:styleId="154">
    <w:name w:val="ant-select-tree-checkbox"/>
    <w:basedOn w:val="38"/>
    <w:qFormat/>
    <w:uiPriority w:val="0"/>
  </w:style>
  <w:style w:type="character" w:customStyle="1" w:styleId="155">
    <w:name w:val="isrevision"/>
    <w:basedOn w:val="38"/>
    <w:qFormat/>
    <w:uiPriority w:val="0"/>
    <w:rPr>
      <w:color w:val="000000"/>
      <w:sz w:val="18"/>
      <w:szCs w:val="18"/>
      <w:bdr w:val="single" w:color="E9E9E9" w:sz="6" w:space="0"/>
      <w:shd w:val="clear" w:fill="FFFFFF"/>
    </w:rPr>
  </w:style>
  <w:style w:type="character" w:customStyle="1" w:styleId="156">
    <w:name w:val="disabled4"/>
    <w:basedOn w:val="38"/>
    <w:qFormat/>
    <w:uiPriority w:val="0"/>
    <w:rPr>
      <w:color w:val="AAAAAA"/>
      <w:shd w:val="clear" w:fill="F7F7F7"/>
    </w:rPr>
  </w:style>
  <w:style w:type="character" w:customStyle="1" w:styleId="157">
    <w:name w:val="auto-pass-node"/>
    <w:basedOn w:val="38"/>
    <w:qFormat/>
    <w:uiPriority w:val="0"/>
    <w:rPr>
      <w:bdr w:val="single" w:color="DC4446" w:sz="6" w:space="0"/>
      <w:shd w:val="clear" w:fill="A9E2FF"/>
    </w:rPr>
  </w:style>
  <w:style w:type="character" w:customStyle="1" w:styleId="158">
    <w:name w:val="ant-tree-iconele"/>
    <w:basedOn w:val="38"/>
    <w:qFormat/>
    <w:uiPriority w:val="0"/>
  </w:style>
  <w:style w:type="character" w:customStyle="1" w:styleId="159">
    <w:name w:val="wea-thumbnails-doc-content-subtitle"/>
    <w:basedOn w:val="38"/>
    <w:qFormat/>
    <w:uiPriority w:val="0"/>
    <w:rPr>
      <w:color w:val="9A9A9A"/>
    </w:rPr>
  </w:style>
  <w:style w:type="character" w:customStyle="1" w:styleId="160">
    <w:name w:val="ant-select-tree-switcher"/>
    <w:basedOn w:val="38"/>
    <w:qFormat/>
    <w:uiPriority w:val="0"/>
  </w:style>
  <w:style w:type="character" w:customStyle="1" w:styleId="161">
    <w:name w:val="ant-table-row-expand-icon3"/>
    <w:basedOn w:val="38"/>
    <w:qFormat/>
    <w:uiPriority w:val="0"/>
    <w:rPr>
      <w:vanish/>
    </w:rPr>
  </w:style>
  <w:style w:type="character" w:customStyle="1" w:styleId="162">
    <w:name w:val="passed-node"/>
    <w:basedOn w:val="38"/>
    <w:qFormat/>
    <w:uiPriority w:val="0"/>
    <w:rPr>
      <w:bdr w:val="single" w:color="49A8D4" w:sz="6" w:space="0"/>
      <w:shd w:val="clear" w:fill="A9E3FF"/>
    </w:rPr>
  </w:style>
  <w:style w:type="character" w:customStyle="1" w:styleId="163">
    <w:name w:val="current-node"/>
    <w:basedOn w:val="38"/>
    <w:qFormat/>
    <w:uiPriority w:val="0"/>
    <w:rPr>
      <w:bdr w:val="single" w:color="F5B87B" w:sz="6" w:space="0"/>
      <w:shd w:val="clear" w:fill="FFE8CC"/>
    </w:rPr>
  </w:style>
  <w:style w:type="character" w:customStyle="1" w:styleId="164">
    <w:name w:val="tmpztreemove_arrow"/>
    <w:basedOn w:val="38"/>
    <w:qFormat/>
    <w:uiPriority w:val="0"/>
  </w:style>
  <w:style w:type="character" w:customStyle="1" w:styleId="165">
    <w:name w:val="ant-tree-switcher10"/>
    <w:basedOn w:val="38"/>
    <w:qFormat/>
    <w:uiPriority w:val="0"/>
  </w:style>
  <w:style w:type="character" w:customStyle="1" w:styleId="166">
    <w:name w:val="ant-table-row-expand-icon"/>
    <w:basedOn w:val="38"/>
    <w:qFormat/>
    <w:uiPriority w:val="0"/>
    <w:rPr>
      <w:vanish/>
    </w:rPr>
  </w:style>
  <w:style w:type="character" w:customStyle="1" w:styleId="167">
    <w:name w:val="ant-select-tree-checkbox2"/>
    <w:basedOn w:val="38"/>
    <w:qFormat/>
    <w:uiPriority w:val="0"/>
  </w:style>
  <w:style w:type="character" w:customStyle="1" w:styleId="168">
    <w:name w:val="disabled"/>
    <w:basedOn w:val="38"/>
    <w:qFormat/>
    <w:uiPriority w:val="0"/>
    <w:rPr>
      <w:color w:val="AAAAAA"/>
      <w:shd w:val="clear" w:fill="F7F7F7"/>
    </w:rPr>
  </w:style>
  <w:style w:type="character" w:customStyle="1" w:styleId="169">
    <w:name w:val="ant-tree-checkbox7"/>
    <w:basedOn w:val="38"/>
    <w:qFormat/>
    <w:uiPriority w:val="0"/>
  </w:style>
  <w:style w:type="character" w:customStyle="1" w:styleId="170">
    <w:name w:val="ant-table-row-expand-icon4"/>
    <w:basedOn w:val="38"/>
    <w:qFormat/>
    <w:uiPriority w:val="0"/>
    <w:rPr>
      <w:vanish/>
    </w:rPr>
  </w:style>
  <w:style w:type="character" w:customStyle="1" w:styleId="171">
    <w:name w:val="hover30"/>
    <w:basedOn w:val="38"/>
    <w:qFormat/>
    <w:uiPriority w:val="0"/>
    <w:rPr>
      <w:color w:val="009DFF"/>
    </w:rPr>
  </w:style>
  <w:style w:type="character" w:customStyle="1" w:styleId="172">
    <w:name w:val="hover31"/>
    <w:basedOn w:val="38"/>
    <w:qFormat/>
    <w:uiPriority w:val="0"/>
    <w:rPr>
      <w:color w:val="009DFF"/>
    </w:rPr>
  </w:style>
  <w:style w:type="character" w:customStyle="1" w:styleId="173">
    <w:name w:val="ant-tree-checkbox"/>
    <w:basedOn w:val="38"/>
    <w:qFormat/>
    <w:uiPriority w:val="0"/>
  </w:style>
  <w:style w:type="character" w:customStyle="1" w:styleId="174">
    <w:name w:val="ant-tree-switcher"/>
    <w:basedOn w:val="38"/>
    <w:qFormat/>
    <w:uiPriority w:val="0"/>
  </w:style>
  <w:style w:type="character" w:customStyle="1" w:styleId="175">
    <w:name w:val="wea-dropdown-triangle2"/>
    <w:basedOn w:val="38"/>
    <w:qFormat/>
    <w:uiPriority w:val="0"/>
  </w:style>
  <w:style w:type="character" w:customStyle="1" w:styleId="176">
    <w:name w:val="ant-tree-switcher9"/>
    <w:basedOn w:val="38"/>
    <w:qFormat/>
    <w:uiPriority w:val="0"/>
  </w:style>
  <w:style w:type="character" w:customStyle="1" w:styleId="177">
    <w:name w:val="hover32"/>
    <w:basedOn w:val="38"/>
    <w:qFormat/>
    <w:uiPriority w:val="0"/>
    <w:rPr>
      <w:color w:val="009DFF"/>
    </w:rPr>
  </w:style>
  <w:style w:type="character" w:customStyle="1" w:styleId="178">
    <w:name w:val="ant-tree-switcher7"/>
    <w:basedOn w:val="38"/>
    <w:qFormat/>
    <w:uiPriority w:val="0"/>
  </w:style>
  <w:style w:type="character" w:customStyle="1" w:styleId="179">
    <w:name w:val="hover25"/>
    <w:basedOn w:val="38"/>
    <w:qFormat/>
    <w:uiPriority w:val="0"/>
    <w:rPr>
      <w:color w:val="009DFF"/>
    </w:rPr>
  </w:style>
  <w:style w:type="character" w:customStyle="1" w:styleId="180">
    <w:name w:val="hover26"/>
    <w:basedOn w:val="38"/>
    <w:qFormat/>
    <w:uiPriority w:val="0"/>
    <w:rPr>
      <w:color w:val="009DFF"/>
    </w:rPr>
  </w:style>
  <w:style w:type="paragraph" w:customStyle="1" w:styleId="181">
    <w:name w:val="Table Text"/>
    <w:basedOn w:val="1"/>
    <w:semiHidden/>
    <w:qFormat/>
    <w:uiPriority w:val="0"/>
    <w:rPr>
      <w:rFonts w:ascii="宋体" w:hAnsi="宋体" w:eastAsia="宋体" w:cs="宋体"/>
      <w:sz w:val="24"/>
      <w:szCs w:val="24"/>
      <w:lang w:val="en-US" w:eastAsia="en-US" w:bidi="ar-SA"/>
    </w:rPr>
  </w:style>
  <w:style w:type="paragraph" w:styleId="182">
    <w:name w:val="No Spacing"/>
    <w:qFormat/>
    <w:uiPriority w:val="1"/>
    <w:rPr>
      <w:rFonts w:ascii="等线" w:hAnsi="等线" w:eastAsia="等线" w:cs="Times New Roman"/>
      <w:sz w:val="21"/>
      <w:szCs w:val="21"/>
      <w:lang w:val="en-US" w:eastAsia="zh-CN" w:bidi="ar-SA"/>
    </w:rPr>
  </w:style>
  <w:style w:type="character" w:customStyle="1" w:styleId="183">
    <w:name w:val="Classification"/>
    <w:qFormat/>
    <w:uiPriority w:val="99"/>
    <w:rPr>
      <w:rFonts w:ascii="Calibri" w:hAnsi="Calibri" w:eastAsia="宋体" w:cs="Cordia New"/>
      <w:b/>
      <w:bCs/>
      <w:caps/>
      <w:color w:val="000000"/>
      <w:spacing w:val="20"/>
      <w:sz w:val="24"/>
      <w:szCs w:val="24"/>
    </w:rPr>
  </w:style>
  <w:style w:type="paragraph" w:customStyle="1" w:styleId="184">
    <w:name w:val="WPSOffice手动目录 2"/>
    <w:qFormat/>
    <w:uiPriority w:val="0"/>
    <w:pPr>
      <w:ind w:leftChars="200"/>
    </w:pPr>
    <w:rPr>
      <w:rFonts w:ascii="Times New Roman" w:hAnsi="Times New Roman" w:eastAsia="宋体" w:cs="Times New Roman"/>
      <w:lang w:val="en-US" w:eastAsia="zh-CN" w:bidi="ar-SA"/>
    </w:rPr>
  </w:style>
  <w:style w:type="paragraph" w:customStyle="1" w:styleId="185">
    <w:name w:val="框架内容"/>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6" Type="http://schemas.openxmlformats.org/officeDocument/2006/relationships/fontTable" Target="fontTable.xml"/><Relationship Id="rId65" Type="http://schemas.openxmlformats.org/officeDocument/2006/relationships/customXml" Target="../customXml/item2.xml"/><Relationship Id="rId64" Type="http://schemas.openxmlformats.org/officeDocument/2006/relationships/numbering" Target="numbering.xml"/><Relationship Id="rId63" Type="http://schemas.openxmlformats.org/officeDocument/2006/relationships/customXml" Target="../customXml/item1.xml"/><Relationship Id="rId62" Type="http://schemas.openxmlformats.org/officeDocument/2006/relationships/image" Target="media/image16.png"/><Relationship Id="rId61" Type="http://schemas.openxmlformats.org/officeDocument/2006/relationships/image" Target="media/image15.png"/><Relationship Id="rId60" Type="http://schemas.openxmlformats.org/officeDocument/2006/relationships/image" Target="media/image14.png"/><Relationship Id="rId6" Type="http://schemas.openxmlformats.org/officeDocument/2006/relationships/footer" Target="footer3.xml"/><Relationship Id="rId59" Type="http://schemas.openxmlformats.org/officeDocument/2006/relationships/image" Target="media/image13.png"/><Relationship Id="rId58" Type="http://schemas.openxmlformats.org/officeDocument/2006/relationships/image" Target="media/image12.png"/><Relationship Id="rId57" Type="http://schemas.openxmlformats.org/officeDocument/2006/relationships/image" Target="media/image11.png"/><Relationship Id="rId56" Type="http://schemas.openxmlformats.org/officeDocument/2006/relationships/image" Target="media/image10.png"/><Relationship Id="rId55" Type="http://schemas.openxmlformats.org/officeDocument/2006/relationships/image" Target="media/image9.png"/><Relationship Id="rId54" Type="http://schemas.openxmlformats.org/officeDocument/2006/relationships/image" Target="media/image8.png"/><Relationship Id="rId53" Type="http://schemas.openxmlformats.org/officeDocument/2006/relationships/image" Target="media/image7.png"/><Relationship Id="rId52" Type="http://schemas.openxmlformats.org/officeDocument/2006/relationships/image" Target="media/image6.png"/><Relationship Id="rId51" Type="http://schemas.openxmlformats.org/officeDocument/2006/relationships/image" Target="media/image5.png"/><Relationship Id="rId50" Type="http://schemas.openxmlformats.org/officeDocument/2006/relationships/image" Target="media/image4.png"/><Relationship Id="rId5" Type="http://schemas.openxmlformats.org/officeDocument/2006/relationships/header" Target="header1.xml"/><Relationship Id="rId49" Type="http://schemas.openxmlformats.org/officeDocument/2006/relationships/image" Target="media/image3.png"/><Relationship Id="rId48" Type="http://schemas.openxmlformats.org/officeDocument/2006/relationships/image" Target="media/image2.png"/><Relationship Id="rId47" Type="http://schemas.openxmlformats.org/officeDocument/2006/relationships/image" Target="media/image1.png"/><Relationship Id="rId46" Type="http://schemas.openxmlformats.org/officeDocument/2006/relationships/theme" Target="theme/theme1.xml"/><Relationship Id="rId45" Type="http://schemas.openxmlformats.org/officeDocument/2006/relationships/footer" Target="footer32.xml"/><Relationship Id="rId44" Type="http://schemas.openxmlformats.org/officeDocument/2006/relationships/footer" Target="footer31.xml"/><Relationship Id="rId43" Type="http://schemas.openxmlformats.org/officeDocument/2006/relationships/header" Target="header11.xml"/><Relationship Id="rId42" Type="http://schemas.openxmlformats.org/officeDocument/2006/relationships/header" Target="header10.xml"/><Relationship Id="rId41" Type="http://schemas.openxmlformats.org/officeDocument/2006/relationships/footer" Target="footer30.xml"/><Relationship Id="rId40" Type="http://schemas.openxmlformats.org/officeDocument/2006/relationships/footer" Target="footer29.xml"/><Relationship Id="rId4" Type="http://schemas.openxmlformats.org/officeDocument/2006/relationships/footer" Target="footer2.xml"/><Relationship Id="rId39" Type="http://schemas.openxmlformats.org/officeDocument/2006/relationships/footer" Target="footer28.xml"/><Relationship Id="rId38" Type="http://schemas.openxmlformats.org/officeDocument/2006/relationships/header" Target="header9.xml"/><Relationship Id="rId37" Type="http://schemas.openxmlformats.org/officeDocument/2006/relationships/header" Target="header8.xml"/><Relationship Id="rId36" Type="http://schemas.openxmlformats.org/officeDocument/2006/relationships/footer" Target="footer27.xml"/><Relationship Id="rId35" Type="http://schemas.openxmlformats.org/officeDocument/2006/relationships/footer" Target="footer26.xml"/><Relationship Id="rId34" Type="http://schemas.openxmlformats.org/officeDocument/2006/relationships/footer" Target="footer25.xml"/><Relationship Id="rId33" Type="http://schemas.openxmlformats.org/officeDocument/2006/relationships/footer" Target="footer24.xml"/><Relationship Id="rId32" Type="http://schemas.openxmlformats.org/officeDocument/2006/relationships/footer" Target="footer23.xml"/><Relationship Id="rId31" Type="http://schemas.openxmlformats.org/officeDocument/2006/relationships/header" Target="header7.xml"/><Relationship Id="rId30" Type="http://schemas.openxmlformats.org/officeDocument/2006/relationships/footer" Target="footer22.xml"/><Relationship Id="rId3" Type="http://schemas.openxmlformats.org/officeDocument/2006/relationships/footer" Target="footer1.xml"/><Relationship Id="rId29" Type="http://schemas.openxmlformats.org/officeDocument/2006/relationships/footer" Target="footer21.xml"/><Relationship Id="rId28" Type="http://schemas.openxmlformats.org/officeDocument/2006/relationships/footer" Target="footer20.xml"/><Relationship Id="rId27" Type="http://schemas.openxmlformats.org/officeDocument/2006/relationships/footer" Target="footer19.xml"/><Relationship Id="rId26" Type="http://schemas.openxmlformats.org/officeDocument/2006/relationships/footer" Target="footer18.xml"/><Relationship Id="rId25" Type="http://schemas.openxmlformats.org/officeDocument/2006/relationships/footer" Target="footer17.xml"/><Relationship Id="rId24" Type="http://schemas.openxmlformats.org/officeDocument/2006/relationships/footer" Target="footer16.xml"/><Relationship Id="rId23" Type="http://schemas.openxmlformats.org/officeDocument/2006/relationships/footer" Target="footer15.xml"/><Relationship Id="rId22" Type="http://schemas.openxmlformats.org/officeDocument/2006/relationships/footer" Target="footer14.xml"/><Relationship Id="rId21" Type="http://schemas.openxmlformats.org/officeDocument/2006/relationships/footer" Target="footer13.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footer" Target="footer11.xml"/><Relationship Id="rId18" Type="http://schemas.openxmlformats.org/officeDocument/2006/relationships/header" Target="header6.xml"/><Relationship Id="rId17" Type="http://schemas.openxmlformats.org/officeDocument/2006/relationships/footer" Target="footer10.xml"/><Relationship Id="rId16" Type="http://schemas.openxmlformats.org/officeDocument/2006/relationships/footer" Target="footer9.xml"/><Relationship Id="rId15" Type="http://schemas.openxmlformats.org/officeDocument/2006/relationships/header" Target="header5.xml"/><Relationship Id="rId14" Type="http://schemas.openxmlformats.org/officeDocument/2006/relationships/footer" Target="footer8.xml"/><Relationship Id="rId13" Type="http://schemas.openxmlformats.org/officeDocument/2006/relationships/header" Target="header4.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http://schemas.openxmlformats.org/officeDocument/2006/bibliography" xmlns:b="http://schemas.openxmlformats.org/officeDocument/2006/bibliography" StyleName="APA" SelectedStyle="\APASixthEditionOfficeOnline.xsl"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2D9F31A-5289-4A72-A8F8-0A4209FE792D}">
  <ds:schemaRefs/>
</ds:datastoreItem>
</file>

<file path=docProps/app.xml><?xml version="1.0" encoding="utf-8"?>
<Properties xmlns="http://schemas.openxmlformats.org/officeDocument/2006/extended-properties" xmlns:vt="http://schemas.openxmlformats.org/officeDocument/2006/docPropsVTypes">
  <Pages>105</Pages>
  <Words>5111</Words>
  <Characters>5500</Characters>
  <Lines>364</Lines>
  <Paragraphs>102</Paragraphs>
  <TotalTime>23</TotalTime>
  <ScaleCrop>false</ScaleCrop>
  <LinksUpToDate>false</LinksUpToDate>
  <CharactersWithSpaces>5633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2025-04-18T14:33:00Z</dcterms:created>
  <dc:creator>刘剑</dc:creator>
  <cp:lastModifiedBy>JonMMx 2000</cp:lastModifiedBy>
  <dcterms:modified xsi:type="dcterms:W3CDTF">2025-12-12T08:49:09Z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54F09B1D37084FBB90D499E0EB2DA5FB_13</vt:lpwstr>
  </property>
  <property fmtid="{D5CDD505-2E9C-101B-9397-08002B2CF9AE}" pid="4" name="KSOTemplateDocerSaveRecord">
    <vt:lpwstr>eyJoZGlkIjoiN2ZiZjhjZjUxYjg2N2Y1ZjY0NTc5ZGMxYTcwNjRmNWYiLCJ1c2VySWQiOiIzMDg0MzUwNTAifQ==</vt:lpwstr>
  </property>
  <property fmtid="{D5CDD505-2E9C-101B-9397-08002B2CF9AE}" pid="5" name="5B77E7CEEC58BC6AFAE8886BEB80DBEB">
    <vt:lpwstr>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</vt:lpwstr>
  </property>
</Properties>
</file>