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b/>
          <w:bCs/>
          <w:color w:val="000000"/>
          <w:spacing w:val="-8"/>
          <w:sz w:val="48"/>
          <w:szCs w:val="48"/>
        </w:rPr>
        <w:t>特种车公司内饰线改造及新增标定设备技改项目包2-新增车轮直行定位仪项目</w:t>
      </w: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2"/>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：中国重汽集团济南特种车有限公司</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12</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8"/>
            <w:rPr>
              <w:rFonts w:hint="eastAsia"/>
            </w:rPr>
          </w:pPr>
        </w:p>
        <w:p>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
        <w:jc w:val="both"/>
        <w:rPr>
          <w:rFonts w:hint="eastAsia" w:ascii="仿宋_GB2312" w:hAnsi="仿宋_GB2312" w:eastAsia="仿宋_GB2312" w:cs="仿宋_GB2312"/>
          <w:sz w:val="44"/>
        </w:rPr>
      </w:pPr>
      <w:bookmarkStart w:id="0" w:name="_Toc5202"/>
      <w:bookmarkStart w:id="1" w:name="_Toc22242"/>
      <w:bookmarkStart w:id="2" w:name="_Toc29994"/>
      <w:bookmarkStart w:id="3" w:name="_Toc23693"/>
      <w:bookmarkStart w:id="4" w:name="_Toc15480"/>
    </w:p>
    <w:p>
      <w:pPr>
        <w:pStyle w:val="2"/>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项目名称：特种车公司内饰线改造及新增标定设备技改项目包2-新增车轮直行定位仪项目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项目编号：FSCZB2025120152</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招标内容：为恢复总七生产（原卡车总一），新增车轮直行定位仪1套。</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b/>
                <w:bCs/>
                <w:sz w:val="24"/>
                <w:szCs w:val="24"/>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招标人名称：中国重汽集团济南特种车有限公司</w:t>
            </w:r>
          </w:p>
          <w:p>
            <w:pPr>
              <w:ind w:firstLine="482" w:firstLineChars="200"/>
              <w:rPr>
                <w:rFonts w:hint="eastAsia" w:ascii="仿宋_GB2312" w:hAnsi="仿宋_GB2312" w:eastAsia="仿宋_GB2312" w:cs="仿宋_GB2312"/>
                <w:b/>
                <w:snapToGrid w:val="0"/>
                <w:kern w:val="0"/>
                <w:sz w:val="24"/>
                <w:szCs w:val="24"/>
              </w:rPr>
            </w:pPr>
            <w:r>
              <w:rPr>
                <w:rFonts w:hint="eastAsia" w:ascii="仿宋_GB2312" w:hAnsi="仿宋_GB2312" w:eastAsia="仿宋_GB2312" w:cs="仿宋_GB2312"/>
                <w:b/>
                <w:snapToGrid w:val="0"/>
                <w:kern w:val="0"/>
                <w:sz w:val="24"/>
                <w:szCs w:val="24"/>
              </w:rPr>
              <w:t>招标人地址：</w:t>
            </w:r>
            <w:r>
              <w:rPr>
                <w:rFonts w:hint="eastAsia" w:ascii="仿宋_GB2312" w:hAnsi="仿宋_GB2312" w:eastAsia="仿宋_GB2312" w:cs="仿宋_GB2312"/>
                <w:b/>
                <w:snapToGrid w:val="0"/>
                <w:kern w:val="0"/>
                <w:sz w:val="24"/>
                <w:szCs w:val="24"/>
                <w:lang w:val="en-US" w:eastAsia="zh-CN"/>
              </w:rPr>
              <w:t>山东省济南市槐荫区经十西路3100号济南特种车公司</w:t>
            </w:r>
            <w:r>
              <w:rPr>
                <w:rFonts w:hint="eastAsia" w:ascii="仿宋_GB2312" w:hAnsi="仿宋_GB2312" w:eastAsia="仿宋_GB2312" w:cs="仿宋_GB2312"/>
                <w:b/>
                <w:snapToGrid w:val="0"/>
                <w:kern w:val="0"/>
                <w:sz w:val="24"/>
                <w:szCs w:val="24"/>
              </w:rPr>
              <w:t xml:space="preserve"> </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ind w:firstLine="482" w:firstLineChars="200"/>
              <w:rPr>
                <w:rFonts w:hint="eastAsia"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技术联系人：</w:t>
            </w:r>
            <w:r>
              <w:rPr>
                <w:rFonts w:hint="eastAsia" w:ascii="宋体" w:hAnsi="宋体" w:eastAsia="宋体" w:cs="宋体"/>
                <w:b/>
                <w:snapToGrid w:val="0"/>
                <w:kern w:val="0"/>
                <w:sz w:val="24"/>
                <w:szCs w:val="24"/>
                <w:lang w:val="en-US" w:eastAsia="zh-CN"/>
              </w:rPr>
              <w:t>何文亮</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电话：15066696050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4.560000</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1）拟标投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（2）拟投标人应具有相关招标项目的实施及服务能力，具有相应的生产及供货、安装能力；产品认证证书，安装资质。</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（3）拟投标人应提供营业执照副本原件和扫描件（需盖章）；</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（4）拟投标人应提供法定代表人资格证明文件；</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（5）拟投标人在国家市场监督管理总局的《国家企业信用信息公示系统》中查询不存在不良记录；</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（6）拟投标人不存在严重违规或被列入招标人“黑名单”的声明；</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（7）拟投标人2022年1月1日至今经第三方审计的公司财务报表（资产负债表、损益表、现金流量表）未显示异常；</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（8）拟投标人2022年1月1日至今供货实例，报名及投标时须提供用户清单、采购合同复印件；</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（9）拟投标人近三年内在经营活动中无与本项目有关的违法及重大违规情况；</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（10）拟投标人最近半年纳税正常；</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（11）拟投标人信用证明材料（征信报告）未显示异常；</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（12）拟投标人的直接或间接股东、法定代表人、董事、监事、高管非重汽员工及其亲属；</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eastAsia="仿宋_GB2312" w:cs="仿宋_GB2312"/>
                <w:b w:val="0"/>
                <w:bCs w:val="0"/>
                <w:highlight w:val="none"/>
              </w:rPr>
              <w:t>（1</w:t>
            </w:r>
            <w:r>
              <w:rPr>
                <w:rFonts w:hint="eastAsia" w:ascii="仿宋_GB2312" w:hAnsi="仿宋_GB2312" w:cs="仿宋_GB2312"/>
                <w:b w:val="0"/>
                <w:bCs w:val="0"/>
                <w:highlight w:val="none"/>
                <w:lang w:val="en-US" w:eastAsia="zh-CN"/>
              </w:rPr>
              <w:t>3</w:t>
            </w:r>
            <w:r>
              <w:rPr>
                <w:rFonts w:hint="eastAsia" w:ascii="仿宋_GB2312" w:hAnsi="仿宋_GB2312" w:eastAsia="仿宋_GB2312" w:cs="仿宋_GB2312"/>
                <w:b w:val="0"/>
                <w:bCs w:val="0"/>
                <w:highlight w:val="none"/>
              </w:rPr>
              <w:t>）与招标人存在利害关系可能影响招标公正性的法人、其他组织或者个人，不得参加投标。</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 w:val="0"/>
                <w:bCs w:val="0"/>
                <w:highlight w:val="none"/>
              </w:rPr>
            </w:pPr>
            <w:r>
              <w:rPr>
                <w:rFonts w:hint="eastAsia" w:ascii="仿宋_GB2312" w:hAnsi="仿宋_GB2312" w:cs="仿宋_GB2312"/>
                <w:b w:val="0"/>
                <w:bCs w:val="0"/>
                <w:highlight w:val="none"/>
                <w:lang w:eastAsia="zh-CN"/>
              </w:rPr>
              <w:t>（</w:t>
            </w:r>
            <w:r>
              <w:rPr>
                <w:rFonts w:hint="eastAsia" w:ascii="仿宋_GB2312" w:hAnsi="仿宋_GB2312" w:cs="仿宋_GB2312"/>
                <w:b w:val="0"/>
                <w:bCs w:val="0"/>
                <w:highlight w:val="none"/>
                <w:lang w:val="en-US" w:eastAsia="zh-CN"/>
              </w:rPr>
              <w:t>14</w:t>
            </w:r>
            <w:r>
              <w:rPr>
                <w:rFonts w:hint="eastAsia" w:ascii="仿宋_GB2312" w:hAnsi="仿宋_GB2312" w:cs="仿宋_GB2312"/>
                <w:b w:val="0"/>
                <w:bCs w:val="0"/>
                <w:highlight w:val="none"/>
                <w:lang w:eastAsia="zh-CN"/>
              </w:rPr>
              <w:t>）</w:t>
            </w:r>
            <w:r>
              <w:rPr>
                <w:rFonts w:hint="eastAsia" w:ascii="仿宋_GB2312" w:hAnsi="仿宋_GB2312" w:cs="仿宋_GB2312"/>
                <w:b w:val="0"/>
                <w:bCs w:val="0"/>
                <w:highlight w:val="none"/>
                <w:lang w:val="en-US" w:eastAsia="zh-CN"/>
              </w:rPr>
              <w:t>不允许代理商投标</w:t>
            </w:r>
            <w:r>
              <w:rPr>
                <w:rFonts w:hint="eastAsia" w:ascii="仿宋_GB2312" w:hAnsi="仿宋_GB2312" w:eastAsia="仿宋_GB2312" w:cs="仿宋_GB2312"/>
                <w:b w:val="0"/>
                <w:bCs w:val="0"/>
                <w:highlight w:val="none"/>
              </w:rPr>
              <w:t>；</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color w:val="000000"/>
                <w:sz w:val="24"/>
                <w:szCs w:val="24"/>
              </w:rPr>
            </w:pPr>
            <w:r>
              <w:rPr>
                <w:rFonts w:hint="eastAsia" w:ascii="仿宋_GB2312" w:hAnsi="仿宋_GB2312" w:cs="仿宋_GB2312"/>
                <w:b w:val="0"/>
                <w:bCs w:val="0"/>
                <w:highlight w:val="none"/>
                <w:lang w:eastAsia="zh-CN"/>
              </w:rPr>
              <w:t>（</w:t>
            </w:r>
            <w:r>
              <w:rPr>
                <w:rFonts w:hint="eastAsia" w:ascii="仿宋_GB2312" w:hAnsi="仿宋_GB2312" w:cs="仿宋_GB2312"/>
                <w:b w:val="0"/>
                <w:bCs w:val="0"/>
                <w:highlight w:val="none"/>
                <w:lang w:val="en-US" w:eastAsia="zh-CN"/>
              </w:rPr>
              <w:t>15</w:t>
            </w:r>
            <w:r>
              <w:rPr>
                <w:rFonts w:hint="eastAsia" w:ascii="仿宋_GB2312" w:hAnsi="仿宋_GB2312" w:cs="仿宋_GB2312"/>
                <w:b w:val="0"/>
                <w:bCs w:val="0"/>
                <w:highlight w:val="none"/>
                <w:lang w:eastAsia="zh-CN"/>
              </w:rPr>
              <w:t>）</w:t>
            </w:r>
            <w:r>
              <w:rPr>
                <w:rFonts w:hint="eastAsia" w:ascii="仿宋_GB2312" w:hAnsi="仿宋_GB2312" w:eastAsia="仿宋_GB2312" w:cs="仿宋_GB2312"/>
                <w:b w:val="0"/>
                <w:bCs w:val="0"/>
                <w:highlight w:val="none"/>
              </w:rPr>
              <w:t>本项目不接受联合体投标，拟投标人必须是最终投标单位和签订合同单位，不得以任何理由将已中标项目以任何形式分包或转包给其他单位。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2025年12月12日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2025年12月20日前</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2025年12月20日前</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2025年12月17日17：00</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 xml:space="preserve">2025年12月22日17：00     </w:t>
            </w:r>
          </w:p>
          <w:p>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5000</w:t>
            </w:r>
            <w:r>
              <w:rPr>
                <w:rFonts w:hint="eastAsia" w:ascii="仿宋_GB2312" w:hAnsi="仿宋_GB2312" w:eastAsia="仿宋_GB2312" w:cs="仿宋_GB2312"/>
                <w:sz w:val="24"/>
                <w:szCs w:val="24"/>
              </w:rPr>
              <w:t>元</w:t>
            </w:r>
          </w:p>
          <w:p>
            <w:pPr>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 xml:space="preserve">开 户 行：中信银行济南舜耕支行 </w:t>
            </w:r>
          </w:p>
          <w:p>
            <w:pPr>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 xml:space="preserve">开户名称：中国重汽集团济南特种车有限公司 </w:t>
            </w:r>
          </w:p>
          <w:p>
            <w:pPr>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 xml:space="preserve">账    号：7372610182600060547 </w:t>
            </w:r>
          </w:p>
          <w:p>
            <w:pPr>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 xml:space="preserve">纳税人识别号：913701007806234860      </w:t>
            </w:r>
          </w:p>
          <w:p>
            <w:pPr>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联行号：302451037264</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 xml:space="preserve">2025年12月22日17：00     </w:t>
            </w:r>
          </w:p>
          <w:p>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 xml:space="preserve">2025年12月23日9：00  </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w:t>
            </w:r>
            <w:bookmarkStart w:id="161" w:name="_GoBack"/>
            <w:bookmarkEnd w:id="161"/>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ind w:firstLine="482" w:firstLineChars="200"/>
              <w:jc w:val="left"/>
              <w:outlineLvl w:val="3"/>
              <w:rPr>
                <w:rFonts w:hint="eastAsia" w:ascii="仿宋_GB2312" w:hAnsi="仿宋_GB2312" w:eastAsia="仿宋_GB2312" w:cs="仿宋_GB2312"/>
                <w:b/>
                <w:bCs/>
                <w:color w:val="000000"/>
                <w:sz w:val="24"/>
                <w:szCs w:val="24"/>
                <w:lang w:eastAsia="zh-CN"/>
              </w:rPr>
            </w:pPr>
            <w:r>
              <w:rPr>
                <w:rFonts w:hint="eastAsia" w:ascii="仿宋_GB2312" w:hAnsi="仿宋_GB2312" w:eastAsia="仿宋_GB2312" w:cs="仿宋_GB2312"/>
                <w:b/>
                <w:bCs/>
                <w:color w:val="000000"/>
                <w:sz w:val="24"/>
                <w:szCs w:val="24"/>
                <w:lang w:eastAsia="zh-CN"/>
              </w:rPr>
              <w:t>（</w:t>
            </w:r>
            <w:r>
              <w:rPr>
                <w:rFonts w:hint="eastAsia" w:ascii="仿宋_GB2312" w:hAnsi="仿宋_GB2312" w:eastAsia="仿宋_GB2312" w:cs="仿宋_GB2312"/>
                <w:b/>
                <w:bCs/>
                <w:color w:val="000000"/>
                <w:sz w:val="24"/>
                <w:szCs w:val="24"/>
                <w:lang w:val="en-US" w:eastAsia="zh-CN"/>
              </w:rPr>
              <w:t>以上时间若有调整以招标人实际要求为准</w:t>
            </w:r>
            <w:r>
              <w:rPr>
                <w:rFonts w:hint="eastAsia" w:ascii="仿宋_GB2312" w:hAnsi="仿宋_GB2312" w:eastAsia="仿宋_GB2312" w:cs="仿宋_GB2312"/>
                <w:b/>
                <w:bCs/>
                <w:color w:val="000000"/>
                <w:sz w:val="24"/>
                <w:szCs w:val="24"/>
                <w:lang w:eastAsia="zh-CN"/>
              </w:rPr>
              <w:t>）</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highlight w:val="green"/>
                <w:lang w:val="en-US" w:eastAsia="zh-CN"/>
              </w:rPr>
              <w:t>济南特种车公司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eastAsia="仿宋_GB2312" w:cs="仿宋_GB2312"/>
                <w:bCs/>
              </w:rPr>
            </w:pPr>
            <w:r>
              <w:rPr>
                <w:rFonts w:hint="eastAsia" w:ascii="仿宋_GB2312" w:hAnsi="仿宋_GB2312" w:eastAsia="仿宋_GB2312" w:cs="仿宋_GB2312"/>
                <w:bCs/>
              </w:rPr>
              <w:t>1.付款方式：</w:t>
            </w:r>
          </w:p>
          <w:p>
            <w:pPr>
              <w:pStyle w:val="131"/>
              <w:keepNext w:val="0"/>
              <w:keepLines w:val="0"/>
              <w:pageBreakBefore w:val="0"/>
              <w:widowControl w:val="0"/>
              <w:numPr>
                <w:ilvl w:val="1"/>
                <w:numId w:val="2"/>
              </w:numPr>
              <w:kinsoku/>
              <w:wordWrap/>
              <w:overflowPunct/>
              <w:topLinePunct w:val="0"/>
              <w:autoSpaceDE/>
              <w:autoSpaceDN/>
              <w:bidi w:val="0"/>
              <w:snapToGrid w:val="0"/>
              <w:spacing w:line="240" w:lineRule="atLeast"/>
              <w:ind w:left="880" w:leftChars="0" w:hanging="40" w:firstLineChars="0"/>
              <w:jc w:val="left"/>
              <w:textAlignment w:val="auto"/>
              <w:rPr>
                <w:rFonts w:hint="eastAsia" w:ascii="仿宋_GB2312" w:hAnsi="仿宋_GB2312" w:eastAsia="仿宋_GB2312" w:cs="仿宋_GB2312"/>
                <w:bCs/>
                <w:kern w:val="2"/>
                <w:sz w:val="28"/>
                <w:lang w:val="en-US" w:eastAsia="zh-CN" w:bidi="ar-SA"/>
              </w:rPr>
            </w:pPr>
            <w:r>
              <w:rPr>
                <w:rFonts w:hint="eastAsia" w:ascii="仿宋_GB2312" w:hAnsi="仿宋_GB2312" w:eastAsia="仿宋_GB2312" w:cs="仿宋_GB2312"/>
                <w:bCs/>
                <w:kern w:val="2"/>
                <w:sz w:val="28"/>
                <w:lang w:val="en-US" w:eastAsia="zh-CN" w:bidi="ar-SA"/>
              </w:rPr>
              <w:t>半年期商业汇票（包括银行承兑汇票和商业承兑汇票）</w:t>
            </w:r>
            <w:r>
              <w:rPr>
                <w:rFonts w:hint="eastAsia" w:ascii="仿宋_GB2312" w:hAnsi="仿宋_GB2312" w:cs="仿宋_GB2312"/>
                <w:bCs/>
                <w:kern w:val="2"/>
                <w:sz w:val="28"/>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default" w:ascii="仿宋_GB2312" w:hAnsi="仿宋_GB2312" w:eastAsia="仿宋_GB2312" w:cs="仿宋_GB2312"/>
                <w:bCs/>
                <w:lang w:val="en-US" w:eastAsia="zh-CN"/>
              </w:rPr>
            </w:pPr>
            <w:r>
              <w:rPr>
                <w:rFonts w:hint="eastAsia" w:ascii="仿宋_GB2312" w:hAnsi="仿宋_GB2312" w:cs="仿宋_GB2312"/>
                <w:bCs/>
                <w:lang w:val="en-US" w:eastAsia="zh-CN"/>
              </w:rPr>
              <w:t>2.</w:t>
            </w:r>
            <w:r>
              <w:rPr>
                <w:rFonts w:hint="eastAsia" w:ascii="仿宋_GB2312" w:hAnsi="仿宋_GB2312" w:eastAsia="仿宋_GB2312" w:cs="仿宋_GB2312"/>
                <w:bCs/>
                <w:lang w:val="en-US" w:eastAsia="zh-CN"/>
              </w:rPr>
              <w:t>付款节点</w:t>
            </w:r>
            <w:r>
              <w:rPr>
                <w:rFonts w:hint="eastAsia" w:ascii="仿宋_GB2312" w:hAnsi="仿宋_GB2312" w:cs="仿宋_GB2312"/>
                <w:bCs/>
                <w:lang w:val="en-US" w:eastAsia="zh-CN"/>
              </w:rPr>
              <w:t>:</w:t>
            </w:r>
          </w:p>
          <w:p>
            <w:pPr>
              <w:pStyle w:val="131"/>
              <w:keepNext w:val="0"/>
              <w:keepLines w:val="0"/>
              <w:pageBreakBefore w:val="0"/>
              <w:widowControl w:val="0"/>
              <w:numPr>
                <w:ilvl w:val="0"/>
                <w:numId w:val="0"/>
              </w:numPr>
              <w:kinsoku/>
              <w:wordWrap/>
              <w:overflowPunct/>
              <w:topLinePunct w:val="0"/>
              <w:autoSpaceDE/>
              <w:autoSpaceDN/>
              <w:bidi w:val="0"/>
              <w:snapToGrid w:val="0"/>
              <w:spacing w:line="240" w:lineRule="atLeast"/>
              <w:ind w:left="840" w:leftChars="0" w:firstLine="281" w:firstLineChars="100"/>
              <w:jc w:val="left"/>
              <w:textAlignment w:val="auto"/>
              <w:rPr>
                <w:rFonts w:hint="default" w:ascii="仿宋_GB2312" w:hAnsi="仿宋_GB2312" w:eastAsia="仿宋_GB2312" w:cs="仿宋_GB2312"/>
                <w:b/>
                <w:bCs w:val="0"/>
                <w:kern w:val="2"/>
                <w:sz w:val="28"/>
                <w:lang w:val="en-US" w:eastAsia="zh-CN" w:bidi="ar-SA"/>
              </w:rPr>
            </w:pPr>
            <w:r>
              <w:rPr>
                <w:rFonts w:hint="default" w:ascii="仿宋_GB2312" w:hAnsi="仿宋_GB2312" w:eastAsia="仿宋_GB2312" w:cs="仿宋_GB2312"/>
                <w:b/>
                <w:bCs w:val="0"/>
                <w:kern w:val="2"/>
                <w:sz w:val="28"/>
                <w:lang w:val="en-US" w:eastAsia="zh-CN" w:bidi="ar-SA"/>
              </w:rPr>
              <w:t>③</w:t>
            </w:r>
            <w:r>
              <w:rPr>
                <w:rFonts w:hint="eastAsia" w:ascii="仿宋_GB2312" w:hAnsi="仿宋_GB2312" w:cs="仿宋_GB2312"/>
                <w:b/>
                <w:bCs w:val="0"/>
                <w:kern w:val="2"/>
                <w:sz w:val="28"/>
                <w:lang w:val="en-US" w:eastAsia="zh-CN" w:bidi="ar-SA"/>
              </w:rPr>
              <w:t>3:6:1</w:t>
            </w:r>
            <w:r>
              <w:rPr>
                <w:rFonts w:hint="default" w:ascii="仿宋_GB2312" w:hAnsi="仿宋_GB2312" w:eastAsia="仿宋_GB2312" w:cs="仿宋_GB2312"/>
                <w:b/>
                <w:bCs w:val="0"/>
                <w:kern w:val="2"/>
                <w:sz w:val="28"/>
                <w:lang w:val="en-US" w:eastAsia="zh-CN" w:bidi="ar-SA"/>
              </w:rPr>
              <w:t xml:space="preserve"> ：</w:t>
            </w:r>
          </w:p>
          <w:p>
            <w:pPr>
              <w:pStyle w:val="131"/>
              <w:keepNext w:val="0"/>
              <w:keepLines w:val="0"/>
              <w:pageBreakBefore w:val="0"/>
              <w:widowControl w:val="0"/>
              <w:numPr>
                <w:ilvl w:val="0"/>
                <w:numId w:val="0"/>
              </w:numPr>
              <w:kinsoku/>
              <w:wordWrap/>
              <w:overflowPunct/>
              <w:topLinePunct w:val="0"/>
              <w:autoSpaceDE/>
              <w:autoSpaceDN/>
              <w:bidi w:val="0"/>
              <w:snapToGrid w:val="0"/>
              <w:spacing w:line="240" w:lineRule="atLeast"/>
              <w:ind w:left="840" w:leftChars="0" w:firstLine="560" w:firstLineChars="200"/>
              <w:jc w:val="left"/>
              <w:textAlignment w:val="auto"/>
              <w:rPr>
                <w:rFonts w:hint="default" w:ascii="仿宋_GB2312" w:hAnsi="仿宋_GB2312" w:eastAsia="仿宋_GB2312" w:cs="仿宋_GB2312"/>
                <w:bCs/>
                <w:kern w:val="2"/>
                <w:sz w:val="28"/>
                <w:lang w:val="en-US" w:eastAsia="zh-CN" w:bidi="ar-SA"/>
              </w:rPr>
            </w:pPr>
            <w:r>
              <w:rPr>
                <w:rFonts w:hint="default" w:ascii="仿宋_GB2312" w:hAnsi="仿宋_GB2312" w:eastAsia="仿宋_GB2312" w:cs="仿宋_GB2312"/>
                <w:bCs/>
                <w:kern w:val="2"/>
                <w:sz w:val="28"/>
                <w:lang w:val="en-US" w:eastAsia="zh-CN" w:bidi="ar-SA"/>
              </w:rPr>
              <w:t>A.设备全部到货后，中标人提交金额为合同价款30%的收据并提供合同价款30%的增值税专用发票（含复印件二份），经招标人依照财务制度审核通过后30日支付；</w:t>
            </w:r>
          </w:p>
          <w:p>
            <w:pPr>
              <w:pStyle w:val="131"/>
              <w:keepNext w:val="0"/>
              <w:keepLines w:val="0"/>
              <w:pageBreakBefore w:val="0"/>
              <w:widowControl w:val="0"/>
              <w:numPr>
                <w:ilvl w:val="0"/>
                <w:numId w:val="0"/>
              </w:numPr>
              <w:kinsoku/>
              <w:wordWrap/>
              <w:overflowPunct/>
              <w:topLinePunct w:val="0"/>
              <w:autoSpaceDE/>
              <w:autoSpaceDN/>
              <w:bidi w:val="0"/>
              <w:snapToGrid w:val="0"/>
              <w:spacing w:line="240" w:lineRule="atLeast"/>
              <w:ind w:left="840" w:leftChars="0" w:firstLine="560" w:firstLineChars="200"/>
              <w:jc w:val="left"/>
              <w:textAlignment w:val="auto"/>
              <w:rPr>
                <w:rFonts w:hint="default" w:ascii="仿宋_GB2312" w:hAnsi="仿宋_GB2312" w:eastAsia="仿宋_GB2312" w:cs="仿宋_GB2312"/>
                <w:bCs/>
                <w:kern w:val="2"/>
                <w:sz w:val="28"/>
                <w:lang w:val="en-US" w:eastAsia="zh-CN" w:bidi="ar-SA"/>
              </w:rPr>
            </w:pPr>
            <w:r>
              <w:rPr>
                <w:rFonts w:hint="default" w:ascii="仿宋_GB2312" w:hAnsi="仿宋_GB2312" w:eastAsia="仿宋_GB2312" w:cs="仿宋_GB2312"/>
                <w:bCs/>
                <w:kern w:val="2"/>
                <w:sz w:val="28"/>
                <w:lang w:val="en-US" w:eastAsia="zh-CN" w:bidi="ar-SA"/>
              </w:rPr>
              <w:t>B.设备验收合格后，中标人提交金额为合同价款60%的收据并提供合同价款70%的增值税专用发票（含复印件二份），经招标人依照财务制度审核通过后30日支付；</w:t>
            </w:r>
          </w:p>
          <w:p>
            <w:pPr>
              <w:pStyle w:val="131"/>
              <w:keepNext w:val="0"/>
              <w:keepLines w:val="0"/>
              <w:pageBreakBefore w:val="0"/>
              <w:widowControl w:val="0"/>
              <w:numPr>
                <w:ilvl w:val="0"/>
                <w:numId w:val="0"/>
              </w:numPr>
              <w:kinsoku/>
              <w:wordWrap/>
              <w:overflowPunct/>
              <w:topLinePunct w:val="0"/>
              <w:autoSpaceDE/>
              <w:autoSpaceDN/>
              <w:bidi w:val="0"/>
              <w:snapToGrid w:val="0"/>
              <w:spacing w:line="240" w:lineRule="atLeast"/>
              <w:ind w:left="840" w:leftChars="0" w:firstLine="560" w:firstLineChars="200"/>
              <w:jc w:val="left"/>
              <w:textAlignment w:val="auto"/>
              <w:rPr>
                <w:rFonts w:hint="default" w:ascii="仿宋_GB2312" w:hAnsi="仿宋_GB2312" w:eastAsia="仿宋_GB2312" w:cs="仿宋_GB2312"/>
                <w:bCs/>
                <w:kern w:val="2"/>
                <w:sz w:val="28"/>
                <w:lang w:val="en-US" w:eastAsia="zh-CN" w:bidi="ar-SA"/>
              </w:rPr>
            </w:pPr>
            <w:r>
              <w:rPr>
                <w:rFonts w:hint="default" w:ascii="仿宋_GB2312" w:hAnsi="仿宋_GB2312" w:eastAsia="仿宋_GB2312" w:cs="仿宋_GB2312"/>
                <w:bCs/>
                <w:kern w:val="2"/>
                <w:sz w:val="28"/>
                <w:lang w:val="en-US" w:eastAsia="zh-CN" w:bidi="ar-SA"/>
              </w:rPr>
              <w:t>C.合同总价款的10%作为本合同约定设备的质量保证金，质量保证金在质量保证期内不计利息。质保期届满后支付。</w:t>
            </w:r>
          </w:p>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2"/>
        <w:numPr>
          <w:ilvl w:val="0"/>
          <w:numId w:val="3"/>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7" w:name="_Toc11216"/>
      <w:bookmarkStart w:id="8" w:name="_Toc6577"/>
      <w:bookmarkStart w:id="9" w:name="_Toc427"/>
      <w:bookmarkStart w:id="10" w:name="_Toc9448"/>
      <w:bookmarkStart w:id="11" w:name="_Toc27087"/>
      <w:bookmarkStart w:id="12" w:name="_Toc19183"/>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4"/>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4"/>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4"/>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4"/>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4"/>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4"/>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5"/>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5"/>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4"/>
        <w:rPr>
          <w:rFonts w:hint="eastAsia" w:ascii="仿宋_GB2312" w:hAnsi="仿宋_GB2312" w:eastAsia="仿宋_GB2312" w:cs="仿宋_GB2312"/>
          <w:sz w:val="36"/>
          <w:szCs w:val="36"/>
        </w:rPr>
      </w:pPr>
      <w:bookmarkStart w:id="19" w:name="_Toc33285487"/>
      <w:bookmarkStart w:id="20" w:name="_Toc33267001"/>
      <w:bookmarkStart w:id="21" w:name="_Toc33265653"/>
      <w:bookmarkStart w:id="22" w:name="_Toc33266950"/>
      <w:bookmarkStart w:id="23" w:name="_Toc33266914"/>
      <w:bookmarkStart w:id="24" w:name="_Toc30534"/>
      <w:bookmarkStart w:id="25" w:name="_Toc33266627"/>
      <w:bookmarkStart w:id="26" w:name="_Toc33265752"/>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3265753"/>
      <w:bookmarkStart w:id="29" w:name="_Toc33266628"/>
      <w:bookmarkStart w:id="30" w:name="_Toc395116634"/>
      <w:bookmarkStart w:id="31" w:name="_Toc33266951"/>
      <w:bookmarkStart w:id="32" w:name="_Toc33267002"/>
      <w:bookmarkStart w:id="33" w:name="_Toc33265654"/>
      <w:bookmarkStart w:id="34" w:name="_Toc33266915"/>
      <w:bookmarkStart w:id="35" w:name="_Toc33285489"/>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8"/>
    <w:bookmarkEnd w:id="29"/>
    <w:bookmarkEnd w:id="30"/>
    <w:bookmarkEnd w:id="31"/>
    <w:bookmarkEnd w:id="32"/>
    <w:bookmarkEnd w:id="33"/>
    <w:bookmarkEnd w:id="34"/>
    <w:bookmarkEnd w:id="35"/>
    <w:p>
      <w:pPr>
        <w:spacing w:line="360" w:lineRule="auto"/>
        <w:ind w:firstLine="482" w:firstLineChars="200"/>
        <w:rPr>
          <w:rFonts w:hint="eastAsia" w:ascii="仿宋_GB2312" w:hAnsi="仿宋_GB2312" w:eastAsia="仿宋_GB2312" w:cs="仿宋_GB2312"/>
          <w:b/>
          <w:color w:val="000000"/>
          <w:sz w:val="24"/>
          <w:szCs w:val="24"/>
        </w:rPr>
      </w:pPr>
      <w:bookmarkStart w:id="36" w:name="_Toc28416"/>
      <w:r>
        <w:rPr>
          <w:rFonts w:hint="eastAsia" w:ascii="仿宋_GB2312" w:hAnsi="仿宋_GB2312" w:eastAsia="仿宋_GB2312" w:cs="仿宋_GB2312"/>
          <w:b/>
          <w:color w:val="000000"/>
          <w:sz w:val="24"/>
          <w:szCs w:val="24"/>
        </w:rPr>
        <w:t>评标流程：</w:t>
      </w:r>
    </w:p>
    <w:p>
      <w:pPr>
        <w:pStyle w:val="22"/>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pPr>
        <w:pStyle w:val="22"/>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pPr>
        <w:numPr>
          <w:ilvl w:val="0"/>
          <w:numId w:val="7"/>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9"/>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4"/>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6"/>
      <w:bookmarkStart w:id="39" w:name="OLE_LINK25"/>
      <w:bookmarkStart w:id="40" w:name="OLE_LINK27"/>
      <w:bookmarkStart w:id="41" w:name="OLE_LINK29"/>
      <w:bookmarkStart w:id="42" w:name="OLE_LINK28"/>
      <w:r>
        <w:rPr>
          <w:rFonts w:hint="eastAsia" w:ascii="仿宋_GB2312" w:hAnsi="仿宋_GB2312" w:eastAsia="仿宋_GB2312" w:cs="仿宋_GB2312"/>
          <w:bCs/>
          <w:sz w:val="24"/>
          <w:szCs w:val="24"/>
        </w:rPr>
        <w:t>；</w:t>
      </w:r>
      <w:bookmarkEnd w:id="38"/>
      <w:bookmarkEnd w:id="39"/>
      <w:bookmarkEnd w:id="40"/>
      <w:bookmarkEnd w:id="41"/>
      <w:bookmarkEnd w:id="42"/>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4"/>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w:t>
      </w:r>
      <w:r>
        <w:rPr>
          <w:rFonts w:hint="eastAsia" w:ascii="仿宋_GB2312" w:hAnsi="仿宋_GB2312" w:eastAsia="仿宋_GB2312" w:cs="仿宋_GB2312"/>
          <w:sz w:val="36"/>
          <w:szCs w:val="36"/>
          <w:lang w:val="en-US" w:eastAsia="zh-CN"/>
        </w:rPr>
        <w:t>特种车</w:t>
      </w:r>
      <w:r>
        <w:rPr>
          <w:rFonts w:hint="eastAsia" w:ascii="仿宋_GB2312" w:hAnsi="仿宋_GB2312" w:eastAsia="仿宋_GB2312" w:cs="仿宋_GB2312"/>
          <w:sz w:val="36"/>
          <w:szCs w:val="36"/>
        </w:rPr>
        <w:t>有限公司。</w:t>
      </w:r>
      <w:bookmarkEnd w:id="43"/>
    </w:p>
    <w:p>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44" w:name="_Toc2363"/>
      <w:bookmarkStart w:id="45" w:name="_Toc13002"/>
      <w:bookmarkStart w:id="46" w:name="_Toc13479"/>
      <w:bookmarkStart w:id="47" w:name="_Toc31869"/>
      <w:bookmarkStart w:id="48" w:name="_Toc21022"/>
      <w:bookmarkStart w:id="49" w:name="_Toc762"/>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pPr>
        <w:pStyle w:val="4"/>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4"/>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4"/>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3"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3"/>
    </w:p>
    <w:p>
      <w:pPr>
        <w:spacing w:line="360" w:lineRule="auto"/>
        <w:ind w:firstLine="482" w:firstLineChars="200"/>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技术规格偏离表5-1</w:t>
      </w:r>
    </w:p>
    <w:p>
      <w:pPr>
        <w:spacing w:line="360" w:lineRule="auto"/>
        <w:ind w:firstLine="482" w:firstLineChars="200"/>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设备分项配置表5-2</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4" w:name="OLE_LINK18"/>
      <w:bookmarkStart w:id="55" w:name="OLE_LINK19"/>
      <w:r>
        <w:rPr>
          <w:rFonts w:hint="eastAsia" w:ascii="仿宋_GB2312" w:hAnsi="仿宋_GB2312" w:eastAsia="仿宋_GB2312" w:cs="仿宋_GB2312"/>
          <w:b/>
          <w:color w:val="000000"/>
          <w:sz w:val="24"/>
          <w:szCs w:val="24"/>
        </w:rPr>
        <w:t>；</w:t>
      </w:r>
      <w:bookmarkEnd w:id="54"/>
      <w:bookmarkEnd w:id="55"/>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pPr>
        <w:pStyle w:val="4"/>
        <w:rPr>
          <w:rFonts w:hint="eastAsia" w:ascii="仿宋_GB2312" w:hAnsi="仿宋_GB2312" w:eastAsia="仿宋_GB2312" w:cs="仿宋_GB2312"/>
          <w:sz w:val="36"/>
          <w:szCs w:val="36"/>
        </w:rPr>
      </w:pPr>
      <w:bookmarkStart w:id="56" w:name="_Toc15748"/>
      <w:r>
        <w:rPr>
          <w:rFonts w:hint="eastAsia" w:ascii="仿宋_GB2312" w:hAnsi="仿宋_GB2312" w:eastAsia="仿宋_GB2312" w:cs="仿宋_GB2312"/>
          <w:sz w:val="36"/>
          <w:szCs w:val="36"/>
        </w:rPr>
        <w:t>四、投标文件格式</w:t>
      </w:r>
      <w:bookmarkEnd w:id="5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bidi w:val="0"/>
        <w:rPr>
          <w:rFonts w:hint="eastAsia"/>
        </w:rPr>
      </w:pPr>
      <w:bookmarkStart w:id="57" w:name="_Toc4029"/>
      <w:bookmarkStart w:id="58" w:name="_Toc30738"/>
      <w:bookmarkStart w:id="59" w:name="_Toc13562"/>
      <w:bookmarkStart w:id="60" w:name="_Toc4194"/>
      <w:bookmarkStart w:id="61" w:name="_Toc7511"/>
      <w:bookmarkStart w:id="62" w:name="_Toc6957"/>
      <w:bookmarkStart w:id="63" w:name="_Toc18606"/>
      <w:bookmarkStart w:id="64" w:name="_Toc11355"/>
      <w:bookmarkStart w:id="65" w:name="_Toc14517"/>
      <w:bookmarkStart w:id="66" w:name="_Toc16358"/>
      <w:bookmarkStart w:id="67" w:name="_Toc7110"/>
      <w:bookmarkStart w:id="68" w:name="_Toc24964"/>
      <w:bookmarkStart w:id="69" w:name="_Toc32378"/>
      <w:bookmarkStart w:id="70" w:name="_Toc8202"/>
      <w:bookmarkStart w:id="71" w:name="_Toc20467"/>
      <w:bookmarkStart w:id="72" w:name="_Toc24913"/>
      <w:bookmarkStart w:id="73" w:name="_Toc13555"/>
      <w:bookmarkStart w:id="74" w:name="_Toc18182"/>
      <w:bookmarkStart w:id="75" w:name="_Toc12714"/>
      <w:bookmarkStart w:id="76" w:name="_Toc12563"/>
      <w:bookmarkStart w:id="77" w:name="_Toc1884"/>
      <w:bookmarkStart w:id="78" w:name="_Toc22649"/>
      <w:bookmarkStart w:id="79" w:name="_Toc6346"/>
      <w:bookmarkStart w:id="80" w:name="_Toc3372"/>
      <w:bookmarkStart w:id="81" w:name="_Toc8032"/>
      <w:bookmarkStart w:id="82" w:name="_Toc4532"/>
      <w:bookmarkStart w:id="83" w:name="_Toc19672"/>
      <w:bookmarkStart w:id="84" w:name="_Toc28236"/>
      <w:bookmarkStart w:id="85" w:name="_Toc3565"/>
      <w:bookmarkStart w:id="86" w:name="_Toc21497"/>
      <w:bookmarkStart w:id="87" w:name="_Toc13988"/>
      <w:bookmarkStart w:id="88" w:name="_Toc18805"/>
      <w:bookmarkStart w:id="89" w:name="_Toc13605"/>
      <w:bookmarkStart w:id="90" w:name="_Toc23870"/>
      <w:bookmarkStart w:id="91" w:name="_Toc4483"/>
      <w:bookmarkStart w:id="92" w:name="_Toc12552"/>
      <w:bookmarkStart w:id="93" w:name="_Toc20272"/>
      <w:bookmarkStart w:id="94" w:name="_Toc133783966"/>
    </w:p>
    <w:p>
      <w:pPr>
        <w:bidi w:val="0"/>
        <w:rPr>
          <w:rFonts w:hint="eastAsia"/>
        </w:rPr>
      </w:pPr>
    </w:p>
    <w:p>
      <w:pPr>
        <w:bidi w:val="0"/>
        <w:rPr>
          <w:rFonts w:hint="eastAsia"/>
        </w:rPr>
      </w:pPr>
    </w:p>
    <w:p>
      <w:pPr>
        <w:bidi w:val="0"/>
        <w:rPr>
          <w:rFonts w:hint="eastAsia"/>
        </w:rPr>
      </w:pPr>
    </w:p>
    <w:p>
      <w:pPr>
        <w:bidi w:val="0"/>
        <w:rPr>
          <w:rFonts w:hint="eastAsia"/>
        </w:rPr>
      </w:pPr>
    </w:p>
    <w:p>
      <w:pPr>
        <w:pStyle w:val="2"/>
        <w:numPr>
          <w:ilvl w:val="0"/>
          <w:numId w:val="10"/>
        </w:numPr>
        <w:spacing w:line="360" w:lineRule="auto"/>
        <w:rPr>
          <w:rFonts w:hint="eastAsia" w:ascii="仿宋_GB2312" w:hAnsi="仿宋_GB2312" w:eastAsia="仿宋_GB2312" w:cs="仿宋_GB2312"/>
          <w:sz w:val="44"/>
          <w:highlight w:val="green"/>
        </w:rPr>
      </w:pPr>
      <w:bookmarkStart w:id="95" w:name="_Toc10008"/>
      <w:r>
        <w:rPr>
          <w:rFonts w:hint="eastAsia" w:ascii="仿宋_GB2312" w:hAnsi="仿宋_GB2312" w:eastAsia="仿宋_GB2312" w:cs="仿宋_GB2312"/>
          <w:sz w:val="44"/>
          <w:highlight w:val="green"/>
        </w:rPr>
        <w:t>技术标书</w:t>
      </w:r>
      <w:bookmarkEnd w:id="95"/>
    </w:p>
    <w:p>
      <w:pPr>
        <w:rPr>
          <w:rFonts w:hint="eastAsia" w:ascii="仿宋_GB2312" w:hAnsi="仿宋_GB2312" w:eastAsia="仿宋_GB2312" w:cs="仿宋_GB2312"/>
          <w:sz w:val="44"/>
          <w:highlight w:val="green"/>
        </w:rPr>
        <w:sectPr>
          <w:headerReference r:id="rId8" w:type="default"/>
          <w:footerReference r:id="rId9" w:type="default"/>
          <w:pgSz w:w="11907" w:h="16840"/>
          <w:pgMar w:top="1304" w:right="1418" w:bottom="1304" w:left="1418" w:header="724" w:footer="851" w:gutter="0"/>
          <w:cols w:space="720" w:num="1"/>
          <w:docGrid w:linePitch="290" w:charSpace="-3931"/>
        </w:sectPr>
      </w:pPr>
    </w:p>
    <w:p>
      <w:pPr>
        <w:pStyle w:val="171"/>
        <w:jc w:val="both"/>
        <w:rPr>
          <w:rFonts w:hint="eastAsia"/>
        </w:rPr>
      </w:pPr>
      <w:bookmarkStart w:id="96" w:name="_Toc47976607"/>
    </w:p>
    <w:p>
      <w:pPr>
        <w:pStyle w:val="171"/>
        <w:jc w:val="both"/>
        <w:rPr>
          <w:rFonts w:hint="eastAsia"/>
        </w:rPr>
      </w:pPr>
    </w:p>
    <w:p>
      <w:pPr>
        <w:pStyle w:val="171"/>
        <w:jc w:val="center"/>
        <w:rPr>
          <w:rFonts w:hint="eastAsia"/>
        </w:rPr>
      </w:pPr>
      <w:bookmarkStart w:id="97" w:name="_Toc1910"/>
    </w:p>
    <w:bookmarkEnd w:id="96"/>
    <w:bookmarkEnd w:id="97"/>
    <w:p>
      <w:pPr>
        <w:keepNext w:val="0"/>
        <w:keepLines w:val="0"/>
        <w:widowControl w:val="0"/>
        <w:suppressLineNumbers w:val="0"/>
        <w:spacing w:before="0" w:beforeAutospacing="0" w:after="0" w:afterAutospacing="0"/>
        <w:ind w:left="0" w:right="0"/>
        <w:jc w:val="center"/>
        <w:rPr>
          <w:rFonts w:hint="eastAsia" w:ascii="宋体" w:hAnsi="宋体" w:eastAsia="宋体" w:cs="宋体"/>
          <w:b/>
          <w:bCs/>
          <w:color w:val="auto"/>
          <w:spacing w:val="-8"/>
          <w:sz w:val="48"/>
          <w:szCs w:val="44"/>
        </w:rPr>
      </w:pPr>
      <w:r>
        <w:rPr>
          <w:rFonts w:hint="eastAsia" w:ascii="宋体" w:hAnsi="宋体" w:eastAsia="宋体" w:cs="宋体"/>
          <w:b/>
          <w:bCs/>
          <w:color w:val="auto"/>
          <w:spacing w:val="-8"/>
          <w:sz w:val="48"/>
          <w:szCs w:val="44"/>
        </w:rPr>
        <w:t>特种车公司</w:t>
      </w:r>
    </w:p>
    <w:p>
      <w:pPr>
        <w:keepNext w:val="0"/>
        <w:keepLines w:val="0"/>
        <w:widowControl w:val="0"/>
        <w:suppressLineNumbers w:val="0"/>
        <w:spacing w:before="0" w:beforeAutospacing="0" w:after="0" w:afterAutospacing="0"/>
        <w:ind w:left="0" w:right="0"/>
        <w:jc w:val="center"/>
        <w:rPr>
          <w:rFonts w:hint="eastAsia" w:ascii="宋体" w:hAnsi="宋体" w:eastAsia="宋体" w:cs="宋体"/>
          <w:b/>
          <w:bCs/>
          <w:color w:val="auto"/>
          <w:spacing w:val="-8"/>
          <w:sz w:val="48"/>
          <w:szCs w:val="44"/>
        </w:rPr>
      </w:pPr>
      <w:r>
        <w:rPr>
          <w:rFonts w:hint="eastAsia" w:ascii="宋体" w:hAnsi="宋体" w:eastAsia="宋体" w:cs="宋体"/>
          <w:b/>
          <w:bCs/>
          <w:color w:val="auto"/>
          <w:spacing w:val="-8"/>
          <w:sz w:val="48"/>
          <w:szCs w:val="44"/>
          <w:lang w:val="en-US" w:eastAsia="zh-CN"/>
        </w:rPr>
        <w:t>内饰线改造及新增标定设备技改项目包2-新增车轮直行定位仪项目</w:t>
      </w:r>
    </w:p>
    <w:p>
      <w:pPr>
        <w:pStyle w:val="22"/>
        <w:framePr w:wrap="around" w:vAnchor="margin" w:hAnchor="text" w:y="1"/>
        <w:rPr>
          <w:color w:val="auto"/>
        </w:rPr>
      </w:pPr>
    </w:p>
    <w:p>
      <w:pPr>
        <w:jc w:val="center"/>
        <w:rPr>
          <w:rFonts w:ascii="黑体" w:hAnsi="宋体" w:eastAsia="黑体" w:cs="Times New Roman"/>
          <w:color w:val="auto"/>
          <w:sz w:val="72"/>
          <w:szCs w:val="72"/>
        </w:rPr>
      </w:pPr>
    </w:p>
    <w:p>
      <w:pPr>
        <w:jc w:val="center"/>
        <w:rPr>
          <w:rFonts w:ascii="黑体" w:hAnsi="宋体" w:eastAsia="黑体" w:cs="Times New Roman"/>
          <w:color w:val="auto"/>
          <w:sz w:val="72"/>
          <w:szCs w:val="72"/>
        </w:rPr>
      </w:pP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技</w:t>
      </w: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术</w:t>
      </w: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标</w:t>
      </w: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书</w:t>
      </w:r>
    </w:p>
    <w:p>
      <w:pPr>
        <w:pStyle w:val="22"/>
        <w:framePr w:wrap="around" w:vAnchor="margin" w:hAnchor="text" w:y="1"/>
        <w:rPr>
          <w:color w:val="auto"/>
        </w:rPr>
      </w:pPr>
    </w:p>
    <w:p>
      <w:pPr>
        <w:spacing w:line="860" w:lineRule="exact"/>
        <w:rPr>
          <w:rFonts w:ascii="华文仿宋" w:hAnsi="华文仿宋" w:eastAsia="华文仿宋"/>
          <w:b/>
          <w:bCs/>
          <w:color w:val="auto"/>
          <w:sz w:val="32"/>
          <w:szCs w:val="28"/>
        </w:rPr>
      </w:pPr>
      <w:r>
        <w:rPr>
          <w:rFonts w:hint="eastAsia" w:ascii="华文仿宋" w:hAnsi="华文仿宋" w:eastAsia="华文仿宋"/>
          <w:color w:val="auto"/>
          <w:sz w:val="32"/>
          <w:szCs w:val="28"/>
        </w:rPr>
        <w:t xml:space="preserve">                </w:t>
      </w:r>
      <w:r>
        <w:rPr>
          <w:rFonts w:hint="eastAsia" w:ascii="华文仿宋" w:hAnsi="华文仿宋" w:eastAsia="华文仿宋"/>
          <w:b/>
          <w:bCs/>
          <w:color w:val="auto"/>
          <w:sz w:val="32"/>
          <w:szCs w:val="28"/>
        </w:rPr>
        <w:t xml:space="preserve">                                         </w:t>
      </w:r>
    </w:p>
    <w:p>
      <w:pPr>
        <w:spacing w:line="860" w:lineRule="exact"/>
        <w:rPr>
          <w:rFonts w:ascii="华文仿宋" w:hAnsi="华文仿宋" w:eastAsia="华文仿宋"/>
          <w:b/>
          <w:bCs/>
          <w:color w:val="auto"/>
          <w:sz w:val="32"/>
          <w:szCs w:val="28"/>
        </w:rPr>
      </w:pPr>
      <w:r>
        <w:rPr>
          <w:rFonts w:hint="eastAsia" w:ascii="华文仿宋" w:hAnsi="华文仿宋" w:eastAsia="华文仿宋"/>
          <w:b/>
          <w:bCs/>
          <w:color w:val="auto"/>
          <w:sz w:val="32"/>
          <w:szCs w:val="28"/>
        </w:rPr>
        <w:t xml:space="preserve">                      </w:t>
      </w:r>
    </w:p>
    <w:p>
      <w:pPr>
        <w:jc w:val="center"/>
        <w:rPr>
          <w:rFonts w:hint="eastAsia" w:ascii="宋体" w:hAnsi="宋体" w:eastAsia="宋体" w:cs="Times New Roman"/>
          <w:color w:val="auto"/>
          <w:sz w:val="28"/>
          <w:szCs w:val="28"/>
        </w:rPr>
      </w:pPr>
    </w:p>
    <w:p>
      <w:pPr>
        <w:jc w:val="center"/>
        <w:rPr>
          <w:rFonts w:hint="eastAsia" w:ascii="宋体" w:hAnsi="宋体" w:eastAsia="宋体" w:cs="Times New Roman"/>
          <w:color w:val="auto"/>
          <w:sz w:val="28"/>
          <w:szCs w:val="28"/>
        </w:rPr>
      </w:pPr>
    </w:p>
    <w:p>
      <w:pPr>
        <w:jc w:val="center"/>
        <w:rPr>
          <w:rFonts w:hint="eastAsia" w:ascii="Calibri" w:hAnsi="Calibri" w:eastAsia="宋体" w:cs="Times New Roman"/>
          <w:color w:val="auto"/>
          <w:sz w:val="28"/>
          <w:szCs w:val="28"/>
        </w:rPr>
      </w:pPr>
    </w:p>
    <w:p>
      <w:pPr>
        <w:jc w:val="center"/>
        <w:rPr>
          <w:rFonts w:hint="eastAsia" w:ascii="Calibri" w:hAnsi="Calibri" w:eastAsia="宋体" w:cs="Times New Roman"/>
          <w:color w:val="auto"/>
          <w:sz w:val="28"/>
          <w:szCs w:val="28"/>
        </w:rPr>
      </w:pPr>
    </w:p>
    <w:p>
      <w:pPr>
        <w:spacing w:line="480" w:lineRule="exact"/>
        <w:rPr>
          <w:rFonts w:ascii="黑体" w:hAnsi="宋体" w:eastAsia="黑体"/>
          <w:color w:val="auto"/>
        </w:rPr>
        <w:sectPr>
          <w:headerReference r:id="rId10" w:type="default"/>
          <w:footerReference r:id="rId11" w:type="default"/>
          <w:pgSz w:w="11906" w:h="16838"/>
          <w:pgMar w:top="1701" w:right="1418" w:bottom="1134" w:left="1701" w:header="1021" w:footer="680" w:gutter="0"/>
          <w:pgNumType w:start="1"/>
          <w:cols w:space="720" w:num="1"/>
          <w:docGrid w:type="lines" w:linePitch="312" w:charSpace="0"/>
        </w:sectPr>
      </w:pPr>
    </w:p>
    <w:p>
      <w:pPr>
        <w:pStyle w:val="2"/>
        <w:spacing w:before="120" w:after="120" w:line="480" w:lineRule="exact"/>
        <w:jc w:val="center"/>
        <w:rPr>
          <w:rFonts w:hint="eastAsia" w:ascii="黑体" w:eastAsia="黑体"/>
          <w:b w:val="0"/>
          <w:color w:val="auto"/>
          <w:sz w:val="24"/>
          <w:szCs w:val="24"/>
        </w:rPr>
      </w:pPr>
      <w:bookmarkStart w:id="98" w:name="_Toc137705865"/>
      <w:bookmarkStart w:id="99" w:name="_Toc2894"/>
      <w:bookmarkStart w:id="100" w:name="_Toc28854"/>
      <w:bookmarkStart w:id="101" w:name="_Toc1271"/>
      <w:bookmarkStart w:id="102" w:name="_Toc2567"/>
      <w:r>
        <w:rPr>
          <w:rFonts w:hint="eastAsia" w:ascii="黑体" w:eastAsia="黑体"/>
          <w:b w:val="0"/>
          <w:color w:val="auto"/>
          <w:sz w:val="24"/>
          <w:szCs w:val="24"/>
        </w:rPr>
        <w:t>第一章  采购货物概况</w:t>
      </w:r>
      <w:bookmarkEnd w:id="98"/>
      <w:bookmarkEnd w:id="99"/>
      <w:bookmarkEnd w:id="100"/>
      <w:bookmarkEnd w:id="101"/>
      <w:bookmarkEnd w:id="102"/>
    </w:p>
    <w:p>
      <w:pPr>
        <w:spacing w:line="480" w:lineRule="exact"/>
        <w:rPr>
          <w:rFonts w:hint="eastAsia" w:ascii="黑体" w:hAnsi="宋体" w:eastAsia="黑体"/>
          <w:color w:val="auto"/>
        </w:rPr>
      </w:pPr>
    </w:p>
    <w:p>
      <w:pPr>
        <w:pStyle w:val="4"/>
        <w:spacing w:before="120" w:after="120" w:line="480" w:lineRule="exact"/>
        <w:jc w:val="center"/>
        <w:rPr>
          <w:rFonts w:hint="eastAsia"/>
          <w:b w:val="0"/>
          <w:color w:val="auto"/>
          <w:sz w:val="24"/>
          <w:szCs w:val="24"/>
        </w:rPr>
      </w:pPr>
      <w:bookmarkStart w:id="103" w:name="_Toc13530"/>
      <w:bookmarkStart w:id="104" w:name="_Toc9247"/>
      <w:bookmarkStart w:id="105" w:name="_Toc24900"/>
      <w:bookmarkStart w:id="106" w:name="_Toc137705866"/>
      <w:bookmarkStart w:id="107" w:name="_Toc13953"/>
      <w:r>
        <w:rPr>
          <w:rFonts w:hint="eastAsia"/>
          <w:b w:val="0"/>
          <w:color w:val="auto"/>
          <w:sz w:val="24"/>
          <w:szCs w:val="24"/>
        </w:rPr>
        <w:t>第一节  使用环境</w:t>
      </w:r>
      <w:bookmarkEnd w:id="103"/>
      <w:bookmarkEnd w:id="104"/>
      <w:bookmarkEnd w:id="105"/>
      <w:bookmarkEnd w:id="106"/>
      <w:bookmarkEnd w:id="107"/>
    </w:p>
    <w:p>
      <w:pPr>
        <w:spacing w:line="480" w:lineRule="exact"/>
        <w:ind w:firstLine="420" w:firstLineChars="200"/>
        <w:rPr>
          <w:rFonts w:hint="eastAsia" w:ascii="黑体" w:hAnsi="宋体" w:eastAsia="黑体"/>
          <w:color w:val="auto"/>
          <w:u w:val="single"/>
          <w:shd w:val="pct10" w:color="auto" w:fill="FFFFFF"/>
        </w:rPr>
      </w:pPr>
      <w:r>
        <w:rPr>
          <w:rFonts w:hint="eastAsia" w:ascii="黑体" w:hAnsi="宋体" w:eastAsia="黑体"/>
          <w:color w:val="auto"/>
        </w:rPr>
        <w:t>一、项目名称：</w:t>
      </w:r>
      <w:r>
        <w:rPr>
          <w:rFonts w:hint="eastAsia" w:ascii="黑体" w:hAnsi="宋体" w:eastAsia="黑体"/>
          <w:color w:val="auto"/>
          <w:u w:val="single"/>
          <w:shd w:val="pct10" w:color="auto" w:fill="FFFFFF"/>
        </w:rPr>
        <w:t xml:space="preserve"> </w:t>
      </w:r>
      <w:r>
        <w:rPr>
          <w:rFonts w:hint="eastAsia" w:ascii="黑体" w:hAnsi="宋体" w:eastAsia="黑体"/>
          <w:color w:val="auto"/>
          <w:u w:val="single"/>
          <w:shd w:val="pct10" w:color="auto" w:fill="FFFFFF"/>
          <w:lang w:val="en-US" w:eastAsia="zh-CN"/>
        </w:rPr>
        <w:t>特种车公司</w:t>
      </w:r>
      <w:r>
        <w:rPr>
          <w:rFonts w:hint="eastAsia" w:ascii="宋体" w:hAnsi="宋体" w:eastAsia="宋体" w:cs="宋体"/>
          <w:color w:val="auto"/>
          <w:u w:val="single"/>
          <w:shd w:val="pct10" w:color="auto" w:fill="FFFFFF"/>
          <w:lang w:val="en-US" w:eastAsia="zh-CN"/>
        </w:rPr>
        <w:t>新增车轮直行定位仪</w:t>
      </w:r>
      <w:r>
        <w:rPr>
          <w:rFonts w:hint="eastAsia" w:ascii="宋体" w:hAnsi="宋体"/>
          <w:color w:val="auto"/>
          <w:u w:val="single"/>
          <w:shd w:val="pct10" w:color="auto" w:fill="FFFFFF"/>
        </w:rPr>
        <w:t>项目</w:t>
      </w:r>
      <w:r>
        <w:rPr>
          <w:rFonts w:hint="eastAsia" w:ascii="黑体" w:hAnsi="宋体" w:eastAsia="黑体"/>
          <w:color w:val="auto"/>
          <w:u w:val="single"/>
          <w:shd w:val="pct10" w:color="auto" w:fill="FFFFFF"/>
        </w:rPr>
        <w:t xml:space="preserve">   </w:t>
      </w:r>
    </w:p>
    <w:p>
      <w:pPr>
        <w:spacing w:line="480" w:lineRule="exact"/>
        <w:ind w:firstLine="420" w:firstLineChars="200"/>
        <w:rPr>
          <w:rFonts w:hint="eastAsia" w:ascii="宋体" w:hAnsi="宋体"/>
          <w:color w:val="auto"/>
        </w:rPr>
      </w:pPr>
      <w:r>
        <w:rPr>
          <w:rFonts w:hint="eastAsia" w:ascii="黑体" w:hAnsi="宋体" w:eastAsia="黑体"/>
          <w:color w:val="auto"/>
        </w:rPr>
        <w:t>二、建设地点：</w:t>
      </w:r>
      <w:r>
        <w:rPr>
          <w:rFonts w:hint="eastAsia" w:ascii="宋体" w:hAnsi="宋体"/>
          <w:color w:val="auto"/>
          <w:u w:val="single"/>
          <w:shd w:val="pct10" w:color="auto" w:fill="FFFFFF"/>
        </w:rPr>
        <w:t xml:space="preserve"> 中国重汽集团</w:t>
      </w:r>
      <w:r>
        <w:rPr>
          <w:rFonts w:hint="eastAsia" w:ascii="宋体" w:hAnsi="宋体"/>
          <w:color w:val="auto"/>
          <w:highlight w:val="none"/>
          <w:u w:val="single"/>
          <w:shd w:val="pct10" w:color="auto" w:fill="FFFFFF"/>
        </w:rPr>
        <w:t>济南</w:t>
      </w:r>
      <w:r>
        <w:rPr>
          <w:rFonts w:hint="eastAsia" w:ascii="宋体" w:hAnsi="宋体"/>
          <w:color w:val="auto"/>
          <w:highlight w:val="none"/>
          <w:u w:val="single"/>
          <w:shd w:val="pct10" w:color="auto" w:fill="FFFFFF"/>
          <w:lang w:val="en-US" w:eastAsia="zh-CN"/>
        </w:rPr>
        <w:t>特种车</w:t>
      </w:r>
      <w:r>
        <w:rPr>
          <w:rFonts w:hint="eastAsia" w:ascii="宋体" w:hAnsi="宋体"/>
          <w:color w:val="auto"/>
          <w:highlight w:val="none"/>
          <w:u w:val="single"/>
          <w:shd w:val="pct10" w:color="auto" w:fill="FFFFFF"/>
        </w:rPr>
        <w:t>有限公司</w:t>
      </w:r>
      <w:r>
        <w:rPr>
          <w:rFonts w:hint="eastAsia" w:ascii="宋体" w:hAnsi="宋体"/>
          <w:color w:val="auto"/>
          <w:highlight w:val="none"/>
          <w:u w:val="single"/>
          <w:shd w:val="pct10" w:color="auto" w:fill="FFFFFF"/>
          <w:lang w:val="en-US" w:eastAsia="zh-CN"/>
        </w:rPr>
        <w:t>总七车间</w:t>
      </w:r>
      <w:r>
        <w:rPr>
          <w:rFonts w:hint="eastAsia" w:ascii="宋体" w:hAnsi="宋体"/>
          <w:color w:val="auto"/>
          <w:u w:val="single"/>
          <w:shd w:val="pct10" w:color="auto" w:fill="FFFFFF"/>
        </w:rPr>
        <w:t xml:space="preserve">     </w:t>
      </w:r>
    </w:p>
    <w:p>
      <w:pPr>
        <w:spacing w:line="480" w:lineRule="exact"/>
        <w:ind w:firstLine="420" w:firstLineChars="200"/>
        <w:rPr>
          <w:rFonts w:hint="eastAsia" w:ascii="宋体" w:hAnsi="宋体"/>
          <w:color w:val="auto"/>
          <w:u w:val="single"/>
          <w:shd w:val="pct10" w:color="auto" w:fill="FFFFFF"/>
        </w:rPr>
      </w:pPr>
      <w:r>
        <w:rPr>
          <w:rFonts w:hint="eastAsia" w:ascii="黑体" w:hAnsi="宋体" w:eastAsia="黑体"/>
          <w:color w:val="auto"/>
        </w:rPr>
        <w:t>三、使用地点：</w:t>
      </w:r>
      <w:r>
        <w:rPr>
          <w:rFonts w:hint="eastAsia" w:ascii="宋体" w:hAnsi="宋体"/>
          <w:color w:val="auto"/>
          <w:u w:val="single"/>
          <w:shd w:val="pct10" w:color="auto" w:fill="FFFFFF"/>
        </w:rPr>
        <w:t xml:space="preserve"> 中国重汽集团</w:t>
      </w:r>
      <w:r>
        <w:rPr>
          <w:rFonts w:hint="eastAsia" w:ascii="宋体" w:hAnsi="宋体"/>
          <w:color w:val="auto"/>
          <w:highlight w:val="none"/>
          <w:u w:val="single"/>
          <w:shd w:val="pct10" w:color="auto" w:fill="FFFFFF"/>
        </w:rPr>
        <w:t>济南</w:t>
      </w:r>
      <w:r>
        <w:rPr>
          <w:rFonts w:hint="eastAsia" w:ascii="宋体" w:hAnsi="宋体"/>
          <w:color w:val="auto"/>
          <w:highlight w:val="none"/>
          <w:u w:val="single"/>
          <w:shd w:val="pct10" w:color="auto" w:fill="FFFFFF"/>
          <w:lang w:val="en-US" w:eastAsia="zh-CN"/>
        </w:rPr>
        <w:t>特种车</w:t>
      </w:r>
      <w:r>
        <w:rPr>
          <w:rFonts w:hint="eastAsia" w:ascii="宋体" w:hAnsi="宋体"/>
          <w:color w:val="auto"/>
          <w:highlight w:val="none"/>
          <w:u w:val="single"/>
          <w:shd w:val="pct10" w:color="auto" w:fill="FFFFFF"/>
        </w:rPr>
        <w:t>有限公司</w:t>
      </w:r>
      <w:r>
        <w:rPr>
          <w:rFonts w:hint="eastAsia" w:ascii="宋体" w:hAnsi="宋体"/>
          <w:color w:val="auto"/>
          <w:highlight w:val="none"/>
          <w:u w:val="single"/>
          <w:shd w:val="pct10" w:color="auto" w:fill="FFFFFF"/>
          <w:lang w:val="en-US" w:eastAsia="zh-CN"/>
        </w:rPr>
        <w:t>总七车间</w:t>
      </w:r>
      <w:r>
        <w:rPr>
          <w:rFonts w:hint="eastAsia" w:ascii="宋体" w:hAnsi="宋体"/>
          <w:color w:val="auto"/>
          <w:u w:val="single"/>
          <w:shd w:val="pct10" w:color="auto" w:fill="FFFFFF"/>
        </w:rPr>
        <w:t xml:space="preserve">  </w:t>
      </w:r>
    </w:p>
    <w:p>
      <w:pPr>
        <w:spacing w:line="480" w:lineRule="exact"/>
        <w:ind w:firstLine="420" w:firstLineChars="200"/>
        <w:rPr>
          <w:rFonts w:hint="eastAsia" w:ascii="宋体" w:hAnsi="宋体"/>
          <w:color w:val="auto"/>
        </w:rPr>
      </w:pPr>
      <w:r>
        <w:rPr>
          <w:rFonts w:hint="eastAsia" w:ascii="黑体" w:hAnsi="宋体" w:eastAsia="黑体"/>
          <w:color w:val="auto"/>
        </w:rPr>
        <w:t>四、工作制度：</w:t>
      </w:r>
      <w:r>
        <w:rPr>
          <w:rFonts w:hint="eastAsia" w:ascii="宋体" w:hAnsi="宋体"/>
          <w:color w:val="auto"/>
        </w:rPr>
        <w:t>全年工作</w:t>
      </w:r>
      <w:r>
        <w:rPr>
          <w:rFonts w:hint="eastAsia" w:ascii="宋体" w:hAnsi="宋体"/>
          <w:color w:val="auto"/>
          <w:lang w:val="en-US" w:eastAsia="zh-CN"/>
        </w:rPr>
        <w:t>300</w:t>
      </w:r>
      <w:r>
        <w:rPr>
          <w:rFonts w:hint="eastAsia" w:ascii="宋体" w:hAnsi="宋体"/>
          <w:color w:val="auto"/>
        </w:rPr>
        <w:t>天、</w:t>
      </w:r>
      <w:r>
        <w:rPr>
          <w:rFonts w:hint="eastAsia" w:ascii="宋体" w:hAnsi="宋体"/>
          <w:color w:val="auto"/>
          <w:u w:val="single"/>
          <w:shd w:val="pct10" w:color="auto" w:fill="FFFFFF"/>
        </w:rPr>
        <w:t xml:space="preserve">   </w:t>
      </w:r>
      <w:r>
        <w:rPr>
          <w:rFonts w:hint="eastAsia" w:ascii="宋体" w:hAnsi="宋体"/>
          <w:color w:val="auto"/>
          <w:u w:val="single"/>
          <w:shd w:val="pct10" w:color="auto" w:fill="FFFFFF"/>
          <w:lang w:val="en-US" w:eastAsia="zh-CN"/>
        </w:rPr>
        <w:t>1</w:t>
      </w:r>
      <w:r>
        <w:rPr>
          <w:rFonts w:hint="eastAsia" w:ascii="宋体" w:hAnsi="宋体"/>
          <w:color w:val="auto"/>
          <w:u w:val="single"/>
          <w:shd w:val="pct10" w:color="auto" w:fill="FFFFFF"/>
        </w:rPr>
        <w:t xml:space="preserve">  </w:t>
      </w:r>
      <w:r>
        <w:rPr>
          <w:rFonts w:hint="eastAsia" w:ascii="宋体" w:hAnsi="宋体"/>
          <w:color w:val="auto"/>
        </w:rPr>
        <w:t>班制、设备年时基数</w:t>
      </w:r>
      <w:r>
        <w:rPr>
          <w:rFonts w:hint="eastAsia" w:ascii="宋体" w:hAnsi="宋体"/>
          <w:color w:val="auto"/>
          <w:u w:val="single"/>
          <w:shd w:val="pct10" w:color="auto" w:fill="FFFFFF"/>
        </w:rPr>
        <w:t xml:space="preserve"> </w:t>
      </w:r>
      <w:r>
        <w:rPr>
          <w:rFonts w:hint="eastAsia" w:ascii="宋体" w:hAnsi="宋体"/>
          <w:color w:val="auto"/>
          <w:u w:val="single"/>
          <w:shd w:val="pct10" w:color="auto" w:fill="FFFFFF"/>
          <w:lang w:val="en-US" w:eastAsia="zh-CN"/>
        </w:rPr>
        <w:t>3</w:t>
      </w:r>
      <w:r>
        <w:rPr>
          <w:rFonts w:hint="eastAsia" w:ascii="宋体" w:hAnsi="宋体"/>
          <w:color w:val="auto"/>
          <w:u w:val="single"/>
          <w:shd w:val="pct10" w:color="auto" w:fill="FFFFFF"/>
        </w:rPr>
        <w:t xml:space="preserve">000 </w:t>
      </w:r>
      <w:r>
        <w:rPr>
          <w:rFonts w:hint="eastAsia" w:ascii="宋体" w:hAnsi="宋体"/>
          <w:color w:val="auto"/>
        </w:rPr>
        <w:t>小时</w:t>
      </w:r>
    </w:p>
    <w:p>
      <w:pPr>
        <w:spacing w:line="480" w:lineRule="exact"/>
        <w:ind w:firstLine="420" w:firstLineChars="200"/>
        <w:rPr>
          <w:rFonts w:hint="eastAsia" w:ascii="黑体" w:hAnsi="宋体" w:eastAsia="黑体"/>
          <w:color w:val="auto"/>
        </w:rPr>
      </w:pPr>
      <w:r>
        <w:rPr>
          <w:rFonts w:hint="eastAsia" w:ascii="黑体" w:hAnsi="宋体" w:eastAsia="黑体"/>
          <w:color w:val="auto"/>
        </w:rPr>
        <w:t>五、使用地点区域自然环境：</w:t>
      </w:r>
    </w:p>
    <w:p>
      <w:pPr>
        <w:spacing w:line="480" w:lineRule="exact"/>
        <w:ind w:firstLine="420" w:firstLineChars="200"/>
        <w:rPr>
          <w:rFonts w:hint="eastAsia" w:ascii="宋体" w:hAnsi="宋体"/>
          <w:color w:val="auto"/>
        </w:rPr>
      </w:pPr>
      <w:r>
        <w:rPr>
          <w:rFonts w:hint="eastAsia" w:ascii="宋体" w:hAnsi="宋体"/>
          <w:bCs/>
          <w:color w:val="auto"/>
        </w:rPr>
        <w:t>1、海拨高度：1000</w:t>
      </w:r>
      <w:r>
        <w:rPr>
          <w:rFonts w:ascii="宋体" w:hAnsi="宋体"/>
          <w:bCs/>
          <w:color w:val="auto"/>
        </w:rPr>
        <w:t>m</w:t>
      </w:r>
      <w:r>
        <w:rPr>
          <w:rFonts w:hint="eastAsia" w:ascii="宋体" w:hAnsi="宋体"/>
          <w:bCs/>
          <w:color w:val="auto"/>
        </w:rPr>
        <w:t>以下</w:t>
      </w:r>
    </w:p>
    <w:p>
      <w:pPr>
        <w:spacing w:line="480" w:lineRule="exact"/>
        <w:ind w:left="2047" w:leftChars="200" w:hanging="1627" w:hangingChars="775"/>
        <w:rPr>
          <w:rFonts w:hint="eastAsia" w:ascii="宋体" w:hAnsi="宋体"/>
          <w:color w:val="auto"/>
        </w:rPr>
      </w:pPr>
      <w:r>
        <w:rPr>
          <w:rFonts w:hint="eastAsia" w:ascii="宋体" w:hAnsi="宋体"/>
          <w:color w:val="auto"/>
        </w:rPr>
        <w:t>2、环境温度：室外极端最低温度-19.7℃、极端最高温度42℃，昼夜最大温</w:t>
      </w:r>
      <w:r>
        <w:rPr>
          <w:rFonts w:hint="eastAsia" w:ascii="宋体" w:hAnsi="宋体"/>
          <w:bCs/>
          <w:color w:val="auto"/>
        </w:rPr>
        <w:t>差25℃；室内温度5～40℃。</w:t>
      </w:r>
    </w:p>
    <w:p>
      <w:pPr>
        <w:spacing w:line="480" w:lineRule="exact"/>
        <w:ind w:firstLine="420" w:firstLineChars="200"/>
        <w:rPr>
          <w:rFonts w:hint="eastAsia" w:ascii="宋体" w:hAnsi="宋体"/>
          <w:color w:val="auto"/>
        </w:rPr>
      </w:pPr>
      <w:r>
        <w:rPr>
          <w:rFonts w:hint="eastAsia" w:ascii="宋体" w:hAnsi="宋体"/>
          <w:color w:val="auto"/>
        </w:rPr>
        <w:t>3、相对湿度：年平均59%，</w:t>
      </w:r>
      <w:r>
        <w:rPr>
          <w:rFonts w:hint="eastAsia" w:ascii="宋体" w:hAnsi="宋体"/>
          <w:bCs/>
          <w:color w:val="auto"/>
        </w:rPr>
        <w:t>最大95%、最小15%。</w:t>
      </w:r>
    </w:p>
    <w:p>
      <w:pPr>
        <w:spacing w:line="480" w:lineRule="exact"/>
        <w:ind w:firstLine="420" w:firstLineChars="200"/>
        <w:rPr>
          <w:rFonts w:hint="eastAsia" w:ascii="宋体" w:hAnsi="宋体"/>
          <w:color w:val="auto"/>
        </w:rPr>
      </w:pPr>
      <w:r>
        <w:rPr>
          <w:rFonts w:hint="eastAsia" w:ascii="宋体" w:hAnsi="宋体"/>
          <w:color w:val="auto"/>
        </w:rPr>
        <w:t>4、降雨量：日最大降雨量300mm、时最大降雨量100mm。</w:t>
      </w:r>
    </w:p>
    <w:p>
      <w:pPr>
        <w:spacing w:line="480" w:lineRule="exact"/>
        <w:ind w:firstLine="420" w:firstLineChars="200"/>
        <w:rPr>
          <w:rFonts w:hint="eastAsia" w:ascii="宋体" w:hAnsi="宋体"/>
          <w:color w:val="auto"/>
        </w:rPr>
      </w:pPr>
      <w:r>
        <w:rPr>
          <w:rFonts w:hint="eastAsia" w:ascii="宋体" w:hAnsi="宋体"/>
          <w:color w:val="auto"/>
        </w:rPr>
        <w:t>5、最大风速：33.3m/s。</w:t>
      </w:r>
    </w:p>
    <w:p>
      <w:pPr>
        <w:spacing w:line="480" w:lineRule="exact"/>
        <w:ind w:firstLine="420" w:firstLineChars="200"/>
        <w:rPr>
          <w:rFonts w:hint="eastAsia" w:ascii="宋体" w:hAnsi="宋体"/>
          <w:color w:val="auto"/>
        </w:rPr>
      </w:pPr>
      <w:r>
        <w:rPr>
          <w:rFonts w:hint="eastAsia" w:ascii="宋体" w:hAnsi="宋体"/>
          <w:color w:val="auto"/>
        </w:rPr>
        <w:t>6、最大积雪厚度：200mm。</w:t>
      </w:r>
    </w:p>
    <w:p>
      <w:pPr>
        <w:spacing w:line="480" w:lineRule="exact"/>
        <w:ind w:firstLine="420" w:firstLineChars="200"/>
        <w:rPr>
          <w:rFonts w:hint="eastAsia" w:ascii="宋体" w:hAnsi="宋体"/>
          <w:color w:val="auto"/>
        </w:rPr>
      </w:pPr>
      <w:r>
        <w:rPr>
          <w:rFonts w:hint="eastAsia" w:ascii="宋体" w:hAnsi="宋体"/>
          <w:color w:val="auto"/>
        </w:rPr>
        <w:t>7、最大冻土深度：450mm。</w:t>
      </w:r>
    </w:p>
    <w:p>
      <w:pPr>
        <w:spacing w:line="480" w:lineRule="exact"/>
        <w:ind w:firstLine="420" w:firstLineChars="200"/>
        <w:rPr>
          <w:rFonts w:hint="eastAsia" w:ascii="宋体" w:hAnsi="宋体"/>
          <w:color w:val="auto"/>
        </w:rPr>
      </w:pPr>
      <w:r>
        <w:rPr>
          <w:rFonts w:hint="eastAsia" w:ascii="宋体" w:hAnsi="宋体"/>
          <w:color w:val="auto"/>
        </w:rPr>
        <w:t>8、地震设防裂度：七度。</w:t>
      </w:r>
    </w:p>
    <w:p>
      <w:pPr>
        <w:spacing w:line="480" w:lineRule="exact"/>
        <w:ind w:firstLine="420" w:firstLineChars="200"/>
        <w:rPr>
          <w:rFonts w:hint="eastAsia" w:ascii="宋体" w:hAnsi="宋体"/>
          <w:color w:val="auto"/>
        </w:rPr>
      </w:pPr>
      <w:r>
        <w:rPr>
          <w:rFonts w:hint="eastAsia" w:ascii="黑体" w:hAnsi="宋体" w:eastAsia="黑体"/>
          <w:color w:val="auto"/>
        </w:rPr>
        <w:t>六、能源环境：</w:t>
      </w:r>
    </w:p>
    <w:p>
      <w:pPr>
        <w:spacing w:line="480" w:lineRule="exact"/>
        <w:ind w:firstLine="420" w:firstLineChars="200"/>
        <w:rPr>
          <w:rFonts w:hint="eastAsia" w:ascii="宋体" w:hAnsi="宋体"/>
          <w:color w:val="auto"/>
        </w:rPr>
      </w:pPr>
      <w:r>
        <w:rPr>
          <w:rFonts w:hint="eastAsia" w:ascii="宋体" w:hAnsi="宋体"/>
          <w:color w:val="auto"/>
        </w:rPr>
        <w:t>1、电力：中国制式，供电电压</w:t>
      </w:r>
      <w:r>
        <w:rPr>
          <w:rFonts w:ascii="宋体" w:hAnsi="宋体"/>
          <w:color w:val="auto"/>
        </w:rPr>
        <w:t>380V</w:t>
      </w:r>
      <w:r>
        <w:rPr>
          <w:rFonts w:hint="eastAsia" w:ascii="宋体" w:hAnsi="宋体"/>
          <w:color w:val="auto"/>
        </w:rPr>
        <w:t>±</w:t>
      </w:r>
      <w:r>
        <w:rPr>
          <w:rFonts w:ascii="宋体" w:hAnsi="宋体"/>
          <w:color w:val="auto"/>
        </w:rPr>
        <w:t>1</w:t>
      </w:r>
      <w:r>
        <w:rPr>
          <w:rFonts w:hint="eastAsia" w:ascii="宋体" w:hAnsi="宋体"/>
          <w:color w:val="auto"/>
        </w:rPr>
        <w:t>5</w:t>
      </w:r>
      <w:r>
        <w:rPr>
          <w:rFonts w:ascii="宋体" w:hAnsi="宋体"/>
          <w:color w:val="auto"/>
        </w:rPr>
        <w:t>%</w:t>
      </w:r>
      <w:r>
        <w:rPr>
          <w:rFonts w:hint="eastAsia" w:ascii="宋体" w:hAnsi="宋体"/>
          <w:color w:val="auto"/>
        </w:rPr>
        <w:t>/220V±</w:t>
      </w:r>
      <w:r>
        <w:rPr>
          <w:rFonts w:ascii="宋体" w:hAnsi="宋体"/>
          <w:color w:val="auto"/>
        </w:rPr>
        <w:t>1</w:t>
      </w:r>
      <w:r>
        <w:rPr>
          <w:rFonts w:hint="eastAsia" w:ascii="宋体" w:hAnsi="宋体"/>
          <w:color w:val="auto"/>
        </w:rPr>
        <w:t>5</w:t>
      </w:r>
      <w:r>
        <w:rPr>
          <w:rFonts w:ascii="宋体" w:hAnsi="宋体"/>
          <w:color w:val="auto"/>
        </w:rPr>
        <w:t>%</w:t>
      </w:r>
      <w:r>
        <w:rPr>
          <w:rFonts w:hint="eastAsia" w:ascii="宋体" w:hAnsi="宋体"/>
          <w:color w:val="auto"/>
        </w:rPr>
        <w:t>，供电频率</w:t>
      </w:r>
      <w:r>
        <w:rPr>
          <w:rFonts w:ascii="宋体" w:hAnsi="宋体"/>
          <w:color w:val="auto"/>
        </w:rPr>
        <w:t>50Hz</w:t>
      </w:r>
      <w:r>
        <w:rPr>
          <w:rFonts w:hint="eastAsia" w:ascii="宋体" w:hAnsi="宋体"/>
          <w:color w:val="auto"/>
        </w:rPr>
        <w:t>±</w:t>
      </w:r>
      <w:r>
        <w:rPr>
          <w:rFonts w:ascii="宋体" w:hAnsi="宋体"/>
          <w:color w:val="auto"/>
        </w:rPr>
        <w:t>2%</w:t>
      </w:r>
      <w:r>
        <w:rPr>
          <w:rFonts w:hint="eastAsia" w:ascii="宋体" w:hAnsi="宋体"/>
          <w:color w:val="auto"/>
        </w:rPr>
        <w:t>。</w:t>
      </w:r>
    </w:p>
    <w:p>
      <w:pPr>
        <w:spacing w:line="480" w:lineRule="exact"/>
        <w:ind w:firstLine="420" w:firstLineChars="200"/>
        <w:rPr>
          <w:rFonts w:hint="eastAsia" w:ascii="宋体" w:hAnsi="宋体"/>
          <w:color w:val="auto"/>
        </w:rPr>
      </w:pPr>
      <w:r>
        <w:rPr>
          <w:rFonts w:hint="eastAsia" w:ascii="宋体" w:hAnsi="宋体"/>
          <w:color w:val="auto"/>
        </w:rPr>
        <w:t>2、压缩空气：自备空压机自产压缩空气，</w:t>
      </w:r>
      <w:r>
        <w:rPr>
          <w:rFonts w:ascii="宋体" w:hAnsi="宋体"/>
          <w:color w:val="auto"/>
        </w:rPr>
        <w:t>0.</w:t>
      </w:r>
      <w:r>
        <w:rPr>
          <w:rFonts w:hint="eastAsia" w:ascii="宋体" w:hAnsi="宋体"/>
          <w:color w:val="auto"/>
          <w:lang w:val="en-US" w:eastAsia="zh-CN"/>
        </w:rPr>
        <w:t>5</w:t>
      </w:r>
      <w:r>
        <w:rPr>
          <w:rFonts w:hint="eastAsia" w:ascii="宋体" w:hAnsi="宋体"/>
          <w:color w:val="auto"/>
        </w:rPr>
        <w:t>～0.</w:t>
      </w:r>
      <w:r>
        <w:rPr>
          <w:rFonts w:hint="eastAsia" w:ascii="宋体" w:hAnsi="宋体"/>
          <w:color w:val="auto"/>
          <w:lang w:val="en-US" w:eastAsia="zh-CN"/>
        </w:rPr>
        <w:t>8</w:t>
      </w:r>
      <w:r>
        <w:rPr>
          <w:rFonts w:ascii="宋体" w:hAnsi="宋体"/>
          <w:color w:val="auto"/>
        </w:rPr>
        <w:t>M</w:t>
      </w:r>
      <w:r>
        <w:rPr>
          <w:rFonts w:hint="eastAsia" w:ascii="宋体" w:hAnsi="宋体"/>
          <w:color w:val="auto"/>
        </w:rPr>
        <w:t>P</w:t>
      </w:r>
      <w:r>
        <w:rPr>
          <w:rFonts w:ascii="宋体" w:hAnsi="宋体"/>
          <w:color w:val="auto"/>
        </w:rPr>
        <w:t>a</w:t>
      </w:r>
      <w:r>
        <w:rPr>
          <w:rFonts w:hint="eastAsia" w:ascii="宋体" w:hAnsi="宋体"/>
          <w:color w:val="auto"/>
        </w:rPr>
        <w:t>。</w:t>
      </w:r>
    </w:p>
    <w:p>
      <w:pPr>
        <w:spacing w:line="480" w:lineRule="exact"/>
        <w:ind w:firstLine="420" w:firstLineChars="200"/>
        <w:rPr>
          <w:rFonts w:hint="eastAsia" w:ascii="宋体" w:hAnsi="宋体"/>
          <w:color w:val="auto"/>
        </w:rPr>
      </w:pPr>
      <w:r>
        <w:rPr>
          <w:rFonts w:hint="eastAsia" w:ascii="宋体" w:hAnsi="宋体"/>
          <w:color w:val="auto"/>
        </w:rPr>
        <w:t>3、给水：</w:t>
      </w:r>
      <w:r>
        <w:rPr>
          <w:rFonts w:hint="eastAsia" w:ascii="宋体" w:hAnsi="宋体"/>
          <w:color w:val="auto"/>
          <w:lang w:val="en-US" w:eastAsia="zh-CN"/>
        </w:rPr>
        <w:t>自备井</w:t>
      </w:r>
      <w:r>
        <w:rPr>
          <w:rFonts w:hint="eastAsia" w:ascii="宋体" w:hAnsi="宋体"/>
          <w:color w:val="auto"/>
        </w:rPr>
        <w:t>水，0.2-0.4MPa</w:t>
      </w:r>
    </w:p>
    <w:p>
      <w:pPr>
        <w:spacing w:line="480" w:lineRule="exact"/>
        <w:ind w:firstLine="420" w:firstLineChars="200"/>
        <w:rPr>
          <w:rFonts w:hint="eastAsia" w:ascii="宋体" w:hAnsi="宋体"/>
          <w:color w:val="auto"/>
        </w:rPr>
      </w:pPr>
      <w:r>
        <w:rPr>
          <w:rFonts w:hint="eastAsia" w:ascii="宋体" w:hAnsi="宋体"/>
          <w:color w:val="auto"/>
        </w:rPr>
        <w:t>4、工位照度：不低于500Lx。</w:t>
      </w:r>
    </w:p>
    <w:p>
      <w:pPr>
        <w:spacing w:line="480" w:lineRule="exact"/>
        <w:ind w:firstLine="420" w:firstLineChars="200"/>
        <w:rPr>
          <w:rFonts w:hint="eastAsia" w:ascii="宋体" w:hAnsi="宋体"/>
          <w:color w:val="auto"/>
        </w:rPr>
      </w:pPr>
    </w:p>
    <w:p>
      <w:pPr>
        <w:spacing w:line="480" w:lineRule="exact"/>
        <w:ind w:firstLine="420" w:firstLineChars="200"/>
        <w:rPr>
          <w:rFonts w:hint="eastAsia" w:ascii="宋体" w:hAnsi="宋体"/>
          <w:color w:val="auto"/>
        </w:rPr>
      </w:pPr>
    </w:p>
    <w:p>
      <w:pPr>
        <w:spacing w:line="480" w:lineRule="exact"/>
        <w:ind w:firstLine="420" w:firstLineChars="200"/>
        <w:rPr>
          <w:rFonts w:hint="eastAsia" w:ascii="宋体" w:hAnsi="宋体"/>
          <w:color w:val="auto"/>
        </w:rPr>
      </w:pPr>
    </w:p>
    <w:p>
      <w:pPr>
        <w:spacing w:line="480" w:lineRule="exact"/>
        <w:rPr>
          <w:rFonts w:hint="eastAsia" w:ascii="宋体" w:hAnsi="宋体"/>
          <w:color w:val="auto"/>
        </w:rPr>
      </w:pPr>
    </w:p>
    <w:p>
      <w:pPr>
        <w:pStyle w:val="4"/>
        <w:spacing w:before="120" w:after="120" w:line="480" w:lineRule="exact"/>
        <w:jc w:val="center"/>
        <w:rPr>
          <w:rFonts w:hint="eastAsia"/>
          <w:b w:val="0"/>
          <w:color w:val="auto"/>
          <w:sz w:val="24"/>
          <w:szCs w:val="24"/>
        </w:rPr>
      </w:pPr>
      <w:bookmarkStart w:id="108" w:name="_Toc19068"/>
      <w:bookmarkStart w:id="109" w:name="_Toc137705867"/>
      <w:bookmarkStart w:id="110" w:name="_Toc27088"/>
      <w:bookmarkStart w:id="111" w:name="_Toc13018"/>
      <w:bookmarkStart w:id="112" w:name="_Toc9838"/>
      <w:r>
        <w:rPr>
          <w:rFonts w:hint="eastAsia"/>
          <w:b w:val="0"/>
          <w:color w:val="auto"/>
          <w:sz w:val="24"/>
          <w:szCs w:val="24"/>
        </w:rPr>
        <w:t>第二节  采购货物概况</w:t>
      </w:r>
      <w:bookmarkEnd w:id="108"/>
      <w:bookmarkEnd w:id="109"/>
      <w:bookmarkEnd w:id="110"/>
      <w:bookmarkEnd w:id="111"/>
      <w:bookmarkEnd w:id="112"/>
    </w:p>
    <w:p>
      <w:pPr>
        <w:spacing w:line="480" w:lineRule="exact"/>
        <w:ind w:firstLine="420" w:firstLineChars="200"/>
        <w:jc w:val="left"/>
        <w:rPr>
          <w:rFonts w:hint="eastAsia" w:ascii="宋体" w:hAnsi="宋体"/>
          <w:color w:val="auto"/>
        </w:rPr>
      </w:pPr>
      <w:r>
        <w:rPr>
          <w:rFonts w:hint="eastAsia" w:ascii="黑体" w:hAnsi="宋体" w:eastAsia="黑体"/>
          <w:color w:val="auto"/>
        </w:rPr>
        <w:t>一、设备名称：</w:t>
      </w:r>
      <w:r>
        <w:rPr>
          <w:rFonts w:hint="eastAsia" w:ascii="宋体" w:hAnsi="宋体" w:eastAsia="宋体" w:cs="宋体"/>
          <w:color w:val="auto"/>
          <w:u w:val="single"/>
          <w:shd w:val="pct10" w:color="auto" w:fill="FFFFFF"/>
          <w:lang w:val="en-US" w:eastAsia="zh-CN"/>
        </w:rPr>
        <w:t>车轮直行定位仪新增项目</w:t>
      </w:r>
      <w:r>
        <w:rPr>
          <w:rFonts w:hint="eastAsia" w:ascii="宋体" w:hAnsi="宋体"/>
          <w:color w:val="auto"/>
        </w:rPr>
        <w:t>（详见下表）</w:t>
      </w:r>
    </w:p>
    <w:p>
      <w:pPr>
        <w:spacing w:line="480" w:lineRule="exact"/>
        <w:ind w:firstLine="420" w:firstLineChars="200"/>
        <w:rPr>
          <w:rFonts w:hint="eastAsia" w:ascii="宋体" w:hAnsi="宋体"/>
          <w:color w:val="auto"/>
        </w:rPr>
      </w:pPr>
      <w:r>
        <w:rPr>
          <w:rFonts w:hint="eastAsia" w:ascii="黑体" w:hAnsi="宋体" w:eastAsia="黑体"/>
          <w:color w:val="auto"/>
        </w:rPr>
        <w:t>二、设备数量：</w:t>
      </w:r>
      <w:r>
        <w:rPr>
          <w:rFonts w:hint="eastAsia" w:ascii="宋体" w:hAnsi="宋体"/>
          <w:color w:val="auto"/>
          <w:u w:val="single"/>
          <w:shd w:val="pct10" w:color="auto" w:fill="FFFFFF"/>
        </w:rPr>
        <w:t xml:space="preserve"> 1套  </w:t>
      </w:r>
      <w:r>
        <w:rPr>
          <w:rFonts w:hint="eastAsia" w:ascii="宋体" w:hAnsi="宋体"/>
          <w:color w:val="auto"/>
        </w:rPr>
        <w:t>（详见下表）</w:t>
      </w:r>
    </w:p>
    <w:p>
      <w:pPr>
        <w:spacing w:line="560" w:lineRule="exact"/>
        <w:ind w:firstLine="420" w:firstLineChars="200"/>
        <w:rPr>
          <w:rFonts w:hint="eastAsia"/>
          <w:color w:val="auto"/>
        </w:rPr>
      </w:pPr>
      <w:r>
        <w:rPr>
          <w:rFonts w:hint="eastAsia" w:ascii="黑体" w:hAnsi="宋体" w:eastAsia="黑体"/>
          <w:color w:val="auto"/>
        </w:rPr>
        <w:t>三、分投分中：</w:t>
      </w:r>
      <w:r>
        <w:rPr>
          <w:rFonts w:hint="eastAsia" w:ascii="宋体" w:hAnsi="宋体"/>
          <w:color w:val="auto"/>
        </w:rPr>
        <w:t>不允许。</w:t>
      </w:r>
    </w:p>
    <w:p>
      <w:pPr>
        <w:widowControl/>
        <w:jc w:val="center"/>
        <w:rPr>
          <w:rFonts w:hint="eastAsia" w:ascii="宋体" w:hAnsi="宋体"/>
          <w:color w:val="auto"/>
        </w:rPr>
      </w:pPr>
      <w:r>
        <w:rPr>
          <w:rFonts w:hint="eastAsia" w:ascii="宋体" w:hAnsi="宋体"/>
          <w:color w:val="auto"/>
        </w:rPr>
        <w:t>采购货物主要构成一览表</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6"/>
        <w:gridCol w:w="1686"/>
        <w:gridCol w:w="636"/>
        <w:gridCol w:w="636"/>
        <w:gridCol w:w="1056"/>
        <w:gridCol w:w="39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tblHeader/>
          <w:jc w:val="center"/>
        </w:trPr>
        <w:tc>
          <w:tcPr>
            <w:tcW w:w="0" w:type="auto"/>
            <w:vAlign w:val="center"/>
          </w:tcPr>
          <w:p>
            <w:pPr>
              <w:jc w:val="center"/>
              <w:rPr>
                <w:rFonts w:ascii="宋体" w:hAnsi="宋体"/>
                <w:sz w:val="21"/>
                <w:szCs w:val="21"/>
              </w:rPr>
            </w:pPr>
            <w:r>
              <w:rPr>
                <w:rFonts w:hint="eastAsia" w:ascii="宋体" w:hAnsi="宋体" w:cs="宋体"/>
                <w:sz w:val="21"/>
                <w:szCs w:val="21"/>
              </w:rPr>
              <w:t>序号</w:t>
            </w:r>
          </w:p>
        </w:tc>
        <w:tc>
          <w:tcPr>
            <w:tcW w:w="0" w:type="auto"/>
            <w:vAlign w:val="center"/>
          </w:tcPr>
          <w:p>
            <w:pPr>
              <w:jc w:val="center"/>
              <w:rPr>
                <w:rFonts w:ascii="宋体" w:hAnsi="宋体"/>
                <w:sz w:val="21"/>
                <w:szCs w:val="21"/>
              </w:rPr>
            </w:pPr>
            <w:r>
              <w:rPr>
                <w:rFonts w:hint="eastAsia" w:ascii="宋体" w:hAnsi="宋体" w:cs="宋体"/>
                <w:sz w:val="21"/>
                <w:szCs w:val="21"/>
              </w:rPr>
              <w:t>设备名称</w:t>
            </w:r>
          </w:p>
        </w:tc>
        <w:tc>
          <w:tcPr>
            <w:tcW w:w="0" w:type="auto"/>
            <w:vAlign w:val="center"/>
          </w:tcPr>
          <w:p>
            <w:pPr>
              <w:jc w:val="center"/>
              <w:rPr>
                <w:rFonts w:ascii="宋体" w:hAnsi="宋体"/>
                <w:sz w:val="21"/>
                <w:szCs w:val="21"/>
              </w:rPr>
            </w:pPr>
            <w:r>
              <w:rPr>
                <w:rFonts w:hint="eastAsia" w:ascii="宋体" w:hAnsi="宋体" w:cs="宋体"/>
                <w:sz w:val="21"/>
                <w:szCs w:val="21"/>
              </w:rPr>
              <w:t>数量</w:t>
            </w:r>
          </w:p>
        </w:tc>
        <w:tc>
          <w:tcPr>
            <w:tcW w:w="0" w:type="auto"/>
            <w:vAlign w:val="center"/>
          </w:tcPr>
          <w:p>
            <w:pPr>
              <w:jc w:val="center"/>
              <w:rPr>
                <w:rFonts w:ascii="宋体" w:hAnsi="宋体"/>
                <w:sz w:val="21"/>
                <w:szCs w:val="21"/>
              </w:rPr>
            </w:pPr>
            <w:r>
              <w:rPr>
                <w:rFonts w:hint="eastAsia" w:ascii="宋体" w:hAnsi="宋体"/>
                <w:sz w:val="21"/>
                <w:szCs w:val="21"/>
              </w:rPr>
              <w:t>单位</w:t>
            </w:r>
          </w:p>
        </w:tc>
        <w:tc>
          <w:tcPr>
            <w:tcW w:w="0" w:type="auto"/>
            <w:vAlign w:val="center"/>
          </w:tcPr>
          <w:p>
            <w:pPr>
              <w:jc w:val="center"/>
              <w:rPr>
                <w:rFonts w:ascii="宋体" w:hAnsi="宋体"/>
                <w:sz w:val="21"/>
                <w:szCs w:val="21"/>
              </w:rPr>
            </w:pPr>
            <w:r>
              <w:rPr>
                <w:rFonts w:hint="eastAsia" w:ascii="宋体" w:hAnsi="宋体" w:cs="宋体"/>
                <w:sz w:val="21"/>
                <w:szCs w:val="21"/>
              </w:rPr>
              <w:t>供货方式</w:t>
            </w:r>
          </w:p>
        </w:tc>
        <w:tc>
          <w:tcPr>
            <w:tcW w:w="0" w:type="auto"/>
            <w:vAlign w:val="center"/>
          </w:tcPr>
          <w:p>
            <w:pPr>
              <w:jc w:val="both"/>
              <w:rPr>
                <w:rFonts w:hint="default" w:ascii="宋体" w:hAnsi="宋体" w:eastAsia="宋体" w:cs="宋体"/>
                <w:sz w:val="21"/>
                <w:szCs w:val="21"/>
                <w:lang w:val="en-US" w:eastAsia="zh-CN"/>
              </w:rPr>
            </w:pPr>
            <w:r>
              <w:rPr>
                <w:rFonts w:hint="eastAsia" w:ascii="宋体" w:hAnsi="宋体" w:cs="宋体"/>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0" w:type="auto"/>
            <w:vAlign w:val="center"/>
          </w:tcPr>
          <w:p>
            <w:pPr>
              <w:jc w:val="center"/>
              <w:rPr>
                <w:rFonts w:ascii="宋体" w:hAnsi="宋体" w:cs="宋体"/>
                <w:sz w:val="21"/>
                <w:szCs w:val="21"/>
              </w:rPr>
            </w:pPr>
            <w:r>
              <w:rPr>
                <w:rFonts w:hint="eastAsia" w:ascii="宋体" w:hAnsi="宋体" w:cs="宋体"/>
                <w:sz w:val="21"/>
                <w:szCs w:val="21"/>
              </w:rPr>
              <w:t>1</w:t>
            </w:r>
          </w:p>
        </w:tc>
        <w:tc>
          <w:tcPr>
            <w:tcW w:w="0" w:type="auto"/>
            <w:vAlign w:val="center"/>
          </w:tcPr>
          <w:p>
            <w:pPr>
              <w:jc w:val="center"/>
              <w:rPr>
                <w:rFonts w:hint="eastAsia" w:ascii="宋体" w:hAnsi="宋体" w:eastAsia="宋体" w:cs="宋体"/>
                <w:sz w:val="21"/>
                <w:szCs w:val="21"/>
                <w:lang w:eastAsia="zh-CN"/>
              </w:rPr>
            </w:pPr>
            <w:r>
              <w:rPr>
                <w:rFonts w:hint="eastAsia" w:ascii="宋体" w:hAnsi="宋体" w:cs="宋体"/>
                <w:sz w:val="21"/>
                <w:szCs w:val="21"/>
                <w:lang w:val="en-US" w:eastAsia="zh-CN"/>
              </w:rPr>
              <w:t>车轮直行定位仪</w:t>
            </w:r>
          </w:p>
        </w:tc>
        <w:tc>
          <w:tcPr>
            <w:tcW w:w="0" w:type="auto"/>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w:t>
            </w:r>
          </w:p>
        </w:tc>
        <w:tc>
          <w:tcPr>
            <w:tcW w:w="0" w:type="auto"/>
            <w:vMerge w:val="restart"/>
            <w:vAlign w:val="center"/>
          </w:tcPr>
          <w:p>
            <w:pPr>
              <w:jc w:val="center"/>
              <w:rPr>
                <w:rFonts w:ascii="宋体" w:hAnsi="宋体" w:cs="宋体"/>
                <w:sz w:val="21"/>
                <w:szCs w:val="21"/>
              </w:rPr>
            </w:pPr>
            <w:r>
              <w:rPr>
                <w:rFonts w:hint="eastAsia" w:ascii="宋体" w:hAnsi="宋体" w:cs="宋体"/>
                <w:sz w:val="21"/>
                <w:szCs w:val="21"/>
              </w:rPr>
              <w:t>套</w:t>
            </w:r>
          </w:p>
        </w:tc>
        <w:tc>
          <w:tcPr>
            <w:tcW w:w="0" w:type="auto"/>
            <w:vMerge w:val="restart"/>
            <w:vAlign w:val="center"/>
          </w:tcPr>
          <w:p>
            <w:pPr>
              <w:jc w:val="center"/>
              <w:rPr>
                <w:rFonts w:ascii="宋体" w:hAnsi="宋体" w:cs="宋体"/>
                <w:sz w:val="21"/>
                <w:szCs w:val="21"/>
              </w:rPr>
            </w:pPr>
            <w:r>
              <w:rPr>
                <w:rFonts w:hint="eastAsia"/>
                <w:sz w:val="21"/>
                <w:szCs w:val="21"/>
              </w:rPr>
              <w:t>交钥匙</w:t>
            </w:r>
          </w:p>
        </w:tc>
        <w:tc>
          <w:tcPr>
            <w:tcW w:w="0" w:type="auto"/>
            <w:vAlign w:val="center"/>
          </w:tcPr>
          <w:p>
            <w:pPr>
              <w:keepNext w:val="0"/>
              <w:keepLines w:val="0"/>
              <w:widowControl/>
              <w:suppressLineNumbers w:val="0"/>
              <w:jc w:val="left"/>
              <w:rPr>
                <w:rFonts w:hint="eastAsia"/>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tblHeader/>
          <w:jc w:val="center"/>
        </w:trPr>
        <w:tc>
          <w:tcPr>
            <w:tcW w:w="0" w:type="auto"/>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1.1</w:t>
            </w:r>
          </w:p>
        </w:tc>
        <w:tc>
          <w:tcPr>
            <w:tcW w:w="0" w:type="auto"/>
            <w:shd w:val="clear" w:color="auto" w:fill="auto"/>
            <w:vAlign w:val="center"/>
          </w:tcPr>
          <w:p>
            <w:pPr>
              <w:keepNext w:val="0"/>
              <w:keepLines w:val="0"/>
              <w:widowControl/>
              <w:suppressLineNumbers w:val="0"/>
              <w:jc w:val="center"/>
              <w:rPr>
                <w:rFonts w:hint="eastAsia" w:ascii="宋体" w:hAnsi="宋体" w:cs="宋体"/>
                <w:sz w:val="21"/>
                <w:szCs w:val="21"/>
                <w:lang w:val="en-US" w:eastAsia="zh-CN"/>
              </w:rPr>
            </w:pPr>
            <w:r>
              <w:rPr>
                <w:rFonts w:hint="eastAsia" w:ascii="宋体" w:hAnsi="宋体" w:eastAsia="宋体" w:cs="宋体"/>
                <w:color w:val="000000"/>
                <w:kern w:val="0"/>
                <w:sz w:val="21"/>
                <w:szCs w:val="21"/>
                <w:lang w:val="en-US" w:eastAsia="zh-CN" w:bidi="ar"/>
              </w:rPr>
              <w:t>磁性夹具</w:t>
            </w:r>
          </w:p>
        </w:tc>
        <w:tc>
          <w:tcPr>
            <w:tcW w:w="0" w:type="auto"/>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2</w:t>
            </w:r>
          </w:p>
        </w:tc>
        <w:tc>
          <w:tcPr>
            <w:tcW w:w="0" w:type="auto"/>
            <w:vMerge w:val="continue"/>
            <w:vAlign w:val="center"/>
          </w:tcPr>
          <w:p>
            <w:pPr>
              <w:jc w:val="center"/>
              <w:rPr>
                <w:rFonts w:ascii="宋体" w:hAnsi="宋体" w:cs="宋体"/>
                <w:sz w:val="21"/>
                <w:szCs w:val="21"/>
              </w:rPr>
            </w:pPr>
          </w:p>
        </w:tc>
        <w:tc>
          <w:tcPr>
            <w:tcW w:w="0" w:type="auto"/>
            <w:vMerge w:val="continue"/>
            <w:vAlign w:val="center"/>
          </w:tcPr>
          <w:p>
            <w:pPr>
              <w:jc w:val="center"/>
              <w:rPr>
                <w:sz w:val="21"/>
                <w:szCs w:val="21"/>
              </w:rPr>
            </w:pPr>
          </w:p>
        </w:tc>
        <w:tc>
          <w:tcPr>
            <w:tcW w:w="0" w:type="auto"/>
            <w:shd w:val="clear" w:color="auto" w:fill="auto"/>
            <w:vAlign w:val="center"/>
          </w:tcPr>
          <w:p>
            <w:pPr>
              <w:keepNext w:val="0"/>
              <w:keepLines w:val="0"/>
              <w:widowControl/>
              <w:suppressLineNumbers w:val="0"/>
              <w:jc w:val="left"/>
              <w:rPr>
                <w:rFonts w:hint="eastAsia" w:ascii="Times New Roman" w:hAnsi="Times New Roman" w:eastAsia="宋体" w:cs="Times New Roman"/>
                <w:kern w:val="2"/>
                <w:sz w:val="21"/>
                <w:szCs w:val="21"/>
                <w:lang w:val="en-US" w:eastAsia="zh-CN" w:bidi="ar-SA"/>
              </w:rPr>
            </w:pPr>
            <w:r>
              <w:rPr>
                <w:rFonts w:hint="eastAsia" w:ascii="宋体" w:hAnsi="宋体" w:eastAsia="宋体" w:cs="宋体"/>
                <w:color w:val="000000"/>
                <w:kern w:val="0"/>
                <w:sz w:val="21"/>
                <w:szCs w:val="21"/>
                <w:lang w:val="en-US" w:eastAsia="zh-CN" w:bidi="ar"/>
              </w:rPr>
              <w:t>按照甲方提供的轮毂螺栓分度圆直径确定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blHeader/>
          <w:jc w:val="center"/>
        </w:trPr>
        <w:tc>
          <w:tcPr>
            <w:tcW w:w="0" w:type="auto"/>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1.2</w:t>
            </w:r>
          </w:p>
        </w:tc>
        <w:tc>
          <w:tcPr>
            <w:tcW w:w="0" w:type="auto"/>
            <w:shd w:val="clear" w:color="auto" w:fill="auto"/>
            <w:vAlign w:val="center"/>
          </w:tcPr>
          <w:p>
            <w:pPr>
              <w:keepNext w:val="0"/>
              <w:keepLines w:val="0"/>
              <w:widowControl/>
              <w:suppressLineNumbers w:val="0"/>
              <w:jc w:val="center"/>
              <w:rPr>
                <w:rFonts w:hint="eastAsia" w:ascii="宋体" w:hAnsi="宋体" w:eastAsia="宋体" w:cs="宋体"/>
                <w:kern w:val="2"/>
                <w:sz w:val="21"/>
                <w:szCs w:val="21"/>
                <w:lang w:val="en-US" w:eastAsia="zh-CN" w:bidi="ar-SA"/>
              </w:rPr>
            </w:pPr>
            <w:r>
              <w:rPr>
                <w:rFonts w:hint="eastAsia" w:ascii="宋体" w:hAnsi="宋体" w:eastAsia="宋体" w:cs="宋体"/>
                <w:color w:val="000000"/>
                <w:kern w:val="0"/>
                <w:sz w:val="21"/>
                <w:szCs w:val="21"/>
                <w:lang w:val="en-US" w:eastAsia="zh-CN" w:bidi="ar"/>
              </w:rPr>
              <w:t>激光发射器</w:t>
            </w:r>
          </w:p>
        </w:tc>
        <w:tc>
          <w:tcPr>
            <w:tcW w:w="0" w:type="auto"/>
            <w:vAlign w:val="center"/>
          </w:tcPr>
          <w:p>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2</w:t>
            </w:r>
          </w:p>
        </w:tc>
        <w:tc>
          <w:tcPr>
            <w:tcW w:w="0" w:type="auto"/>
            <w:vMerge w:val="continue"/>
            <w:vAlign w:val="center"/>
          </w:tcPr>
          <w:p>
            <w:pPr>
              <w:jc w:val="center"/>
              <w:rPr>
                <w:rFonts w:ascii="宋体" w:hAnsi="宋体" w:cs="宋体"/>
                <w:sz w:val="21"/>
                <w:szCs w:val="21"/>
              </w:rPr>
            </w:pPr>
          </w:p>
        </w:tc>
        <w:tc>
          <w:tcPr>
            <w:tcW w:w="0" w:type="auto"/>
            <w:vMerge w:val="continue"/>
            <w:vAlign w:val="center"/>
          </w:tcPr>
          <w:p>
            <w:pPr>
              <w:jc w:val="center"/>
              <w:rPr>
                <w:sz w:val="21"/>
                <w:szCs w:val="21"/>
              </w:rPr>
            </w:pPr>
          </w:p>
        </w:tc>
        <w:tc>
          <w:tcPr>
            <w:tcW w:w="0" w:type="auto"/>
            <w:shd w:val="clear" w:color="auto" w:fill="auto"/>
            <w:vAlign w:val="center"/>
          </w:tcPr>
          <w:p>
            <w:pPr>
              <w:keepNext w:val="0"/>
              <w:keepLines w:val="0"/>
              <w:widowControl/>
              <w:suppressLineNumbers w:val="0"/>
              <w:jc w:val="left"/>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0"/>
                <w:sz w:val="21"/>
                <w:szCs w:val="21"/>
                <w:lang w:val="en-US" w:eastAsia="zh-CN" w:bidi="ar"/>
              </w:rPr>
              <w:t>需要与标靶组合使用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tblHeader/>
          <w:jc w:val="center"/>
        </w:trPr>
        <w:tc>
          <w:tcPr>
            <w:tcW w:w="0" w:type="auto"/>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1.3</w:t>
            </w:r>
          </w:p>
        </w:tc>
        <w:tc>
          <w:tcPr>
            <w:tcW w:w="0" w:type="auto"/>
            <w:shd w:val="clear" w:color="auto" w:fill="auto"/>
            <w:vAlign w:val="center"/>
          </w:tcPr>
          <w:p>
            <w:pPr>
              <w:keepNext w:val="0"/>
              <w:keepLines w:val="0"/>
              <w:widowControl/>
              <w:suppressLineNumbers w:val="0"/>
              <w:jc w:val="center"/>
              <w:rPr>
                <w:rFonts w:hint="eastAsia" w:ascii="宋体" w:hAnsi="宋体" w:eastAsia="宋体" w:cs="宋体"/>
                <w:kern w:val="2"/>
                <w:sz w:val="21"/>
                <w:szCs w:val="21"/>
                <w:lang w:val="en-US" w:eastAsia="zh-CN" w:bidi="ar-SA"/>
              </w:rPr>
            </w:pPr>
            <w:r>
              <w:rPr>
                <w:rFonts w:hint="eastAsia" w:ascii="宋体" w:hAnsi="宋体" w:eastAsia="宋体" w:cs="宋体"/>
                <w:color w:val="000000"/>
                <w:kern w:val="0"/>
                <w:sz w:val="21"/>
                <w:szCs w:val="21"/>
                <w:lang w:val="en-US" w:eastAsia="zh-CN" w:bidi="ar"/>
              </w:rPr>
              <w:t>测量标靶</w:t>
            </w:r>
          </w:p>
        </w:tc>
        <w:tc>
          <w:tcPr>
            <w:tcW w:w="0" w:type="auto"/>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2</w:t>
            </w:r>
          </w:p>
        </w:tc>
        <w:tc>
          <w:tcPr>
            <w:tcW w:w="0" w:type="auto"/>
            <w:vMerge w:val="continue"/>
            <w:vAlign w:val="center"/>
          </w:tcPr>
          <w:p>
            <w:pPr>
              <w:jc w:val="center"/>
              <w:rPr>
                <w:rFonts w:ascii="宋体" w:hAnsi="宋体" w:cs="宋体"/>
                <w:sz w:val="21"/>
                <w:szCs w:val="21"/>
              </w:rPr>
            </w:pPr>
          </w:p>
        </w:tc>
        <w:tc>
          <w:tcPr>
            <w:tcW w:w="0" w:type="auto"/>
            <w:vMerge w:val="continue"/>
            <w:vAlign w:val="center"/>
          </w:tcPr>
          <w:p>
            <w:pPr>
              <w:jc w:val="center"/>
              <w:rPr>
                <w:sz w:val="21"/>
                <w:szCs w:val="21"/>
              </w:rPr>
            </w:pPr>
          </w:p>
        </w:tc>
        <w:tc>
          <w:tcPr>
            <w:tcW w:w="0" w:type="auto"/>
            <w:shd w:val="clear" w:color="auto" w:fill="auto"/>
            <w:vAlign w:val="center"/>
          </w:tcPr>
          <w:p>
            <w:pPr>
              <w:keepNext w:val="0"/>
              <w:keepLines w:val="0"/>
              <w:widowControl/>
              <w:suppressLineNumbers w:val="0"/>
              <w:jc w:val="left"/>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0"/>
                <w:sz w:val="21"/>
                <w:szCs w:val="21"/>
                <w:lang w:val="en-US" w:eastAsia="zh-CN" w:bidi="ar"/>
              </w:rPr>
              <w:t>与</w:t>
            </w:r>
            <w:r>
              <w:rPr>
                <w:rFonts w:hint="eastAsia" w:ascii="宋体" w:hAnsi="宋体" w:cs="宋体"/>
                <w:color w:val="000000"/>
                <w:kern w:val="0"/>
                <w:sz w:val="21"/>
                <w:szCs w:val="21"/>
                <w:lang w:val="en-US" w:eastAsia="zh-CN" w:bidi="ar"/>
              </w:rPr>
              <w:t>激光发射器</w:t>
            </w:r>
            <w:r>
              <w:rPr>
                <w:rFonts w:hint="eastAsia" w:ascii="宋体" w:hAnsi="宋体" w:eastAsia="宋体" w:cs="宋体"/>
                <w:color w:val="000000"/>
                <w:kern w:val="0"/>
                <w:sz w:val="21"/>
                <w:szCs w:val="21"/>
                <w:lang w:val="en-US" w:eastAsia="zh-CN" w:bidi="ar"/>
              </w:rPr>
              <w:t>共同使用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blHeader/>
          <w:jc w:val="center"/>
        </w:trPr>
        <w:tc>
          <w:tcPr>
            <w:tcW w:w="0" w:type="auto"/>
            <w:vAlign w:val="center"/>
          </w:tcPr>
          <w:p>
            <w:pPr>
              <w:jc w:val="center"/>
              <w:rPr>
                <w:rFonts w:hint="default" w:ascii="宋体" w:hAnsi="宋体" w:cs="宋体"/>
                <w:sz w:val="21"/>
                <w:szCs w:val="21"/>
                <w:lang w:val="en-US" w:eastAsia="zh-CN"/>
              </w:rPr>
            </w:pPr>
            <w:r>
              <w:rPr>
                <w:rFonts w:hint="eastAsia" w:ascii="宋体" w:hAnsi="宋体" w:cs="宋体"/>
                <w:sz w:val="21"/>
                <w:szCs w:val="21"/>
                <w:lang w:val="en-US" w:eastAsia="zh-CN"/>
              </w:rPr>
              <w:t>1.4</w:t>
            </w:r>
          </w:p>
        </w:tc>
        <w:tc>
          <w:tcPr>
            <w:tcW w:w="0" w:type="auto"/>
            <w:shd w:val="clear" w:color="auto" w:fill="auto"/>
            <w:vAlign w:val="center"/>
          </w:tcPr>
          <w:p>
            <w:pPr>
              <w:keepNext w:val="0"/>
              <w:keepLines w:val="0"/>
              <w:widowControl/>
              <w:suppressLineNumbers w:val="0"/>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校准标靶</w:t>
            </w:r>
          </w:p>
        </w:tc>
        <w:tc>
          <w:tcPr>
            <w:tcW w:w="0" w:type="auto"/>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w:t>
            </w:r>
          </w:p>
        </w:tc>
        <w:tc>
          <w:tcPr>
            <w:tcW w:w="0" w:type="auto"/>
            <w:vMerge w:val="continue"/>
            <w:vAlign w:val="center"/>
          </w:tcPr>
          <w:p>
            <w:pPr>
              <w:jc w:val="center"/>
              <w:rPr>
                <w:rFonts w:ascii="宋体" w:hAnsi="宋体" w:cs="宋体"/>
                <w:sz w:val="21"/>
                <w:szCs w:val="21"/>
              </w:rPr>
            </w:pPr>
          </w:p>
        </w:tc>
        <w:tc>
          <w:tcPr>
            <w:tcW w:w="0" w:type="auto"/>
            <w:vMerge w:val="continue"/>
            <w:vAlign w:val="center"/>
          </w:tcPr>
          <w:p>
            <w:pPr>
              <w:jc w:val="center"/>
              <w:rPr>
                <w:sz w:val="21"/>
                <w:szCs w:val="21"/>
              </w:rPr>
            </w:pPr>
          </w:p>
        </w:tc>
        <w:tc>
          <w:tcPr>
            <w:tcW w:w="0" w:type="auto"/>
            <w:shd w:val="clear" w:color="auto" w:fill="auto"/>
            <w:vAlign w:val="center"/>
          </w:tcPr>
          <w:p>
            <w:pPr>
              <w:keepNext w:val="0"/>
              <w:keepLines w:val="0"/>
              <w:widowControl/>
              <w:suppressLineNumbers w:val="0"/>
              <w:jc w:val="left"/>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0"/>
                <w:sz w:val="21"/>
                <w:szCs w:val="21"/>
                <w:lang w:val="en-US" w:eastAsia="zh-CN" w:bidi="ar"/>
              </w:rPr>
              <w:t>用于定期校准激光发射器</w:t>
            </w:r>
          </w:p>
        </w:tc>
      </w:tr>
    </w:tbl>
    <w:p>
      <w:pPr>
        <w:spacing w:line="480" w:lineRule="exact"/>
        <w:ind w:firstLine="420" w:firstLineChars="200"/>
        <w:rPr>
          <w:color w:val="auto"/>
          <w:sz w:val="21"/>
          <w:szCs w:val="21"/>
        </w:rPr>
      </w:pPr>
      <w:r>
        <w:rPr>
          <w:color w:val="auto"/>
          <w:sz w:val="21"/>
          <w:szCs w:val="21"/>
        </w:rPr>
        <w:t>备注：</w:t>
      </w:r>
      <w:bookmarkStart w:id="113" w:name="_Toc137705868"/>
    </w:p>
    <w:p>
      <w:pPr>
        <w:spacing w:line="480" w:lineRule="exact"/>
        <w:ind w:firstLine="420" w:firstLineChars="200"/>
        <w:rPr>
          <w:color w:val="auto"/>
          <w:sz w:val="21"/>
          <w:szCs w:val="21"/>
        </w:rPr>
      </w:pPr>
      <w:r>
        <w:rPr>
          <w:rFonts w:hint="eastAsia"/>
          <w:color w:val="auto"/>
          <w:sz w:val="21"/>
          <w:szCs w:val="21"/>
        </w:rPr>
        <w:t>1</w:t>
      </w:r>
      <w:r>
        <w:rPr>
          <w:color w:val="auto"/>
          <w:sz w:val="21"/>
          <w:szCs w:val="21"/>
        </w:rPr>
        <w:t>.本表所列采购货物仅为货物（或生产线）的主要构成部分，应包含配套供货以及招标方所列其它货物（或设备）和服务，请投标方认真阅读“供货范围”。若有异议，不管是多么微小，都应在投标文件“商务偏离”章节中予以详细说明。</w:t>
      </w:r>
    </w:p>
    <w:p>
      <w:pPr>
        <w:spacing w:line="480" w:lineRule="exact"/>
        <w:ind w:firstLine="420" w:firstLineChars="200"/>
        <w:rPr>
          <w:color w:val="auto"/>
          <w:sz w:val="21"/>
          <w:szCs w:val="21"/>
        </w:rPr>
      </w:pPr>
      <w:r>
        <w:rPr>
          <w:rFonts w:hint="eastAsia"/>
          <w:color w:val="auto"/>
          <w:sz w:val="21"/>
          <w:szCs w:val="21"/>
        </w:rPr>
        <w:t>2</w:t>
      </w:r>
      <w:r>
        <w:rPr>
          <w:color w:val="auto"/>
          <w:sz w:val="21"/>
          <w:szCs w:val="21"/>
        </w:rPr>
        <w:t>.本表“供货方式”指：交钥匙方式——包括设计、制造、运输、安装、调试和验收直到交付使用以及培训等。</w:t>
      </w:r>
    </w:p>
    <w:p>
      <w:pPr>
        <w:spacing w:line="480" w:lineRule="exact"/>
        <w:ind w:firstLine="420" w:firstLineChars="200"/>
        <w:rPr>
          <w:rFonts w:hint="eastAsia"/>
          <w:color w:val="auto"/>
          <w:sz w:val="21"/>
          <w:szCs w:val="21"/>
        </w:rPr>
      </w:pPr>
      <w:r>
        <w:rPr>
          <w:rFonts w:hint="eastAsia"/>
          <w:color w:val="auto"/>
          <w:sz w:val="21"/>
          <w:szCs w:val="21"/>
        </w:rPr>
        <w:t>3.以上内容仅对设备的基本功能进行了描述和建议，表中所列内容仅供参考，投标方投标前需对生产现场工艺环境进行充分调研与了解，确保投标方案满足工艺、产品、节拍、功能等要求，投标方对投标方案负责。</w:t>
      </w:r>
    </w:p>
    <w:p>
      <w:pPr>
        <w:overflowPunct w:val="0"/>
        <w:spacing w:line="360" w:lineRule="auto"/>
        <w:ind w:firstLine="420" w:firstLineChars="200"/>
        <w:rPr>
          <w:rFonts w:ascii="宋体" w:hAnsi="宋体" w:cs="宋体"/>
          <w:b/>
          <w:color w:val="auto"/>
        </w:rPr>
      </w:pPr>
      <w:r>
        <w:rPr>
          <w:rFonts w:hint="eastAsia" w:ascii="宋体" w:hAnsi="宋体" w:cs="宋体"/>
          <w:b/>
          <w:color w:val="auto"/>
        </w:rPr>
        <w:t>四、采购货物特别说明</w:t>
      </w:r>
    </w:p>
    <w:p>
      <w:pPr>
        <w:overflowPunct w:val="0"/>
        <w:spacing w:line="360" w:lineRule="auto"/>
        <w:ind w:firstLine="420" w:firstLineChars="200"/>
        <w:rPr>
          <w:rFonts w:hint="eastAsia"/>
          <w:color w:val="auto"/>
          <w:sz w:val="21"/>
          <w:szCs w:val="21"/>
        </w:rPr>
      </w:pPr>
      <w:r>
        <w:rPr>
          <w:rFonts w:hint="eastAsia" w:ascii="宋体" w:hAnsi="宋体" w:cs="宋体"/>
          <w:color w:val="auto"/>
        </w:rPr>
        <w:t>招标人所列货物的名称和规格型号，如为某一供应商所特有，则该名称和规格型号可作参考，但要求投标人所提供的货物必须满足本技术标书实质性要求</w:t>
      </w:r>
      <w:r>
        <w:rPr>
          <w:rFonts w:hint="eastAsia" w:ascii="宋体" w:hAnsi="宋体"/>
          <w:color w:val="auto"/>
          <w:szCs w:val="20"/>
        </w:rPr>
        <w:t>。</w:t>
      </w:r>
    </w:p>
    <w:p>
      <w:pPr>
        <w:spacing w:line="480" w:lineRule="exact"/>
        <w:ind w:firstLine="420" w:firstLineChars="200"/>
        <w:rPr>
          <w:rFonts w:hint="eastAsia"/>
          <w:color w:val="auto"/>
          <w:sz w:val="21"/>
          <w:szCs w:val="21"/>
        </w:rPr>
      </w:pPr>
    </w:p>
    <w:p>
      <w:pPr>
        <w:spacing w:line="480" w:lineRule="exact"/>
        <w:ind w:firstLine="420" w:firstLineChars="200"/>
        <w:rPr>
          <w:rFonts w:hint="eastAsia"/>
          <w:color w:val="auto"/>
          <w:sz w:val="21"/>
          <w:szCs w:val="21"/>
        </w:rPr>
      </w:pPr>
    </w:p>
    <w:p>
      <w:pPr>
        <w:spacing w:line="480" w:lineRule="exact"/>
        <w:ind w:firstLine="420" w:firstLineChars="200"/>
        <w:rPr>
          <w:rFonts w:hint="eastAsia"/>
          <w:color w:val="auto"/>
          <w:sz w:val="21"/>
          <w:szCs w:val="21"/>
        </w:rPr>
      </w:pPr>
    </w:p>
    <w:p>
      <w:pPr>
        <w:spacing w:line="480" w:lineRule="exact"/>
        <w:rPr>
          <w:rFonts w:hint="eastAsia"/>
          <w:color w:val="auto"/>
          <w:sz w:val="21"/>
          <w:szCs w:val="21"/>
        </w:rPr>
        <w:sectPr>
          <w:footerReference r:id="rId12" w:type="default"/>
          <w:pgSz w:w="11906" w:h="16838"/>
          <w:pgMar w:top="1701" w:right="1418" w:bottom="1134" w:left="1701" w:header="1021" w:footer="680" w:gutter="0"/>
          <w:pgNumType w:start="1"/>
          <w:cols w:space="720" w:num="1"/>
          <w:docGrid w:type="lines" w:linePitch="312" w:charSpace="0"/>
        </w:sectPr>
      </w:pPr>
    </w:p>
    <w:p>
      <w:pPr>
        <w:pStyle w:val="2"/>
        <w:spacing w:before="120" w:after="120"/>
        <w:jc w:val="center"/>
        <w:rPr>
          <w:rFonts w:hint="eastAsia" w:ascii="黑体" w:eastAsia="黑体"/>
          <w:color w:val="auto"/>
          <w:sz w:val="24"/>
          <w:szCs w:val="24"/>
        </w:rPr>
      </w:pPr>
      <w:bookmarkStart w:id="114" w:name="_Toc32262"/>
      <w:bookmarkStart w:id="115" w:name="_Toc17328"/>
      <w:r>
        <w:rPr>
          <w:rFonts w:hint="eastAsia" w:ascii="黑体" w:eastAsia="黑体"/>
          <w:color w:val="auto"/>
          <w:sz w:val="24"/>
          <w:szCs w:val="24"/>
        </w:rPr>
        <w:t>第二章  技术要求</w:t>
      </w:r>
      <w:bookmarkEnd w:id="113"/>
      <w:bookmarkEnd w:id="114"/>
      <w:bookmarkEnd w:id="115"/>
    </w:p>
    <w:p>
      <w:pPr>
        <w:spacing w:line="480" w:lineRule="exact"/>
        <w:ind w:firstLine="420" w:firstLineChars="200"/>
        <w:rPr>
          <w:rFonts w:hint="eastAsia" w:ascii="黑体" w:hAnsi="宋体" w:eastAsia="黑体"/>
          <w:color w:val="auto"/>
        </w:rPr>
      </w:pPr>
      <w:r>
        <w:rPr>
          <w:rFonts w:hint="eastAsia" w:ascii="黑体" w:hAnsi="宋体" w:eastAsia="黑体"/>
          <w:color w:val="auto"/>
        </w:rPr>
        <w:t>一、基本要求</w:t>
      </w:r>
    </w:p>
    <w:p>
      <w:pPr>
        <w:spacing w:line="480" w:lineRule="exact"/>
        <w:ind w:firstLine="420" w:firstLineChars="200"/>
        <w:rPr>
          <w:rFonts w:hint="eastAsia" w:ascii="宋体" w:hAnsi="宋体"/>
          <w:color w:val="auto"/>
        </w:rPr>
      </w:pPr>
      <w:r>
        <w:rPr>
          <w:rFonts w:hint="eastAsia" w:ascii="宋体" w:hAnsi="宋体"/>
          <w:color w:val="auto"/>
        </w:rPr>
        <w:t>1、投标方所供的设备，必须符合中国最新版的法律、法规和相关标准、规范的要求，符合项目所在地政府有关特殊要求。</w:t>
      </w:r>
    </w:p>
    <w:p>
      <w:pPr>
        <w:spacing w:line="480" w:lineRule="exact"/>
        <w:ind w:firstLine="420" w:firstLineChars="200"/>
        <w:rPr>
          <w:rFonts w:hint="eastAsia" w:ascii="宋体" w:hAnsi="宋体"/>
          <w:color w:val="auto"/>
        </w:rPr>
      </w:pPr>
      <w:r>
        <w:rPr>
          <w:rFonts w:hint="eastAsia" w:ascii="宋体" w:hAnsi="宋体"/>
          <w:color w:val="auto"/>
        </w:rPr>
        <w:t>2、投标方所供设备涉及的专利权技术以及知识产权保护的其它技术等，应保证招标方不因此受到任何侵权指控以及实际损失。</w:t>
      </w:r>
    </w:p>
    <w:p>
      <w:pPr>
        <w:spacing w:line="480" w:lineRule="exact"/>
        <w:ind w:firstLine="420" w:firstLineChars="200"/>
        <w:rPr>
          <w:rFonts w:hint="eastAsia" w:ascii="宋体" w:hAnsi="宋体"/>
          <w:color w:val="auto"/>
        </w:rPr>
      </w:pPr>
      <w:r>
        <w:rPr>
          <w:rFonts w:hint="eastAsia" w:ascii="宋体" w:hAnsi="宋体"/>
          <w:color w:val="auto"/>
        </w:rPr>
        <w:t>3、投标方应保证所供设备的先进性、可靠性、经济性和实用性，并为全新设备。</w:t>
      </w:r>
    </w:p>
    <w:p>
      <w:pPr>
        <w:spacing w:line="480" w:lineRule="exact"/>
        <w:ind w:firstLine="420" w:firstLineChars="200"/>
        <w:rPr>
          <w:rFonts w:hint="eastAsia" w:ascii="宋体" w:hAnsi="宋体"/>
          <w:color w:val="auto"/>
        </w:rPr>
      </w:pPr>
      <w:r>
        <w:rPr>
          <w:rFonts w:hint="eastAsia" w:ascii="宋体" w:hAnsi="宋体"/>
          <w:color w:val="auto"/>
        </w:rPr>
        <w:t>4、投标方应满足招标方提出的各项技术要求，必要时应当免费提供技术承诺或担保。</w:t>
      </w:r>
    </w:p>
    <w:p>
      <w:pPr>
        <w:spacing w:line="480" w:lineRule="exact"/>
        <w:ind w:firstLine="420" w:firstLineChars="200"/>
        <w:rPr>
          <w:rFonts w:hint="eastAsia" w:ascii="宋体" w:hAnsi="宋体"/>
          <w:color w:val="auto"/>
        </w:rPr>
      </w:pPr>
      <w:r>
        <w:rPr>
          <w:rFonts w:hint="eastAsia" w:ascii="宋体" w:hAnsi="宋体"/>
          <w:color w:val="auto"/>
        </w:rPr>
        <w:t>5、投标方应保证所供设备为中国公布的非淘汰设备，并为中国指定或规定的主管部门认可的环保型和节能型设备。</w:t>
      </w:r>
    </w:p>
    <w:p>
      <w:pPr>
        <w:spacing w:line="480" w:lineRule="exact"/>
        <w:ind w:firstLine="420" w:firstLineChars="200"/>
        <w:rPr>
          <w:rFonts w:hint="eastAsia" w:ascii="宋体" w:hAnsi="宋体"/>
          <w:color w:val="auto"/>
        </w:rPr>
      </w:pPr>
      <w:r>
        <w:rPr>
          <w:rFonts w:hint="eastAsia" w:ascii="宋体" w:hAnsi="宋体"/>
          <w:color w:val="auto"/>
        </w:rPr>
        <w:t>6、投标方应保证所供设备的完整性和成套性，能保证设备的正常运行、使用。</w:t>
      </w:r>
    </w:p>
    <w:p>
      <w:pPr>
        <w:spacing w:line="480" w:lineRule="exact"/>
        <w:ind w:firstLine="420" w:firstLineChars="200"/>
        <w:rPr>
          <w:rFonts w:hint="eastAsia" w:ascii="宋体" w:hAnsi="宋体"/>
          <w:color w:val="auto"/>
        </w:rPr>
      </w:pPr>
      <w:r>
        <w:rPr>
          <w:rFonts w:hint="eastAsia" w:ascii="宋体" w:hAnsi="宋体"/>
          <w:color w:val="auto"/>
        </w:rPr>
        <w:t>7、投标方应对招标方采购的设备所涉及的技术、产能等信息负有保密义务，招标方拥有追究投标方泄密责任的权利；招标方如有需要，投标方应无条件签署保密协议。</w:t>
      </w:r>
    </w:p>
    <w:p>
      <w:pPr>
        <w:spacing w:line="480" w:lineRule="exact"/>
        <w:ind w:firstLine="420" w:firstLineChars="200"/>
        <w:rPr>
          <w:rFonts w:hint="eastAsia" w:ascii="宋体" w:hAnsi="宋体"/>
          <w:color w:val="auto"/>
        </w:rPr>
      </w:pPr>
      <w:r>
        <w:rPr>
          <w:rFonts w:hint="eastAsia" w:ascii="宋体" w:hAnsi="宋体"/>
          <w:color w:val="auto"/>
        </w:rPr>
        <w:t>8、投标方需提供近三年内项目业绩证明。</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黑体" w:hAnsi="宋体" w:eastAsia="黑体"/>
          <w:color w:val="auto"/>
        </w:rPr>
      </w:pPr>
      <w:r>
        <w:rPr>
          <w:rFonts w:hint="eastAsia" w:ascii="黑体" w:hAnsi="宋体" w:eastAsia="黑体"/>
          <w:color w:val="auto"/>
        </w:rPr>
        <w:t>二、执行标准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color w:val="auto"/>
        </w:rPr>
      </w:pPr>
      <w:r>
        <w:rPr>
          <w:rFonts w:hint="eastAsia" w:ascii="宋体" w:hAnsi="宋体"/>
          <w:color w:val="auto"/>
        </w:rPr>
        <w:t>1、招标方此处所列标准仅为涉及的主要标准，而且不保证其为最新版执行标准；投标方应当在投标文件以中认真予以填写、补充和修改完善。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color w:val="auto"/>
        </w:rPr>
      </w:pPr>
      <w:r>
        <w:rPr>
          <w:rFonts w:hint="eastAsia" w:ascii="宋体" w:hAnsi="宋体"/>
          <w:color w:val="auto"/>
        </w:rPr>
        <w:t>2、投标方需要执行的标准，应当所供设备通过招标方将来组织的最终验收之日开始执行的最新标准。</w:t>
      </w:r>
    </w:p>
    <w:p>
      <w:pPr>
        <w:keepNext w:val="0"/>
        <w:keepLines w:val="0"/>
        <w:pageBreakBefore w:val="0"/>
        <w:widowControl w:val="0"/>
        <w:kinsoku/>
        <w:wordWrap/>
        <w:topLinePunct w:val="0"/>
        <w:autoSpaceDE/>
        <w:autoSpaceDN/>
        <w:bidi w:val="0"/>
        <w:adjustRightInd/>
        <w:snapToGrid/>
        <w:spacing w:line="360" w:lineRule="auto"/>
        <w:ind w:firstLine="420" w:firstLineChars="200"/>
        <w:textAlignment w:val="auto"/>
        <w:rPr>
          <w:rFonts w:hint="eastAsia" w:ascii="宋体" w:hAnsi="宋体"/>
          <w:color w:val="auto"/>
        </w:rPr>
      </w:pPr>
      <w:r>
        <w:rPr>
          <w:rFonts w:hint="eastAsia" w:ascii="宋体" w:hAnsi="宋体"/>
          <w:color w:val="auto"/>
        </w:rPr>
        <w:t>3、采购设备的产品质量、技术标准如在招投标文件中无相应说明，则按中华人民共和国有关部门颁发的最新的国标或专业（部）标准执行及相应的国际标准。没有国家或专业（部）标准的，按企业标准执行。但当标准不统一时，原则上按照最严格标准执行。</w:t>
      </w:r>
    </w:p>
    <w:p>
      <w:pPr>
        <w:keepNext w:val="0"/>
        <w:keepLines w:val="0"/>
        <w:pageBreakBefore w:val="0"/>
        <w:widowControl w:val="0"/>
        <w:kinsoku/>
        <w:wordWrap/>
        <w:overflowPunct w:val="0"/>
        <w:topLinePunct w:val="0"/>
        <w:autoSpaceDE/>
        <w:autoSpaceDN/>
        <w:bidi w:val="0"/>
        <w:adjustRightInd/>
        <w:snapToGrid/>
        <w:spacing w:line="360" w:lineRule="auto"/>
        <w:ind w:firstLine="420" w:firstLineChars="200"/>
        <w:textAlignment w:val="auto"/>
        <w:rPr>
          <w:rFonts w:hint="eastAsia" w:ascii="宋体" w:hAnsi="宋体" w:cs="宋体"/>
          <w:color w:val="auto"/>
        </w:rPr>
      </w:pPr>
      <w:r>
        <w:rPr>
          <w:rFonts w:hint="eastAsia" w:ascii="宋体" w:hAnsi="宋体" w:cs="宋体"/>
          <w:color w:val="auto"/>
        </w:rPr>
        <w:t>4、投标人所供货物涉及的专利权技术以及知识产权保护的其他技术等，应保证招标人不因此受到任何侵权指控以及实际损失。</w:t>
      </w:r>
    </w:p>
    <w:p>
      <w:pPr>
        <w:keepNext w:val="0"/>
        <w:keepLines w:val="0"/>
        <w:pageBreakBefore w:val="0"/>
        <w:widowControl w:val="0"/>
        <w:kinsoku/>
        <w:wordWrap/>
        <w:overflowPunct w:val="0"/>
        <w:topLinePunct w:val="0"/>
        <w:autoSpaceDE/>
        <w:autoSpaceDN/>
        <w:bidi w:val="0"/>
        <w:adjustRightInd/>
        <w:snapToGrid/>
        <w:spacing w:line="360" w:lineRule="auto"/>
        <w:ind w:firstLine="420" w:firstLineChars="200"/>
        <w:textAlignment w:val="auto"/>
        <w:rPr>
          <w:rFonts w:hint="eastAsia" w:ascii="宋体" w:hAnsi="宋体" w:cs="宋体"/>
          <w:color w:val="auto"/>
        </w:rPr>
      </w:pPr>
      <w:r>
        <w:rPr>
          <w:rFonts w:hint="eastAsia" w:ascii="宋体" w:hAnsi="宋体" w:cs="宋体"/>
          <w:color w:val="auto"/>
        </w:rPr>
        <w:t>5、投标人应满足招标人提出的各项技术要求，必要时应当免费提供技术承诺或担保。</w:t>
      </w:r>
    </w:p>
    <w:p>
      <w:pPr>
        <w:keepNext w:val="0"/>
        <w:keepLines w:val="0"/>
        <w:pageBreakBefore w:val="0"/>
        <w:widowControl w:val="0"/>
        <w:kinsoku/>
        <w:wordWrap/>
        <w:overflowPunct w:val="0"/>
        <w:topLinePunct w:val="0"/>
        <w:autoSpaceDE/>
        <w:autoSpaceDN/>
        <w:bidi w:val="0"/>
        <w:adjustRightInd/>
        <w:snapToGrid/>
        <w:spacing w:line="360" w:lineRule="auto"/>
        <w:ind w:firstLine="420" w:firstLineChars="200"/>
        <w:textAlignment w:val="auto"/>
        <w:rPr>
          <w:rFonts w:hint="eastAsia"/>
          <w:color w:val="auto"/>
        </w:rPr>
      </w:pPr>
      <w:r>
        <w:rPr>
          <w:rFonts w:hint="eastAsia" w:ascii="宋体" w:hAnsi="宋体" w:cs="宋体"/>
          <w:color w:val="auto"/>
        </w:rPr>
        <w:t>6、投标人应对招标人采购的货物所涉及的技术、产能等信息负有保密义务，招标人拥有追究投标人泄密责任的权利；招标人如有需要，投标人应无条件签署保密协议。</w:t>
      </w:r>
    </w:p>
    <w:p>
      <w:pPr>
        <w:keepNext w:val="0"/>
        <w:keepLines w:val="0"/>
        <w:pageBreakBefore w:val="0"/>
        <w:widowControl w:val="0"/>
        <w:kinsoku/>
        <w:wordWrap/>
        <w:topLinePunct w:val="0"/>
        <w:autoSpaceDE/>
        <w:autoSpaceDN/>
        <w:bidi w:val="0"/>
        <w:adjustRightInd/>
        <w:snapToGrid/>
        <w:spacing w:line="360" w:lineRule="auto"/>
        <w:ind w:firstLine="420" w:firstLineChars="200"/>
        <w:textAlignment w:val="auto"/>
        <w:rPr>
          <w:rFonts w:hint="eastAsia" w:ascii="宋体" w:hAnsi="宋体"/>
          <w:color w:val="auto"/>
        </w:rPr>
      </w:pPr>
      <w:r>
        <w:rPr>
          <w:rFonts w:hint="eastAsia" w:ascii="宋体" w:hAnsi="宋体"/>
          <w:color w:val="auto"/>
        </w:rPr>
        <w:t>7、如果有采用国际标准的货物，其执行标准由投标方提供、招标方确认。</w:t>
      </w:r>
    </w:p>
    <w:p>
      <w:pPr>
        <w:keepNext w:val="0"/>
        <w:keepLines w:val="0"/>
        <w:pageBreakBefore w:val="0"/>
        <w:widowControl w:val="0"/>
        <w:kinsoku/>
        <w:wordWrap/>
        <w:topLinePunct w:val="0"/>
        <w:autoSpaceDE/>
        <w:autoSpaceDN/>
        <w:bidi w:val="0"/>
        <w:adjustRightInd/>
        <w:snapToGrid/>
        <w:spacing w:line="360" w:lineRule="auto"/>
        <w:ind w:firstLine="420" w:firstLineChars="200"/>
        <w:textAlignment w:val="auto"/>
        <w:rPr>
          <w:rFonts w:hint="eastAsia" w:ascii="宋体"/>
          <w:color w:val="auto"/>
        </w:rPr>
      </w:pPr>
      <w:r>
        <w:rPr>
          <w:rFonts w:hint="eastAsia" w:ascii="宋体"/>
          <w:color w:val="auto"/>
        </w:rPr>
        <w:t>8、涉及的主要标准</w:t>
      </w:r>
      <w:r>
        <w:rPr>
          <w:rFonts w:hint="eastAsia" w:ascii="宋体"/>
          <w:color w:val="auto"/>
          <w:lang w:eastAsia="zh-CN"/>
        </w:rPr>
        <w:t>（</w:t>
      </w:r>
      <w:r>
        <w:rPr>
          <w:rFonts w:hint="eastAsia" w:ascii="宋体" w:hAnsi="宋体"/>
          <w:color w:val="auto"/>
          <w:highlight w:val="none"/>
          <w:lang w:val="en-US" w:eastAsia="zh-CN"/>
        </w:rPr>
        <w:t>有最新版按照最新版要求执行</w:t>
      </w:r>
      <w:r>
        <w:rPr>
          <w:rFonts w:hint="eastAsia" w:ascii="宋体"/>
          <w:color w:val="auto"/>
          <w:lang w:eastAsia="zh-CN"/>
        </w:rPr>
        <w:t>）</w:t>
      </w:r>
      <w:r>
        <w:rPr>
          <w:rFonts w:hint="eastAsia" w:ascii="宋体"/>
          <w:color w:val="auto"/>
        </w:rPr>
        <w:t>：</w:t>
      </w:r>
    </w:p>
    <w:tbl>
      <w:tblPr>
        <w:tblStyle w:val="41"/>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640"/>
        <w:gridCol w:w="6354"/>
        <w:gridCol w:w="21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49" w:type="pct"/>
            <w:noWrap w:val="0"/>
            <w:vAlign w:val="center"/>
          </w:tcPr>
          <w:p>
            <w:pPr>
              <w:overflowPunct w:val="0"/>
              <w:jc w:val="center"/>
              <w:rPr>
                <w:rFonts w:hint="eastAsia" w:ascii="宋体" w:hAnsi="宋体" w:eastAsia="宋体" w:cs="宋体"/>
                <w:b/>
                <w:bCs/>
                <w:color w:val="auto"/>
                <w:sz w:val="21"/>
                <w:szCs w:val="21"/>
              </w:rPr>
            </w:pPr>
            <w:r>
              <w:rPr>
                <w:rFonts w:hint="eastAsia" w:ascii="宋体" w:hAnsi="宋体" w:eastAsia="宋体" w:cs="宋体"/>
                <w:b/>
                <w:bCs/>
                <w:color w:val="auto"/>
                <w:sz w:val="21"/>
                <w:szCs w:val="21"/>
              </w:rPr>
              <w:t>序号</w:t>
            </w:r>
          </w:p>
        </w:tc>
        <w:tc>
          <w:tcPr>
            <w:tcW w:w="3465" w:type="pct"/>
            <w:noWrap w:val="0"/>
            <w:vAlign w:val="center"/>
          </w:tcPr>
          <w:p>
            <w:pPr>
              <w:overflowPunct w:val="0"/>
              <w:autoSpaceDE w:val="0"/>
              <w:autoSpaceDN w:val="0"/>
              <w:jc w:val="center"/>
              <w:rPr>
                <w:rFonts w:hint="eastAsia" w:ascii="宋体" w:hAnsi="宋体" w:eastAsia="宋体" w:cs="宋体"/>
                <w:b/>
                <w:bCs/>
                <w:color w:val="auto"/>
                <w:sz w:val="21"/>
                <w:szCs w:val="21"/>
              </w:rPr>
            </w:pPr>
            <w:r>
              <w:rPr>
                <w:rFonts w:hint="eastAsia" w:ascii="宋体" w:hAnsi="宋体" w:eastAsia="宋体" w:cs="宋体"/>
                <w:b/>
                <w:bCs/>
                <w:color w:val="auto"/>
                <w:sz w:val="21"/>
                <w:szCs w:val="21"/>
              </w:rPr>
              <w:t>标准名称</w:t>
            </w:r>
          </w:p>
        </w:tc>
        <w:tc>
          <w:tcPr>
            <w:tcW w:w="1184" w:type="pct"/>
            <w:noWrap w:val="0"/>
            <w:vAlign w:val="center"/>
          </w:tcPr>
          <w:p>
            <w:pPr>
              <w:overflowPunct w:val="0"/>
              <w:jc w:val="center"/>
              <w:rPr>
                <w:rFonts w:hint="eastAsia" w:ascii="宋体" w:hAnsi="宋体" w:eastAsia="宋体" w:cs="宋体"/>
                <w:b/>
                <w:bCs/>
                <w:color w:val="auto"/>
                <w:sz w:val="21"/>
                <w:szCs w:val="21"/>
              </w:rPr>
            </w:pPr>
            <w:r>
              <w:rPr>
                <w:rFonts w:hint="eastAsia" w:ascii="宋体" w:hAnsi="宋体" w:eastAsia="宋体" w:cs="宋体"/>
                <w:b/>
                <w:bCs/>
                <w:color w:val="auto"/>
                <w:sz w:val="21"/>
                <w:szCs w:val="21"/>
              </w:rPr>
              <w:t>标准编号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80" w:hRule="atLeast"/>
          <w:jc w:val="center"/>
        </w:trPr>
        <w:tc>
          <w:tcPr>
            <w:tcW w:w="349"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1</w:t>
            </w:r>
          </w:p>
        </w:tc>
        <w:tc>
          <w:tcPr>
            <w:tcW w:w="3465"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机械安全防护装置固定式和活动式防护装置设计与制造一般要求</w:t>
            </w:r>
          </w:p>
        </w:tc>
        <w:tc>
          <w:tcPr>
            <w:tcW w:w="1184"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GB/T8196-2018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80" w:hRule="atLeast"/>
          <w:jc w:val="center"/>
        </w:trPr>
        <w:tc>
          <w:tcPr>
            <w:tcW w:w="349"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2</w:t>
            </w:r>
          </w:p>
        </w:tc>
        <w:tc>
          <w:tcPr>
            <w:tcW w:w="3465"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工业企业生产过程中噪声控制设计规范</w:t>
            </w:r>
          </w:p>
        </w:tc>
        <w:tc>
          <w:tcPr>
            <w:tcW w:w="1184"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GB/T50087-2013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80" w:hRule="atLeast"/>
          <w:jc w:val="center"/>
        </w:trPr>
        <w:tc>
          <w:tcPr>
            <w:tcW w:w="349"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3</w:t>
            </w:r>
          </w:p>
        </w:tc>
        <w:tc>
          <w:tcPr>
            <w:tcW w:w="3465"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工业企业设计卫生标准</w:t>
            </w:r>
          </w:p>
        </w:tc>
        <w:tc>
          <w:tcPr>
            <w:tcW w:w="1184"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GBZ1-2010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80" w:hRule="atLeast"/>
          <w:jc w:val="center"/>
        </w:trPr>
        <w:tc>
          <w:tcPr>
            <w:tcW w:w="349"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4</w:t>
            </w:r>
          </w:p>
        </w:tc>
        <w:tc>
          <w:tcPr>
            <w:tcW w:w="3465"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机械设备防护罩安全标准</w:t>
            </w:r>
          </w:p>
        </w:tc>
        <w:tc>
          <w:tcPr>
            <w:tcW w:w="1184"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GB8196-2003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80" w:hRule="atLeast"/>
          <w:jc w:val="center"/>
        </w:trPr>
        <w:tc>
          <w:tcPr>
            <w:tcW w:w="349"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5</w:t>
            </w:r>
          </w:p>
        </w:tc>
        <w:tc>
          <w:tcPr>
            <w:tcW w:w="3465"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施工现场临时用电安全技术规范</w:t>
            </w:r>
          </w:p>
        </w:tc>
        <w:tc>
          <w:tcPr>
            <w:tcW w:w="1184"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JGJ46-2018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80" w:hRule="atLeast"/>
          <w:jc w:val="center"/>
        </w:trPr>
        <w:tc>
          <w:tcPr>
            <w:tcW w:w="349"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6</w:t>
            </w:r>
          </w:p>
        </w:tc>
        <w:tc>
          <w:tcPr>
            <w:tcW w:w="3465"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机械工业职工安全卫生设计规定</w:t>
            </w:r>
          </w:p>
        </w:tc>
        <w:tc>
          <w:tcPr>
            <w:tcW w:w="1184"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JBJ18-2000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80" w:hRule="atLeast"/>
          <w:jc w:val="center"/>
        </w:trPr>
        <w:tc>
          <w:tcPr>
            <w:tcW w:w="349"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w:t>
            </w:r>
          </w:p>
        </w:tc>
        <w:tc>
          <w:tcPr>
            <w:tcW w:w="3465"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电气装置安装工程旋转电机施工及验收规范</w:t>
            </w:r>
          </w:p>
        </w:tc>
        <w:tc>
          <w:tcPr>
            <w:tcW w:w="1184" w:type="pct"/>
            <w:shd w:val="clear" w:color="auto" w:fill="auto"/>
            <w:noWrap w:val="0"/>
            <w:vAlign w:val="center"/>
          </w:tcPr>
          <w:p>
            <w:pPr>
              <w:overflowPunct w:val="0"/>
              <w:autoSpaceDE w:val="0"/>
              <w:autoSpaceDN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GB50170-2018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80" w:hRule="atLeast"/>
          <w:jc w:val="center"/>
        </w:trPr>
        <w:tc>
          <w:tcPr>
            <w:tcW w:w="349" w:type="pct"/>
            <w:shd w:val="clear" w:color="auto" w:fill="auto"/>
            <w:noWrap w:val="0"/>
            <w:vAlign w:val="center"/>
          </w:tcPr>
          <w:p>
            <w:pPr>
              <w:overflowPunct w:val="0"/>
              <w:autoSpaceDE w:val="0"/>
              <w:autoSpaceDN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8</w:t>
            </w:r>
          </w:p>
        </w:tc>
        <w:tc>
          <w:tcPr>
            <w:tcW w:w="3465" w:type="pct"/>
            <w:shd w:val="clear" w:color="auto" w:fill="auto"/>
            <w:noWrap w:val="0"/>
            <w:vAlign w:val="center"/>
          </w:tcPr>
          <w:p>
            <w:pPr>
              <w:overflowPunct w:val="0"/>
              <w:autoSpaceDE w:val="0"/>
              <w:autoSpaceDN w:val="0"/>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《电气装置安装工程电缆线路施工及验收规范》</w:t>
            </w:r>
          </w:p>
        </w:tc>
        <w:tc>
          <w:tcPr>
            <w:tcW w:w="1184" w:type="pct"/>
            <w:shd w:val="clear" w:color="auto" w:fill="auto"/>
            <w:noWrap w:val="0"/>
            <w:vAlign w:val="center"/>
          </w:tcPr>
          <w:p>
            <w:pPr>
              <w:overflowPunct w:val="0"/>
              <w:autoSpaceDE w:val="0"/>
              <w:autoSpaceDN w:val="0"/>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GB50168-2006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80" w:hRule="atLeast"/>
          <w:jc w:val="center"/>
        </w:trPr>
        <w:tc>
          <w:tcPr>
            <w:tcW w:w="349" w:type="pct"/>
            <w:shd w:val="clear" w:color="auto" w:fill="auto"/>
            <w:noWrap w:val="0"/>
            <w:vAlign w:val="center"/>
          </w:tcPr>
          <w:p>
            <w:pPr>
              <w:overflowPunct w:val="0"/>
              <w:autoSpaceDE w:val="0"/>
              <w:autoSpaceDN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9</w:t>
            </w:r>
          </w:p>
        </w:tc>
        <w:tc>
          <w:tcPr>
            <w:tcW w:w="3465" w:type="pct"/>
            <w:shd w:val="clear" w:color="auto" w:fill="auto"/>
            <w:noWrap w:val="0"/>
            <w:vAlign w:val="center"/>
          </w:tcPr>
          <w:p>
            <w:pPr>
              <w:overflowPunct w:val="0"/>
              <w:autoSpaceDE w:val="0"/>
              <w:autoSpaceDN w:val="0"/>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中国重型汽车有限公司企业标准《设备设施颜色标识》</w:t>
            </w:r>
          </w:p>
        </w:tc>
        <w:tc>
          <w:tcPr>
            <w:tcW w:w="1184" w:type="pct"/>
            <w:shd w:val="clear" w:color="auto" w:fill="auto"/>
            <w:noWrap w:val="0"/>
            <w:vAlign w:val="center"/>
          </w:tcPr>
          <w:p>
            <w:pPr>
              <w:overflowPunct w:val="0"/>
              <w:autoSpaceDE w:val="0"/>
              <w:autoSpaceDN w:val="0"/>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Q/ZZ30070-2021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80" w:hRule="atLeast"/>
          <w:jc w:val="center"/>
        </w:trPr>
        <w:tc>
          <w:tcPr>
            <w:tcW w:w="349" w:type="pct"/>
            <w:shd w:val="clear" w:color="auto" w:fill="auto"/>
            <w:noWrap w:val="0"/>
            <w:vAlign w:val="center"/>
          </w:tcPr>
          <w:p>
            <w:pPr>
              <w:overflowPunct w:val="0"/>
              <w:autoSpaceDE w:val="0"/>
              <w:autoSpaceDN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10</w:t>
            </w:r>
          </w:p>
        </w:tc>
        <w:tc>
          <w:tcPr>
            <w:tcW w:w="3465" w:type="pct"/>
            <w:shd w:val="clear" w:color="auto" w:fill="auto"/>
            <w:noWrap w:val="0"/>
            <w:vAlign w:val="center"/>
          </w:tcPr>
          <w:p>
            <w:pPr>
              <w:overflowPunct w:val="0"/>
              <w:autoSpaceDE w:val="0"/>
              <w:autoSpaceDN w:val="0"/>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HYPERLINK "http://product.dangdang.com/1100236607.html" \t "_blank" </w:instrText>
            </w:r>
            <w:r>
              <w:rPr>
                <w:rFonts w:hint="eastAsia" w:ascii="宋体" w:hAnsi="宋体" w:eastAsia="宋体" w:cs="宋体"/>
                <w:color w:val="auto"/>
                <w:sz w:val="21"/>
                <w:szCs w:val="21"/>
              </w:rPr>
              <w:fldChar w:fldCharType="separate"/>
            </w:r>
            <w:r>
              <w:rPr>
                <w:rFonts w:hint="eastAsia" w:ascii="宋体" w:hAnsi="宋体" w:eastAsia="宋体" w:cs="宋体"/>
                <w:color w:val="auto"/>
                <w:sz w:val="21"/>
                <w:szCs w:val="21"/>
              </w:rPr>
              <w:t>机器的安全性防止人体上下肢触及危险区的安全距离</w:t>
            </w:r>
            <w:r>
              <w:rPr>
                <w:rFonts w:hint="eastAsia" w:ascii="宋体" w:hAnsi="宋体" w:eastAsia="宋体" w:cs="宋体"/>
                <w:color w:val="auto"/>
                <w:sz w:val="21"/>
                <w:szCs w:val="21"/>
              </w:rPr>
              <w:fldChar w:fldCharType="end"/>
            </w:r>
          </w:p>
        </w:tc>
        <w:tc>
          <w:tcPr>
            <w:tcW w:w="1184" w:type="pct"/>
            <w:shd w:val="clear" w:color="auto" w:fill="auto"/>
            <w:noWrap w:val="0"/>
            <w:vAlign w:val="center"/>
          </w:tcPr>
          <w:p>
            <w:pPr>
              <w:overflowPunct w:val="0"/>
              <w:autoSpaceDE w:val="0"/>
              <w:autoSpaceDN w:val="0"/>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GB23821-2009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80" w:hRule="atLeast"/>
          <w:jc w:val="center"/>
        </w:trPr>
        <w:tc>
          <w:tcPr>
            <w:tcW w:w="349" w:type="pct"/>
            <w:shd w:val="clear" w:color="auto" w:fill="auto"/>
            <w:noWrap w:val="0"/>
            <w:vAlign w:val="center"/>
          </w:tcPr>
          <w:p>
            <w:pPr>
              <w:overflowPunct w:val="0"/>
              <w:autoSpaceDE w:val="0"/>
              <w:autoSpaceDN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11</w:t>
            </w:r>
          </w:p>
        </w:tc>
        <w:tc>
          <w:tcPr>
            <w:tcW w:w="3465" w:type="pct"/>
            <w:shd w:val="clear" w:color="auto" w:fill="auto"/>
            <w:noWrap w:val="0"/>
            <w:vAlign w:val="center"/>
          </w:tcPr>
          <w:p>
            <w:pPr>
              <w:widowControl/>
              <w:autoSpaceDE w:val="0"/>
              <w:autoSpaceDN w:val="0"/>
              <w:adjustRightInd w:val="0"/>
              <w:spacing w:before="27" w:line="480" w:lineRule="exact"/>
              <w:ind w:right="36" w:rightChars="17"/>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《机械设备安装工程施工及验收规范》</w:t>
            </w:r>
          </w:p>
        </w:tc>
        <w:tc>
          <w:tcPr>
            <w:tcW w:w="1184" w:type="pct"/>
            <w:shd w:val="clear" w:color="auto" w:fill="auto"/>
            <w:noWrap w:val="0"/>
            <w:vAlign w:val="center"/>
          </w:tcPr>
          <w:p>
            <w:pPr>
              <w:overflowPunct w:val="0"/>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GB 50231-98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0" w:type="auto"/>
            <w:vAlign w:val="center"/>
          </w:tcPr>
          <w:p>
            <w:pPr>
              <w:overflowPunct w:val="0"/>
              <w:autoSpaceDE w:val="0"/>
              <w:autoSpaceDN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12</w:t>
            </w:r>
          </w:p>
        </w:tc>
        <w:tc>
          <w:tcPr>
            <w:tcW w:w="0" w:type="auto"/>
            <w:shd w:val="clear" w:color="auto" w:fill="auto"/>
            <w:vAlign w:val="center"/>
          </w:tcPr>
          <w:p>
            <w:pPr>
              <w:overflowPunct w:val="0"/>
              <w:autoSpaceDE w:val="0"/>
              <w:autoSpaceDN w:val="0"/>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工作场所物理因素测量</w:t>
            </w:r>
          </w:p>
        </w:tc>
        <w:tc>
          <w:tcPr>
            <w:tcW w:w="0" w:type="auto"/>
            <w:shd w:val="clear" w:color="auto" w:fill="auto"/>
            <w:vAlign w:val="center"/>
          </w:tcPr>
          <w:p>
            <w:pPr>
              <w:overflowPunct w:val="0"/>
              <w:autoSpaceDE w:val="0"/>
              <w:autoSpaceDN w:val="0"/>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GBZ/T189.1-2007</w:t>
            </w:r>
          </w:p>
        </w:tc>
      </w:tr>
    </w:tbl>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Theme="minorEastAsia" w:hAnsiTheme="minorEastAsia" w:eastAsiaTheme="minorEastAsia"/>
          <w:b/>
          <w:sz w:val="24"/>
          <w:szCs w:val="24"/>
          <w:lang w:val="en-US" w:eastAsia="zh-CN"/>
        </w:rPr>
      </w:pPr>
      <w:r>
        <w:rPr>
          <w:rFonts w:hint="eastAsia" w:ascii="黑体" w:hAnsi="宋体" w:eastAsia="黑体"/>
          <w:b/>
          <w:bCs/>
          <w:color w:val="auto"/>
          <w:lang w:val="en-US" w:eastAsia="zh-CN"/>
        </w:rPr>
        <w:t>三、</w:t>
      </w:r>
      <w:r>
        <w:rPr>
          <w:rFonts w:hint="eastAsia" w:ascii="黑体" w:hAnsi="宋体" w:eastAsia="黑体"/>
          <w:b/>
          <w:bCs/>
          <w:color w:val="auto"/>
        </w:rPr>
        <w:t>技术规范和技术要求</w:t>
      </w:r>
    </w:p>
    <w:p>
      <w:pPr>
        <w:autoSpaceDE w:val="0"/>
        <w:autoSpaceDN w:val="0"/>
        <w:adjustRightInd w:val="0"/>
        <w:spacing w:line="480" w:lineRule="exact"/>
        <w:jc w:val="left"/>
        <w:rPr>
          <w:rFonts w:ascii="宋体" w:hAnsi="宋体"/>
          <w:b/>
          <w:sz w:val="21"/>
          <w:szCs w:val="21"/>
          <w:highlight w:val="none"/>
        </w:rPr>
      </w:pPr>
      <w:r>
        <w:rPr>
          <w:rFonts w:hint="eastAsia" w:ascii="宋体" w:hAnsi="宋体"/>
          <w:b/>
          <w:sz w:val="21"/>
          <w:szCs w:val="21"/>
          <w:highlight w:val="none"/>
          <w:lang w:val="en-US" w:eastAsia="zh-CN"/>
        </w:rPr>
        <w:t>1</w:t>
      </w:r>
      <w:r>
        <w:rPr>
          <w:rFonts w:hint="eastAsia" w:ascii="宋体" w:hAnsi="宋体"/>
          <w:b/>
          <w:sz w:val="21"/>
          <w:szCs w:val="21"/>
          <w:highlight w:val="none"/>
        </w:rPr>
        <w:t>、通用技术要求</w:t>
      </w:r>
    </w:p>
    <w:p>
      <w:pPr>
        <w:spacing w:line="360" w:lineRule="auto"/>
        <w:ind w:firstLine="480"/>
        <w:rPr>
          <w:rFonts w:hint="eastAsia" w:ascii="宋体" w:hAnsi="宋体"/>
          <w:b w:val="0"/>
          <w:bCs/>
          <w:sz w:val="21"/>
          <w:szCs w:val="21"/>
        </w:rPr>
      </w:pPr>
      <w:bookmarkStart w:id="116" w:name="_Toc2686"/>
      <w:bookmarkStart w:id="117" w:name="_Toc22533"/>
      <w:r>
        <w:rPr>
          <w:rFonts w:hint="eastAsia" w:ascii="宋体" w:hAnsi="宋体"/>
          <w:b w:val="0"/>
          <w:bCs/>
          <w:sz w:val="21"/>
          <w:szCs w:val="21"/>
          <w:lang w:val="en-US" w:eastAsia="zh-CN"/>
        </w:rPr>
        <w:t>1.1</w:t>
      </w:r>
      <w:r>
        <w:rPr>
          <w:rFonts w:hint="eastAsia" w:ascii="宋体" w:hAnsi="宋体"/>
          <w:b w:val="0"/>
          <w:bCs/>
          <w:sz w:val="21"/>
          <w:szCs w:val="21"/>
        </w:rPr>
        <w:t>、基本要求</w:t>
      </w:r>
      <w:bookmarkEnd w:id="116"/>
      <w:bookmarkEnd w:id="117"/>
    </w:p>
    <w:p>
      <w:pPr>
        <w:spacing w:line="360" w:lineRule="auto"/>
        <w:ind w:firstLine="480"/>
        <w:rPr>
          <w:rFonts w:ascii="宋体" w:hAnsi="宋体"/>
          <w:sz w:val="21"/>
          <w:szCs w:val="21"/>
        </w:rPr>
      </w:pPr>
      <w:r>
        <w:rPr>
          <w:rFonts w:hint="eastAsia" w:ascii="宋体" w:hAnsi="宋体"/>
          <w:sz w:val="21"/>
          <w:szCs w:val="21"/>
          <w:highlight w:val="none"/>
          <w:lang w:val="en-US" w:eastAsia="zh-CN"/>
        </w:rPr>
        <w:t>1.1</w:t>
      </w:r>
      <w:r>
        <w:rPr>
          <w:rFonts w:ascii="宋体" w:hAnsi="宋体"/>
          <w:sz w:val="21"/>
          <w:szCs w:val="21"/>
          <w:highlight w:val="none"/>
        </w:rPr>
        <w:t>.1</w:t>
      </w:r>
      <w:r>
        <w:rPr>
          <w:rFonts w:hint="eastAsia" w:ascii="宋体" w:hAnsi="宋体"/>
          <w:sz w:val="21"/>
          <w:szCs w:val="21"/>
          <w:highlight w:val="none"/>
          <w:lang w:val="en-US" w:eastAsia="zh-CN"/>
        </w:rPr>
        <w:t>设备</w:t>
      </w:r>
      <w:r>
        <w:rPr>
          <w:rFonts w:hint="eastAsia" w:ascii="宋体" w:hAnsi="宋体"/>
          <w:sz w:val="21"/>
          <w:szCs w:val="21"/>
          <w:highlight w:val="none"/>
        </w:rPr>
        <w:t>用于</w:t>
      </w:r>
      <w:r>
        <w:rPr>
          <w:rFonts w:hint="eastAsia" w:ascii="宋体" w:hAnsi="宋体"/>
          <w:sz w:val="21"/>
          <w:szCs w:val="21"/>
          <w:highlight w:val="none"/>
          <w:lang w:val="en-US" w:eastAsia="zh-CN"/>
        </w:rPr>
        <w:t>卡车</w:t>
      </w:r>
      <w:r>
        <w:rPr>
          <w:rFonts w:hint="eastAsia" w:ascii="宋体" w:hAnsi="宋体"/>
          <w:sz w:val="21"/>
          <w:szCs w:val="21"/>
          <w:highlight w:val="none"/>
        </w:rPr>
        <w:t>总装</w:t>
      </w:r>
      <w:r>
        <w:rPr>
          <w:rFonts w:hint="eastAsia" w:ascii="宋体" w:hAnsi="宋体"/>
          <w:sz w:val="21"/>
          <w:szCs w:val="21"/>
          <w:highlight w:val="none"/>
          <w:lang w:val="en-US" w:eastAsia="zh-CN"/>
        </w:rPr>
        <w:t>装配线直行定位测量</w:t>
      </w:r>
      <w:r>
        <w:rPr>
          <w:rFonts w:hint="eastAsia" w:ascii="宋体" w:hAnsi="宋体"/>
          <w:sz w:val="21"/>
          <w:szCs w:val="21"/>
          <w:highlight w:val="none"/>
        </w:rPr>
        <w:t>工序。</w:t>
      </w:r>
      <w:r>
        <w:rPr>
          <w:rFonts w:hint="eastAsia" w:ascii="宋体" w:hAnsi="宋体"/>
          <w:sz w:val="21"/>
          <w:szCs w:val="21"/>
          <w:highlight w:val="none"/>
          <w:lang w:val="en-US" w:eastAsia="zh-CN"/>
        </w:rPr>
        <w:t>直行定位仪必须为</w:t>
      </w:r>
      <w:r>
        <w:rPr>
          <w:rFonts w:hint="eastAsia" w:ascii="宋体" w:hAnsi="宋体"/>
          <w:sz w:val="21"/>
          <w:szCs w:val="21"/>
          <w:highlight w:val="none"/>
        </w:rPr>
        <w:t>全新设备，采用成熟技术和结构，关键件及设备</w:t>
      </w:r>
      <w:r>
        <w:rPr>
          <w:rFonts w:ascii="宋体" w:hAnsi="宋体"/>
          <w:sz w:val="21"/>
          <w:szCs w:val="21"/>
          <w:highlight w:val="none"/>
        </w:rPr>
        <w:t>主</w:t>
      </w:r>
      <w:r>
        <w:rPr>
          <w:rFonts w:hint="eastAsia" w:ascii="宋体" w:hAnsi="宋体"/>
          <w:sz w:val="21"/>
          <w:szCs w:val="21"/>
          <w:highlight w:val="none"/>
        </w:rPr>
        <w:t>体</w:t>
      </w:r>
      <w:r>
        <w:rPr>
          <w:rFonts w:hint="eastAsia" w:ascii="宋体" w:hAnsi="宋体"/>
          <w:sz w:val="21"/>
          <w:szCs w:val="21"/>
          <w:highlight w:val="none"/>
          <w:lang w:val="en-US" w:eastAsia="zh-CN"/>
        </w:rPr>
        <w:t>必须</w:t>
      </w:r>
      <w:r>
        <w:rPr>
          <w:rFonts w:hint="eastAsia" w:ascii="宋体" w:hAnsi="宋体"/>
          <w:sz w:val="21"/>
          <w:szCs w:val="21"/>
          <w:highlight w:val="none"/>
        </w:rPr>
        <w:t>采用名优产品；结构设计合理，性能稳定可靠；在工作状态时，有足够的静态、动态刚度</w:t>
      </w:r>
      <w:r>
        <w:rPr>
          <w:rFonts w:hint="eastAsia" w:ascii="宋体" w:hAnsi="宋体"/>
          <w:sz w:val="21"/>
          <w:szCs w:val="21"/>
        </w:rPr>
        <w:t>。</w:t>
      </w:r>
    </w:p>
    <w:p>
      <w:pPr>
        <w:spacing w:line="360" w:lineRule="auto"/>
        <w:ind w:firstLine="480"/>
        <w:rPr>
          <w:rFonts w:ascii="宋体" w:hAnsi="宋体"/>
          <w:sz w:val="21"/>
          <w:szCs w:val="21"/>
        </w:rPr>
      </w:pPr>
      <w:r>
        <w:rPr>
          <w:rFonts w:hint="eastAsia" w:ascii="宋体" w:hAnsi="宋体"/>
          <w:sz w:val="21"/>
          <w:szCs w:val="21"/>
          <w:lang w:val="en-US" w:eastAsia="zh-CN"/>
        </w:rPr>
        <w:t>1.1</w:t>
      </w:r>
      <w:r>
        <w:rPr>
          <w:rFonts w:ascii="宋体" w:hAnsi="宋体"/>
          <w:sz w:val="21"/>
          <w:szCs w:val="21"/>
        </w:rPr>
        <w:t>.2</w:t>
      </w:r>
      <w:r>
        <w:rPr>
          <w:rFonts w:hint="eastAsia" w:ascii="宋体" w:hAnsi="宋体"/>
          <w:sz w:val="21"/>
          <w:szCs w:val="21"/>
        </w:rPr>
        <w:t>投标方积极协助和提供招标方有关人员所需要的和设备（或材料）有关的资料、技术咨询等。</w:t>
      </w:r>
    </w:p>
    <w:p>
      <w:pPr>
        <w:spacing w:line="360" w:lineRule="auto"/>
        <w:ind w:firstLine="480"/>
        <w:rPr>
          <w:rFonts w:ascii="宋体" w:hAnsi="宋体"/>
          <w:sz w:val="21"/>
          <w:szCs w:val="21"/>
        </w:rPr>
      </w:pPr>
      <w:r>
        <w:rPr>
          <w:rFonts w:hint="eastAsia" w:ascii="宋体" w:hAnsi="宋体"/>
          <w:sz w:val="21"/>
          <w:szCs w:val="21"/>
          <w:lang w:val="en-US" w:eastAsia="zh-CN"/>
        </w:rPr>
        <w:t>1.1</w:t>
      </w:r>
      <w:r>
        <w:rPr>
          <w:rFonts w:ascii="宋体" w:hAnsi="宋体"/>
          <w:sz w:val="21"/>
          <w:szCs w:val="21"/>
        </w:rPr>
        <w:t>.</w:t>
      </w:r>
      <w:r>
        <w:rPr>
          <w:rFonts w:hint="eastAsia" w:ascii="宋体" w:hAnsi="宋体"/>
          <w:sz w:val="21"/>
          <w:szCs w:val="21"/>
        </w:rPr>
        <w:t>3</w:t>
      </w:r>
      <w:r>
        <w:rPr>
          <w:rFonts w:ascii="宋体" w:hAnsi="宋体"/>
          <w:sz w:val="21"/>
          <w:szCs w:val="21"/>
        </w:rPr>
        <w:t xml:space="preserve"> </w:t>
      </w:r>
      <w:bookmarkStart w:id="118" w:name="OLE_LINK9"/>
      <w:r>
        <w:rPr>
          <w:rFonts w:hint="eastAsia" w:ascii="宋体" w:hAnsi="宋体"/>
          <w:sz w:val="21"/>
          <w:szCs w:val="21"/>
        </w:rPr>
        <w:t>投标方所供的设备</w:t>
      </w:r>
      <w:bookmarkEnd w:id="118"/>
      <w:r>
        <w:rPr>
          <w:rFonts w:hint="eastAsia" w:ascii="宋体" w:hAnsi="宋体"/>
          <w:sz w:val="21"/>
          <w:szCs w:val="21"/>
        </w:rPr>
        <w:t>，必须符合中国最新版的法律、法规和相关标准、规范的要求。</w:t>
      </w:r>
    </w:p>
    <w:p>
      <w:pPr>
        <w:spacing w:line="360" w:lineRule="auto"/>
        <w:ind w:firstLine="480"/>
        <w:rPr>
          <w:rFonts w:ascii="宋体" w:hAnsi="宋体"/>
          <w:sz w:val="21"/>
          <w:szCs w:val="21"/>
        </w:rPr>
      </w:pPr>
      <w:r>
        <w:rPr>
          <w:rFonts w:hint="eastAsia" w:ascii="宋体" w:hAnsi="宋体"/>
          <w:sz w:val="21"/>
          <w:szCs w:val="21"/>
          <w:lang w:val="en-US" w:eastAsia="zh-CN"/>
        </w:rPr>
        <w:t>1.1</w:t>
      </w:r>
      <w:r>
        <w:rPr>
          <w:rFonts w:ascii="宋体" w:hAnsi="宋体"/>
          <w:sz w:val="21"/>
          <w:szCs w:val="21"/>
        </w:rPr>
        <w:t>.</w:t>
      </w:r>
      <w:r>
        <w:rPr>
          <w:rFonts w:hint="eastAsia" w:ascii="宋体" w:hAnsi="宋体"/>
          <w:sz w:val="21"/>
          <w:szCs w:val="21"/>
        </w:rPr>
        <w:t>4</w:t>
      </w:r>
      <w:r>
        <w:rPr>
          <w:rFonts w:ascii="宋体" w:hAnsi="宋体"/>
          <w:sz w:val="21"/>
          <w:szCs w:val="21"/>
        </w:rPr>
        <w:t xml:space="preserve"> </w:t>
      </w:r>
      <w:r>
        <w:rPr>
          <w:rFonts w:hint="eastAsia" w:ascii="宋体" w:hAnsi="宋体"/>
          <w:sz w:val="21"/>
          <w:szCs w:val="21"/>
        </w:rPr>
        <w:t>投标方所供设备涉及的专利权技术以及知识产权保护其它技术等，应保证招标方不因此受到第三方侵权指控以及实际损失。</w:t>
      </w:r>
    </w:p>
    <w:p>
      <w:pPr>
        <w:spacing w:line="360" w:lineRule="auto"/>
        <w:ind w:firstLine="480"/>
        <w:rPr>
          <w:rFonts w:ascii="宋体" w:hAnsi="宋体"/>
          <w:sz w:val="21"/>
          <w:szCs w:val="21"/>
        </w:rPr>
      </w:pPr>
      <w:r>
        <w:rPr>
          <w:rFonts w:hint="eastAsia" w:ascii="宋体" w:hAnsi="宋体"/>
          <w:sz w:val="21"/>
          <w:szCs w:val="21"/>
          <w:lang w:val="en-US" w:eastAsia="zh-CN"/>
        </w:rPr>
        <w:t>1.1</w:t>
      </w:r>
      <w:r>
        <w:rPr>
          <w:rFonts w:ascii="宋体" w:hAnsi="宋体"/>
          <w:sz w:val="21"/>
          <w:szCs w:val="21"/>
        </w:rPr>
        <w:t>.</w:t>
      </w:r>
      <w:r>
        <w:rPr>
          <w:rFonts w:hint="eastAsia" w:ascii="宋体" w:hAnsi="宋体"/>
          <w:sz w:val="21"/>
          <w:szCs w:val="21"/>
          <w:lang w:val="en-US" w:eastAsia="zh-CN"/>
        </w:rPr>
        <w:t>5</w:t>
      </w:r>
      <w:r>
        <w:rPr>
          <w:rFonts w:ascii="宋体" w:hAnsi="宋体"/>
          <w:sz w:val="21"/>
          <w:szCs w:val="21"/>
        </w:rPr>
        <w:t xml:space="preserve"> </w:t>
      </w:r>
      <w:r>
        <w:rPr>
          <w:rFonts w:hint="eastAsia" w:ascii="宋体" w:hAnsi="宋体"/>
          <w:sz w:val="21"/>
          <w:szCs w:val="21"/>
        </w:rPr>
        <w:t>投标方应满足招标方提出的各项技术要求，并为全新设备。</w:t>
      </w:r>
    </w:p>
    <w:p>
      <w:pPr>
        <w:spacing w:line="360" w:lineRule="auto"/>
        <w:ind w:firstLine="480"/>
        <w:rPr>
          <w:rFonts w:ascii="宋体" w:hAnsi="宋体"/>
          <w:sz w:val="21"/>
          <w:szCs w:val="21"/>
        </w:rPr>
      </w:pPr>
      <w:r>
        <w:rPr>
          <w:rFonts w:hint="eastAsia" w:ascii="宋体" w:hAnsi="宋体"/>
          <w:sz w:val="21"/>
          <w:szCs w:val="21"/>
          <w:lang w:val="en-US" w:eastAsia="zh-CN"/>
        </w:rPr>
        <w:t>1.1</w:t>
      </w:r>
      <w:r>
        <w:rPr>
          <w:rFonts w:ascii="宋体" w:hAnsi="宋体"/>
          <w:sz w:val="21"/>
          <w:szCs w:val="21"/>
        </w:rPr>
        <w:t>.</w:t>
      </w:r>
      <w:r>
        <w:rPr>
          <w:rFonts w:hint="eastAsia" w:ascii="宋体" w:hAnsi="宋体"/>
          <w:sz w:val="21"/>
          <w:szCs w:val="21"/>
          <w:lang w:val="en-US" w:eastAsia="zh-CN"/>
        </w:rPr>
        <w:t xml:space="preserve">6 </w:t>
      </w:r>
      <w:r>
        <w:rPr>
          <w:rFonts w:hint="eastAsia" w:ascii="宋体" w:hAnsi="宋体"/>
          <w:sz w:val="21"/>
          <w:szCs w:val="21"/>
        </w:rPr>
        <w:t>投标方应对招标方采购的设备所涉及的技术、产能等信息负有保密义务。</w:t>
      </w:r>
    </w:p>
    <w:p>
      <w:pPr>
        <w:spacing w:line="360" w:lineRule="auto"/>
        <w:ind w:firstLine="480"/>
        <w:rPr>
          <w:rFonts w:ascii="宋体" w:hAnsi="宋体"/>
          <w:sz w:val="21"/>
          <w:szCs w:val="21"/>
          <w:highlight w:val="none"/>
        </w:rPr>
      </w:pPr>
      <w:r>
        <w:rPr>
          <w:rFonts w:hint="eastAsia" w:ascii="宋体" w:hAnsi="宋体"/>
          <w:sz w:val="21"/>
          <w:szCs w:val="21"/>
          <w:lang w:val="en-US" w:eastAsia="zh-CN"/>
        </w:rPr>
        <w:t>1.1</w:t>
      </w:r>
      <w:r>
        <w:rPr>
          <w:rFonts w:ascii="宋体" w:hAnsi="宋体"/>
          <w:sz w:val="21"/>
          <w:szCs w:val="21"/>
        </w:rPr>
        <w:t>.</w:t>
      </w:r>
      <w:r>
        <w:rPr>
          <w:rFonts w:hint="eastAsia" w:ascii="宋体" w:hAnsi="宋体"/>
          <w:sz w:val="21"/>
          <w:szCs w:val="21"/>
          <w:lang w:val="en-US" w:eastAsia="zh-CN"/>
        </w:rPr>
        <w:t>7</w:t>
      </w:r>
      <w:r>
        <w:rPr>
          <w:rFonts w:ascii="宋体" w:hAnsi="宋体"/>
          <w:sz w:val="21"/>
          <w:szCs w:val="21"/>
        </w:rPr>
        <w:t xml:space="preserve"> </w:t>
      </w:r>
      <w:r>
        <w:rPr>
          <w:rFonts w:hint="eastAsia" w:ascii="宋体" w:hAnsi="宋体"/>
          <w:sz w:val="21"/>
          <w:szCs w:val="21"/>
        </w:rPr>
        <w:t>本技术要求，仅对功能、设计、结构、性能、安装和试验等方面，提出了最低和一般性的技术要求；并未对一切技术细节做出规定，未充分引述有关标准和规范的条文。投标方应保证提供的货物是符合本技术标书和国家最新的有关标准、规范的优质产品。</w:t>
      </w:r>
      <w:r>
        <w:rPr>
          <w:rFonts w:hint="eastAsia" w:ascii="宋体" w:hAnsi="宋体"/>
          <w:sz w:val="21"/>
          <w:szCs w:val="21"/>
          <w:highlight w:val="none"/>
        </w:rPr>
        <w:t>若有异议，不管是多么微小，都应在投标文件“技术偏离”中予以详细说明。</w:t>
      </w:r>
    </w:p>
    <w:p>
      <w:pPr>
        <w:spacing w:line="360" w:lineRule="auto"/>
        <w:ind w:firstLine="480"/>
        <w:rPr>
          <w:rFonts w:ascii="宋体" w:hAnsi="宋体"/>
          <w:sz w:val="21"/>
          <w:szCs w:val="21"/>
        </w:rPr>
      </w:pPr>
      <w:r>
        <w:rPr>
          <w:rFonts w:hint="eastAsia" w:ascii="宋体" w:hAnsi="宋体"/>
          <w:sz w:val="21"/>
          <w:szCs w:val="21"/>
          <w:lang w:val="en-US" w:eastAsia="zh-CN"/>
        </w:rPr>
        <w:t>1.1</w:t>
      </w:r>
      <w:r>
        <w:rPr>
          <w:rFonts w:ascii="宋体" w:hAnsi="宋体"/>
          <w:sz w:val="21"/>
          <w:szCs w:val="21"/>
        </w:rPr>
        <w:t>.</w:t>
      </w:r>
      <w:r>
        <w:rPr>
          <w:rFonts w:hint="eastAsia" w:ascii="宋体" w:hAnsi="宋体"/>
          <w:sz w:val="21"/>
          <w:szCs w:val="21"/>
          <w:lang w:val="en-US" w:eastAsia="zh-CN"/>
        </w:rPr>
        <w:t>8</w:t>
      </w:r>
      <w:r>
        <w:rPr>
          <w:rFonts w:hint="eastAsia" w:ascii="宋体" w:hAnsi="宋体"/>
          <w:sz w:val="21"/>
          <w:szCs w:val="21"/>
        </w:rPr>
        <w:t>本技术要求所使用的标准、规范等，如与投标方所执行的标准、规范不一致时，应按高于本技术要求所列的标准、规范执行，并在投标文件“技术偏离”中予以说明。</w:t>
      </w:r>
    </w:p>
    <w:p>
      <w:pPr>
        <w:spacing w:line="360" w:lineRule="auto"/>
        <w:ind w:firstLine="480"/>
        <w:rPr>
          <w:rFonts w:ascii="宋体" w:hAnsi="宋体"/>
          <w:sz w:val="21"/>
          <w:szCs w:val="21"/>
        </w:rPr>
      </w:pPr>
      <w:r>
        <w:rPr>
          <w:rFonts w:hint="eastAsia" w:ascii="宋体" w:hAnsi="宋体"/>
          <w:sz w:val="21"/>
          <w:szCs w:val="21"/>
          <w:lang w:val="en-US" w:eastAsia="zh-CN"/>
        </w:rPr>
        <w:t>1.1</w:t>
      </w:r>
      <w:r>
        <w:rPr>
          <w:rFonts w:ascii="宋体" w:hAnsi="宋体"/>
          <w:sz w:val="21"/>
          <w:szCs w:val="21"/>
        </w:rPr>
        <w:t>.</w:t>
      </w:r>
      <w:r>
        <w:rPr>
          <w:rFonts w:hint="eastAsia" w:ascii="宋体" w:hAnsi="宋体"/>
          <w:sz w:val="21"/>
          <w:szCs w:val="21"/>
          <w:lang w:val="en-US" w:eastAsia="zh-CN"/>
        </w:rPr>
        <w:t>9</w:t>
      </w:r>
      <w:r>
        <w:rPr>
          <w:rFonts w:ascii="宋体" w:hAnsi="宋体"/>
          <w:sz w:val="21"/>
          <w:szCs w:val="21"/>
        </w:rPr>
        <w:t xml:space="preserve"> </w:t>
      </w:r>
      <w:r>
        <w:rPr>
          <w:rFonts w:hint="eastAsia" w:ascii="宋体" w:hAnsi="宋体"/>
          <w:sz w:val="21"/>
          <w:szCs w:val="21"/>
        </w:rPr>
        <w:t>投标方认为所供货物必需由招标方配备、解决或提供的其它要求，如</w:t>
      </w:r>
      <w:r>
        <w:rPr>
          <w:rFonts w:hint="eastAsia" w:ascii="宋体" w:hAnsi="宋体"/>
          <w:sz w:val="21"/>
          <w:szCs w:val="21"/>
          <w:lang w:val="en-US" w:eastAsia="zh-CN"/>
        </w:rPr>
        <w:t>使用环境温度</w:t>
      </w:r>
      <w:r>
        <w:rPr>
          <w:rFonts w:hint="eastAsia" w:ascii="宋体" w:hAnsi="宋体"/>
          <w:sz w:val="21"/>
          <w:szCs w:val="21"/>
        </w:rPr>
        <w:t>等，均应在投标文件“技术偏离”中予以充分说明。</w:t>
      </w:r>
    </w:p>
    <w:p>
      <w:pPr>
        <w:spacing w:line="360" w:lineRule="auto"/>
        <w:ind w:firstLine="480"/>
        <w:rPr>
          <w:rFonts w:ascii="宋体" w:hAnsi="宋体"/>
          <w:sz w:val="21"/>
          <w:szCs w:val="21"/>
        </w:rPr>
      </w:pPr>
      <w:r>
        <w:rPr>
          <w:rFonts w:hint="eastAsia" w:ascii="宋体" w:hAnsi="宋体"/>
          <w:sz w:val="21"/>
          <w:szCs w:val="21"/>
          <w:lang w:val="en-US" w:eastAsia="zh-CN"/>
        </w:rPr>
        <w:t>1.1</w:t>
      </w:r>
      <w:r>
        <w:rPr>
          <w:rFonts w:ascii="宋体" w:hAnsi="宋体"/>
          <w:sz w:val="21"/>
          <w:szCs w:val="21"/>
        </w:rPr>
        <w:t>.1</w:t>
      </w:r>
      <w:r>
        <w:rPr>
          <w:rFonts w:hint="eastAsia" w:ascii="宋体" w:hAnsi="宋体"/>
          <w:sz w:val="21"/>
          <w:szCs w:val="21"/>
          <w:lang w:val="en-US" w:eastAsia="zh-CN"/>
        </w:rPr>
        <w:t>0</w:t>
      </w:r>
      <w:r>
        <w:rPr>
          <w:rFonts w:ascii="宋体" w:hAnsi="宋体"/>
          <w:sz w:val="21"/>
          <w:szCs w:val="21"/>
        </w:rPr>
        <w:t xml:space="preserve"> </w:t>
      </w:r>
      <w:r>
        <w:rPr>
          <w:rFonts w:hint="eastAsia" w:ascii="宋体" w:hAnsi="宋体"/>
          <w:sz w:val="21"/>
          <w:szCs w:val="21"/>
        </w:rPr>
        <w:t>投标方可以根据自身经验以及对本技术规范书和招标文件的理解，写明招标方招标设备（或材料）应进行的优于招标文件要求的其它方案或建议意见；投标方的这些努力，招标方表示感谢，并将有助于投标方优先胜出；即使有建议意见或建议方案，仍应依据招标文件要求，编写符合要求的投标文件。建议方案或建议意见，应以单独篇章或文件，予以说明。</w:t>
      </w:r>
    </w:p>
    <w:p>
      <w:pPr>
        <w:spacing w:line="360" w:lineRule="auto"/>
        <w:ind w:firstLine="480"/>
        <w:rPr>
          <w:rFonts w:ascii="宋体" w:hAnsi="宋体"/>
          <w:sz w:val="21"/>
          <w:szCs w:val="21"/>
        </w:rPr>
      </w:pPr>
      <w:r>
        <w:rPr>
          <w:rFonts w:hint="eastAsia" w:ascii="宋体" w:hAnsi="宋体"/>
          <w:sz w:val="21"/>
          <w:szCs w:val="21"/>
        </w:rPr>
        <w:t>*</w:t>
      </w:r>
      <w:r>
        <w:rPr>
          <w:rFonts w:hint="eastAsia" w:ascii="宋体" w:hAnsi="宋体"/>
          <w:sz w:val="21"/>
          <w:szCs w:val="21"/>
          <w:lang w:val="en-US" w:eastAsia="zh-CN"/>
        </w:rPr>
        <w:t>1.1</w:t>
      </w:r>
      <w:r>
        <w:rPr>
          <w:rFonts w:hint="eastAsia" w:ascii="宋体" w:hAnsi="宋体"/>
          <w:sz w:val="21"/>
          <w:szCs w:val="21"/>
        </w:rPr>
        <w:t>.1</w:t>
      </w:r>
      <w:r>
        <w:rPr>
          <w:rFonts w:hint="eastAsia" w:ascii="宋体" w:hAnsi="宋体"/>
          <w:sz w:val="21"/>
          <w:szCs w:val="21"/>
          <w:lang w:val="en-US" w:eastAsia="zh-CN"/>
        </w:rPr>
        <w:t>1</w:t>
      </w:r>
      <w:r>
        <w:rPr>
          <w:rFonts w:hint="eastAsia" w:ascii="宋体" w:hAnsi="宋体"/>
          <w:sz w:val="21"/>
          <w:szCs w:val="21"/>
        </w:rPr>
        <w:t>投标时提供的内容必须进行详细说明。在投标时提供设备主要部件、外购件明细表、易损件备品备件清单和相应特殊维修工具明细等，要考虑这些部件在中国使用的可行性。并提供关键部件的质保周期和响应时间清单。</w:t>
      </w:r>
    </w:p>
    <w:p>
      <w:pPr>
        <w:spacing w:line="360" w:lineRule="auto"/>
        <w:ind w:firstLine="480"/>
        <w:rPr>
          <w:rFonts w:hint="eastAsia" w:ascii="宋体" w:hAnsi="宋体"/>
          <w:sz w:val="21"/>
          <w:szCs w:val="21"/>
        </w:rPr>
      </w:pPr>
      <w:r>
        <w:rPr>
          <w:rFonts w:hint="eastAsia" w:ascii="宋体" w:hAnsi="宋体"/>
          <w:sz w:val="21"/>
          <w:szCs w:val="21"/>
        </w:rPr>
        <w:t>*</w:t>
      </w:r>
      <w:r>
        <w:rPr>
          <w:rFonts w:hint="eastAsia" w:ascii="宋体" w:hAnsi="宋体"/>
          <w:sz w:val="21"/>
          <w:szCs w:val="21"/>
          <w:lang w:val="en-US" w:eastAsia="zh-CN"/>
        </w:rPr>
        <w:t>1.1</w:t>
      </w:r>
      <w:r>
        <w:rPr>
          <w:rFonts w:hint="eastAsia" w:ascii="宋体" w:hAnsi="宋体"/>
          <w:sz w:val="21"/>
          <w:szCs w:val="21"/>
        </w:rPr>
        <w:t>.1</w:t>
      </w:r>
      <w:r>
        <w:rPr>
          <w:rFonts w:hint="eastAsia" w:ascii="宋体" w:hAnsi="宋体"/>
          <w:sz w:val="21"/>
          <w:szCs w:val="21"/>
          <w:lang w:val="en-US" w:eastAsia="zh-CN"/>
        </w:rPr>
        <w:t>2</w:t>
      </w:r>
      <w:r>
        <w:rPr>
          <w:rFonts w:hint="eastAsia" w:ascii="宋体" w:hAnsi="宋体"/>
          <w:sz w:val="21"/>
          <w:szCs w:val="21"/>
        </w:rPr>
        <w:t>在本标书中没有提及到的部分，所有供应商必须保证设备各部分功能齐全并便于使用，这部分价格应该包含在报价中，而不得另行加价。</w:t>
      </w:r>
    </w:p>
    <w:p>
      <w:pPr>
        <w:spacing w:line="360" w:lineRule="auto"/>
        <w:ind w:firstLine="480"/>
        <w:rPr>
          <w:rFonts w:ascii="宋体" w:hAnsi="宋体"/>
          <w:sz w:val="21"/>
          <w:szCs w:val="21"/>
        </w:rPr>
      </w:pPr>
      <w:r>
        <w:rPr>
          <w:rFonts w:hint="eastAsia" w:ascii="宋体" w:hAnsi="宋体"/>
          <w:sz w:val="21"/>
          <w:szCs w:val="21"/>
          <w:lang w:val="en-US" w:eastAsia="zh-CN"/>
        </w:rPr>
        <w:t>1.1</w:t>
      </w:r>
      <w:r>
        <w:rPr>
          <w:rFonts w:ascii="宋体" w:hAnsi="宋体"/>
          <w:sz w:val="21"/>
          <w:szCs w:val="21"/>
        </w:rPr>
        <w:t>.1</w:t>
      </w:r>
      <w:r>
        <w:rPr>
          <w:rFonts w:hint="eastAsia" w:ascii="宋体" w:hAnsi="宋体"/>
          <w:sz w:val="21"/>
          <w:szCs w:val="21"/>
          <w:lang w:val="en-US" w:eastAsia="zh-CN"/>
        </w:rPr>
        <w:t>3</w:t>
      </w:r>
      <w:r>
        <w:rPr>
          <w:rFonts w:hint="eastAsia" w:ascii="宋体" w:hAnsi="宋体"/>
          <w:sz w:val="21"/>
          <w:szCs w:val="21"/>
        </w:rPr>
        <w:t>本招标文件中所有加注“</w:t>
      </w:r>
      <w:r>
        <w:rPr>
          <w:rFonts w:ascii="宋体" w:hAnsi="宋体"/>
          <w:sz w:val="21"/>
          <w:szCs w:val="21"/>
        </w:rPr>
        <w:t>*</w:t>
      </w:r>
      <w:r>
        <w:rPr>
          <w:rFonts w:hint="eastAsia" w:ascii="宋体" w:hAnsi="宋体"/>
          <w:sz w:val="21"/>
          <w:szCs w:val="21"/>
        </w:rPr>
        <w:t>”的条款为否决项，不允许出现偏离。</w:t>
      </w:r>
    </w:p>
    <w:p>
      <w:pPr>
        <w:spacing w:line="360" w:lineRule="auto"/>
        <w:ind w:firstLine="480"/>
        <w:rPr>
          <w:rFonts w:hint="eastAsia" w:ascii="宋体" w:hAnsi="宋体"/>
          <w:b/>
          <w:sz w:val="21"/>
          <w:szCs w:val="21"/>
        </w:rPr>
      </w:pPr>
      <w:r>
        <w:rPr>
          <w:rFonts w:hint="eastAsia" w:ascii="宋体" w:hAnsi="宋体"/>
          <w:b/>
          <w:sz w:val="21"/>
          <w:szCs w:val="21"/>
          <w:lang w:val="en-US" w:eastAsia="zh-CN"/>
        </w:rPr>
        <w:t>1.2</w:t>
      </w:r>
      <w:r>
        <w:rPr>
          <w:rFonts w:hint="eastAsia" w:ascii="宋体" w:hAnsi="宋体"/>
          <w:b/>
          <w:sz w:val="21"/>
          <w:szCs w:val="21"/>
        </w:rPr>
        <w:t>、主要技术参数</w:t>
      </w:r>
    </w:p>
    <w:p>
      <w:pPr>
        <w:widowControl/>
        <w:spacing w:line="360" w:lineRule="auto"/>
        <w:ind w:firstLine="472" w:firstLineChars="225"/>
        <w:jc w:val="left"/>
        <w:rPr>
          <w:rFonts w:hint="eastAsia" w:ascii="宋体" w:hAnsi="宋体"/>
          <w:kern w:val="0"/>
          <w:sz w:val="21"/>
          <w:szCs w:val="21"/>
          <w:highlight w:val="none"/>
        </w:rPr>
      </w:pPr>
      <w:bookmarkStart w:id="119" w:name="_Toc24618"/>
      <w:bookmarkStart w:id="120" w:name="_Toc22882"/>
      <w:r>
        <w:rPr>
          <w:rFonts w:hint="eastAsia" w:ascii="宋体" w:hAnsi="宋体"/>
          <w:kern w:val="0"/>
          <w:sz w:val="21"/>
          <w:szCs w:val="21"/>
        </w:rPr>
        <w:t>在基本要求和执行标准基础上，本技术标书对所采购的货物的技术及使用等方面作出如</w:t>
      </w:r>
      <w:r>
        <w:rPr>
          <w:rFonts w:hint="eastAsia" w:ascii="宋体" w:hAnsi="宋体"/>
          <w:kern w:val="0"/>
          <w:sz w:val="21"/>
          <w:szCs w:val="21"/>
          <w:highlight w:val="none"/>
        </w:rPr>
        <w:t>下要求：</w:t>
      </w:r>
    </w:p>
    <w:p>
      <w:pPr>
        <w:spacing w:line="360" w:lineRule="auto"/>
        <w:ind w:firstLine="420" w:firstLineChars="200"/>
        <w:rPr>
          <w:rFonts w:ascii="宋体" w:hAnsi="宋体"/>
          <w:b/>
          <w:kern w:val="0"/>
          <w:sz w:val="21"/>
          <w:szCs w:val="21"/>
          <w:highlight w:val="none"/>
        </w:rPr>
      </w:pPr>
      <w:r>
        <w:rPr>
          <w:rFonts w:hint="eastAsia" w:ascii="宋体" w:hAnsi="宋体"/>
          <w:b/>
          <w:kern w:val="0"/>
          <w:sz w:val="21"/>
          <w:szCs w:val="21"/>
          <w:highlight w:val="none"/>
        </w:rPr>
        <w:t>★</w:t>
      </w:r>
      <w:r>
        <w:rPr>
          <w:rFonts w:hint="eastAsia" w:cs="Calibri"/>
          <w:b/>
          <w:kern w:val="0"/>
          <w:sz w:val="21"/>
          <w:szCs w:val="21"/>
          <w:highlight w:val="none"/>
          <w:lang w:val="en-US" w:eastAsia="zh-CN"/>
        </w:rPr>
        <w:t>1.2</w:t>
      </w:r>
      <w:r>
        <w:rPr>
          <w:rFonts w:cs="Calibri"/>
          <w:b/>
          <w:kern w:val="0"/>
          <w:sz w:val="21"/>
          <w:szCs w:val="21"/>
          <w:highlight w:val="none"/>
        </w:rPr>
        <w:t>.1</w:t>
      </w:r>
      <w:r>
        <w:rPr>
          <w:rFonts w:hint="eastAsia" w:ascii="宋体" w:hAnsi="宋体"/>
          <w:b/>
          <w:kern w:val="0"/>
          <w:sz w:val="21"/>
          <w:szCs w:val="21"/>
          <w:highlight w:val="none"/>
        </w:rPr>
        <w:t>生产纲领及节拍</w:t>
      </w:r>
    </w:p>
    <w:p>
      <w:pPr>
        <w:widowControl/>
        <w:spacing w:line="360" w:lineRule="auto"/>
        <w:ind w:firstLine="472" w:firstLineChars="225"/>
        <w:jc w:val="left"/>
        <w:rPr>
          <w:rFonts w:hint="eastAsia" w:ascii="宋体" w:hAnsi="宋体"/>
          <w:kern w:val="0"/>
          <w:sz w:val="21"/>
          <w:szCs w:val="21"/>
        </w:rPr>
      </w:pPr>
      <w:r>
        <w:rPr>
          <w:rFonts w:hint="eastAsia" w:ascii="宋体" w:hAnsi="宋体"/>
          <w:kern w:val="0"/>
          <w:sz w:val="21"/>
          <w:szCs w:val="21"/>
        </w:rPr>
        <w:t>本项目的工作制度、产能、节拍及效率如下，投标方提供的设施、设备必须满足此要求。</w:t>
      </w:r>
    </w:p>
    <w:p>
      <w:pPr>
        <w:widowControl/>
        <w:spacing w:line="360" w:lineRule="auto"/>
        <w:ind w:firstLine="472" w:firstLineChars="225"/>
        <w:jc w:val="left"/>
        <w:rPr>
          <w:rFonts w:hint="eastAsia" w:ascii="宋体" w:hAnsi="宋体"/>
          <w:kern w:val="0"/>
          <w:sz w:val="21"/>
          <w:szCs w:val="21"/>
        </w:rPr>
      </w:pPr>
      <w:r>
        <w:rPr>
          <w:rFonts w:hint="eastAsia" w:ascii="宋体" w:hAnsi="宋体"/>
          <w:kern w:val="0"/>
          <w:sz w:val="21"/>
          <w:szCs w:val="21"/>
        </w:rPr>
        <w:t>2.2.1.1生产纲领：全年工作300天、两班制、设备年时基数</w:t>
      </w:r>
      <w:r>
        <w:rPr>
          <w:rFonts w:hint="eastAsia" w:ascii="宋体" w:hAnsi="宋体"/>
          <w:kern w:val="0"/>
          <w:sz w:val="21"/>
          <w:szCs w:val="21"/>
          <w:lang w:val="en-US" w:eastAsia="zh-CN"/>
        </w:rPr>
        <w:t>60</w:t>
      </w:r>
      <w:r>
        <w:rPr>
          <w:rFonts w:hint="eastAsia" w:ascii="宋体" w:hAnsi="宋体"/>
          <w:kern w:val="0"/>
          <w:sz w:val="21"/>
          <w:szCs w:val="21"/>
        </w:rPr>
        <w:t>00小时。</w:t>
      </w:r>
    </w:p>
    <w:p>
      <w:pPr>
        <w:widowControl/>
        <w:spacing w:line="360" w:lineRule="auto"/>
        <w:ind w:firstLine="472" w:firstLineChars="225"/>
        <w:jc w:val="left"/>
        <w:rPr>
          <w:rFonts w:hint="eastAsia" w:ascii="宋体" w:hAnsi="宋体" w:eastAsiaTheme="minorEastAsia"/>
          <w:color w:val="auto"/>
          <w:sz w:val="21"/>
          <w:szCs w:val="21"/>
          <w:lang w:eastAsia="zh-CN"/>
        </w:rPr>
      </w:pPr>
      <w:r>
        <w:rPr>
          <w:rFonts w:hint="eastAsia" w:ascii="宋体" w:hAnsi="宋体"/>
          <w:kern w:val="0"/>
          <w:sz w:val="21"/>
          <w:szCs w:val="21"/>
        </w:rPr>
        <w:t>2.2</w:t>
      </w:r>
      <w:r>
        <w:rPr>
          <w:rFonts w:hint="eastAsia" w:ascii="宋体" w:hAnsi="宋体"/>
          <w:color w:val="auto"/>
          <w:kern w:val="0"/>
          <w:sz w:val="21"/>
          <w:szCs w:val="21"/>
        </w:rPr>
        <w:t>.1.2节拍：</w:t>
      </w:r>
      <w:r>
        <w:rPr>
          <w:rFonts w:hint="eastAsia" w:ascii="宋体" w:hAnsi="宋体"/>
          <w:color w:val="auto"/>
          <w:kern w:val="0"/>
          <w:sz w:val="21"/>
          <w:szCs w:val="21"/>
          <w:lang w:val="en-US" w:eastAsia="zh-CN"/>
        </w:rPr>
        <w:t>≤</w:t>
      </w:r>
      <w:r>
        <w:rPr>
          <w:rFonts w:hint="eastAsia" w:ascii="宋体" w:hAnsi="宋体"/>
          <w:color w:val="auto"/>
          <w:kern w:val="0"/>
          <w:sz w:val="21"/>
          <w:szCs w:val="21"/>
          <w:highlight w:val="none"/>
          <w:lang w:val="en-US" w:eastAsia="zh-CN"/>
        </w:rPr>
        <w:t>4.5</w:t>
      </w:r>
      <w:r>
        <w:rPr>
          <w:rFonts w:hint="eastAsia" w:ascii="宋体" w:hAnsi="宋体"/>
          <w:color w:val="auto"/>
          <w:kern w:val="0"/>
          <w:sz w:val="21"/>
          <w:szCs w:val="21"/>
          <w:highlight w:val="none"/>
        </w:rPr>
        <w:t>min/</w:t>
      </w:r>
      <w:r>
        <w:rPr>
          <w:rFonts w:hint="eastAsia" w:ascii="宋体" w:hAnsi="宋体"/>
          <w:color w:val="auto"/>
          <w:kern w:val="0"/>
          <w:sz w:val="21"/>
          <w:szCs w:val="21"/>
          <w:highlight w:val="none"/>
          <w:lang w:val="en-US" w:eastAsia="zh-CN"/>
        </w:rPr>
        <w:t>辆</w:t>
      </w:r>
    </w:p>
    <w:p>
      <w:pPr>
        <w:spacing w:line="360" w:lineRule="auto"/>
        <w:ind w:firstLine="420" w:firstLineChars="200"/>
        <w:rPr>
          <w:rFonts w:ascii="宋体" w:hAnsi="宋体"/>
          <w:b/>
          <w:color w:val="auto"/>
          <w:kern w:val="0"/>
          <w:sz w:val="21"/>
          <w:szCs w:val="21"/>
        </w:rPr>
      </w:pPr>
      <w:r>
        <w:rPr>
          <w:rFonts w:hint="eastAsia" w:cs="Calibri"/>
          <w:b/>
          <w:color w:val="auto"/>
          <w:kern w:val="0"/>
          <w:sz w:val="21"/>
          <w:szCs w:val="21"/>
          <w:lang w:val="en-US" w:eastAsia="zh-CN"/>
        </w:rPr>
        <w:t>1</w:t>
      </w:r>
      <w:r>
        <w:rPr>
          <w:rFonts w:hint="eastAsia" w:cs="Calibri"/>
          <w:b/>
          <w:color w:val="auto"/>
          <w:kern w:val="0"/>
          <w:sz w:val="21"/>
          <w:szCs w:val="21"/>
        </w:rPr>
        <w:t>.2</w:t>
      </w:r>
      <w:r>
        <w:rPr>
          <w:rFonts w:cs="Calibri"/>
          <w:b/>
          <w:color w:val="auto"/>
          <w:kern w:val="0"/>
          <w:sz w:val="21"/>
          <w:szCs w:val="21"/>
        </w:rPr>
        <w:t>.2</w:t>
      </w:r>
      <w:r>
        <w:rPr>
          <w:rFonts w:hint="eastAsia" w:ascii="宋体" w:hAnsi="宋体"/>
          <w:b/>
          <w:color w:val="auto"/>
          <w:kern w:val="0"/>
          <w:sz w:val="21"/>
          <w:szCs w:val="21"/>
        </w:rPr>
        <w:t>设计寿命</w:t>
      </w:r>
    </w:p>
    <w:p>
      <w:pPr>
        <w:snapToGrid w:val="0"/>
        <w:spacing w:line="360" w:lineRule="auto"/>
        <w:ind w:firstLine="420" w:firstLineChars="200"/>
        <w:rPr>
          <w:rFonts w:ascii="宋体" w:hAnsi="宋体"/>
          <w:color w:val="auto"/>
          <w:sz w:val="21"/>
          <w:szCs w:val="21"/>
        </w:rPr>
      </w:pPr>
      <w:r>
        <w:rPr>
          <w:rFonts w:hint="eastAsia" w:ascii="宋体" w:hAnsi="宋体"/>
          <w:color w:val="auto"/>
          <w:kern w:val="0"/>
          <w:sz w:val="21"/>
          <w:szCs w:val="21"/>
        </w:rPr>
        <w:t>正常使用10年。</w:t>
      </w:r>
    </w:p>
    <w:p>
      <w:pPr>
        <w:spacing w:line="360" w:lineRule="auto"/>
        <w:ind w:firstLine="420" w:firstLineChars="200"/>
        <w:rPr>
          <w:rFonts w:hint="eastAsia" w:ascii="宋体" w:hAnsi="宋体" w:eastAsiaTheme="minorEastAsia"/>
          <w:b/>
          <w:kern w:val="0"/>
          <w:sz w:val="21"/>
          <w:szCs w:val="21"/>
          <w:lang w:val="en-US" w:eastAsia="zh-CN"/>
        </w:rPr>
      </w:pPr>
      <w:bookmarkStart w:id="121" w:name="_Hlk68076327"/>
      <w:r>
        <w:rPr>
          <w:rFonts w:hint="eastAsia" w:cs="Calibri"/>
          <w:b/>
          <w:kern w:val="0"/>
          <w:sz w:val="21"/>
          <w:szCs w:val="21"/>
          <w:lang w:val="en-US" w:eastAsia="zh-CN"/>
        </w:rPr>
        <w:t>1</w:t>
      </w:r>
      <w:r>
        <w:rPr>
          <w:rFonts w:hint="eastAsia" w:cs="Calibri"/>
          <w:b/>
          <w:kern w:val="0"/>
          <w:sz w:val="21"/>
          <w:szCs w:val="21"/>
        </w:rPr>
        <w:t>.2</w:t>
      </w:r>
      <w:r>
        <w:rPr>
          <w:rFonts w:cs="Calibri"/>
          <w:b/>
          <w:kern w:val="0"/>
          <w:sz w:val="21"/>
          <w:szCs w:val="21"/>
        </w:rPr>
        <w:t>.3</w:t>
      </w:r>
      <w:r>
        <w:rPr>
          <w:rFonts w:hint="eastAsia" w:cs="Calibri"/>
          <w:b/>
          <w:kern w:val="0"/>
          <w:sz w:val="21"/>
          <w:szCs w:val="21"/>
          <w:lang w:val="en-US" w:eastAsia="zh-CN"/>
        </w:rPr>
        <w:t>技术要求</w:t>
      </w:r>
    </w:p>
    <w:p>
      <w:pPr>
        <w:spacing w:line="360" w:lineRule="auto"/>
        <w:rPr>
          <w:rFonts w:hint="eastAsia" w:ascii="宋体" w:hAnsi="宋体"/>
          <w:sz w:val="21"/>
          <w:szCs w:val="21"/>
          <w:lang w:val="en-US" w:eastAsia="zh-CN"/>
        </w:rPr>
      </w:pPr>
      <w:r>
        <w:rPr>
          <w:rFonts w:hint="eastAsia" w:ascii="宋体" w:hAnsi="宋体"/>
          <w:b/>
          <w:bCs w:val="0"/>
          <w:kern w:val="0"/>
          <w:sz w:val="21"/>
          <w:szCs w:val="21"/>
          <w:lang w:val="en-US" w:eastAsia="zh-CN"/>
        </w:rPr>
        <w:t>1）</w:t>
      </w:r>
      <w:r>
        <w:rPr>
          <w:rFonts w:hint="eastAsia" w:ascii="宋体" w:hAnsi="宋体"/>
          <w:b/>
          <w:bCs w:val="0"/>
          <w:sz w:val="21"/>
          <w:szCs w:val="21"/>
          <w:lang w:val="en-US" w:eastAsia="zh-CN"/>
        </w:rPr>
        <w:t>工作流程如下</w:t>
      </w:r>
      <w:r>
        <w:rPr>
          <w:rFonts w:hint="eastAsia" w:ascii="宋体" w:hAnsi="宋体"/>
          <w:sz w:val="21"/>
          <w:szCs w:val="21"/>
          <w:lang w:val="en-US" w:eastAsia="zh-CN"/>
        </w:rPr>
        <w:t>：</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①将直行定位仪安放至前、后桥轴头上，确保三个支腿吸附牢靠且在同一端平面上。</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②前桥执行定位仪安放后，打开激光发射器激光灯，调整标靶位置，使后桥定位仪上激光投射在标靶上，记下灯光在标靶上位置。</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③调整前桥转向节臂，使得前桥上的激光投射在后桥直行定位仪标靶上，调整节臂至激光灯与前桥标靶激光灯投射位置以零刻线相对称的位置。</w:t>
      </w:r>
    </w:p>
    <w:p>
      <w:pPr>
        <w:spacing w:line="360" w:lineRule="auto"/>
        <w:ind w:firstLine="480"/>
        <w:rPr>
          <w:rFonts w:hint="default" w:ascii="宋体" w:hAnsi="宋体"/>
          <w:sz w:val="21"/>
          <w:szCs w:val="21"/>
          <w:lang w:val="en-US" w:eastAsia="zh-CN"/>
        </w:rPr>
      </w:pPr>
      <w:r>
        <w:rPr>
          <w:rFonts w:hint="eastAsia" w:ascii="宋体" w:hAnsi="宋体"/>
          <w:sz w:val="21"/>
          <w:szCs w:val="21"/>
          <w:lang w:val="en-US" w:eastAsia="zh-CN"/>
        </w:rPr>
        <w:t>④调节完成</w:t>
      </w:r>
    </w:p>
    <w:p>
      <w:pPr>
        <w:pStyle w:val="172"/>
        <w:adjustRightInd w:val="0"/>
        <w:snapToGrid w:val="0"/>
        <w:ind w:left="0" w:leftChars="0" w:firstLine="0" w:firstLineChars="0"/>
        <w:rPr>
          <w:rFonts w:hint="default" w:ascii="宋体" w:hAnsi="宋体" w:eastAsiaTheme="minorEastAsia"/>
          <w:sz w:val="21"/>
          <w:szCs w:val="21"/>
          <w:highlight w:val="none"/>
          <w:lang w:val="en-US" w:eastAsia="zh-CN"/>
        </w:rPr>
      </w:pPr>
      <w:r>
        <w:rPr>
          <w:rFonts w:hint="eastAsia" w:ascii="宋体" w:hAnsi="宋体"/>
          <w:b/>
          <w:bCs/>
          <w:sz w:val="21"/>
          <w:szCs w:val="21"/>
          <w:highlight w:val="none"/>
          <w:lang w:val="en-US" w:eastAsia="zh-CN"/>
        </w:rPr>
        <w:t>2）设备要求</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①设备利用磁性夹具直接吸在轮毂的加工面上，以保证检测的参考基准，吸附夹具具有稳定的吸附效果，能够适应现场的装配环境。设计时需充分考虑现场工艺质量要求，接触位置不得划伤产品漆面和本体；</w:t>
      </w:r>
    </w:p>
    <w:p>
      <w:pPr>
        <w:spacing w:line="360" w:lineRule="auto"/>
        <w:ind w:firstLine="480"/>
        <w:rPr>
          <w:rFonts w:hint="default" w:ascii="宋体" w:hAnsi="宋体"/>
          <w:sz w:val="21"/>
          <w:szCs w:val="21"/>
          <w:lang w:val="en-US" w:eastAsia="zh-CN"/>
        </w:rPr>
      </w:pPr>
      <w:r>
        <w:rPr>
          <w:rFonts w:hint="eastAsia" w:ascii="宋体" w:hAnsi="宋体"/>
          <w:sz w:val="21"/>
          <w:szCs w:val="21"/>
          <w:lang w:val="en-US" w:eastAsia="zh-CN"/>
        </w:rPr>
        <w:t>②直行定位仪支腿间距可调，以适应不同分度圆的轮毂场景，车轮螺栓分度圆直径190mm-335mm。</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③设备主要部件都是由高强度的铝合金制造，保证足够的强度和刚度的前提下，尽量降低设备重量，刻度尺材质使用2mm厚度304不锈钢。</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④设备上有开关机旋钮，在不使用时设备可以随时关机，降低能耗，提高设备连续运行时间。</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⑤设备具有防止掉落的装置，装置易操作、易解除，禁止设备掉落损坏。</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⑥设备操作时间不低于50小时，充能方式采用充电及更换电池两种形式，现场可以根据实际情况灵活采取合适的方式保证使用。</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⑦激光发射器品牌采用优胜或者同等级品牌。</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⑧设备配备专用校准工具，支持现场定期校准使用。</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⑨在整套直行定位仪设备以外，另外配备4个2mm厚度304不锈钢的刻度尺，作为储备备件。</w:t>
      </w:r>
    </w:p>
    <w:p>
      <w:pPr>
        <w:spacing w:line="360" w:lineRule="auto"/>
        <w:ind w:firstLine="480"/>
        <w:rPr>
          <w:rFonts w:hint="eastAsia" w:ascii="宋体" w:hAnsi="宋体"/>
          <w:sz w:val="21"/>
          <w:szCs w:val="21"/>
          <w:lang w:val="en-US" w:eastAsia="zh-CN"/>
        </w:rPr>
      </w:pPr>
      <w:r>
        <w:rPr>
          <w:rFonts w:hint="eastAsia" w:ascii="宋体" w:hAnsi="宋体"/>
          <w:sz w:val="21"/>
          <w:szCs w:val="21"/>
          <w:lang w:val="en-US" w:eastAsia="zh-CN"/>
        </w:rPr>
        <w:t>3）功能及精度要求</w:t>
      </w:r>
    </w:p>
    <w:p>
      <w:pPr>
        <w:spacing w:line="360" w:lineRule="auto"/>
        <w:rPr>
          <w:rFonts w:hint="eastAsia" w:ascii="宋体" w:hAnsi="宋体"/>
          <w:sz w:val="21"/>
          <w:szCs w:val="21"/>
          <w:lang w:val="en-US" w:eastAsia="zh-CN"/>
        </w:rPr>
      </w:pPr>
      <w:r>
        <w:rPr>
          <w:rFonts w:hint="eastAsia" w:ascii="宋体" w:hAnsi="宋体"/>
          <w:sz w:val="21"/>
          <w:szCs w:val="21"/>
          <w:lang w:val="en-US" w:eastAsia="zh-CN"/>
        </w:rPr>
        <w:t>功能：双前桥直行定位</w:t>
      </w:r>
    </w:p>
    <w:tbl>
      <w:tblPr>
        <w:tblStyle w:val="42"/>
        <w:tblW w:w="92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95"/>
        <w:gridCol w:w="61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vMerge w:val="restart"/>
            <w:vAlign w:val="center"/>
          </w:tcPr>
          <w:p>
            <w:pPr>
              <w:keepNext w:val="0"/>
              <w:keepLines w:val="0"/>
              <w:widowControl/>
              <w:suppressLineNumbers w:val="0"/>
              <w:ind w:firstLine="420" w:firstLineChars="200"/>
              <w:jc w:val="left"/>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pPr>
            <w:r>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t>转向桥</w:t>
            </w:r>
          </w:p>
        </w:tc>
        <w:tc>
          <w:tcPr>
            <w:tcW w:w="6198" w:type="dxa"/>
            <w:vAlign w:val="center"/>
          </w:tcPr>
          <w:p>
            <w:pPr>
              <w:keepNext w:val="0"/>
              <w:keepLines w:val="0"/>
              <w:widowControl/>
              <w:suppressLineNumbers w:val="0"/>
              <w:ind w:firstLine="420" w:firstLineChars="200"/>
              <w:jc w:val="left"/>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pPr>
            <w:r>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t>转向机零位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vMerge w:val="continue"/>
            <w:vAlign w:val="center"/>
          </w:tcPr>
          <w:p>
            <w:pPr>
              <w:keepNext w:val="0"/>
              <w:keepLines w:val="0"/>
              <w:widowControl/>
              <w:suppressLineNumbers w:val="0"/>
              <w:ind w:firstLine="420" w:firstLineChars="200"/>
              <w:jc w:val="left"/>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pPr>
          </w:p>
        </w:tc>
        <w:tc>
          <w:tcPr>
            <w:tcW w:w="6198" w:type="dxa"/>
            <w:vAlign w:val="center"/>
          </w:tcPr>
          <w:p>
            <w:pPr>
              <w:keepNext w:val="0"/>
              <w:keepLines w:val="0"/>
              <w:widowControl/>
              <w:suppressLineNumbers w:val="0"/>
              <w:ind w:firstLine="420" w:firstLineChars="200"/>
              <w:jc w:val="left"/>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pPr>
            <w:r>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t>双转向桥平行度</w:t>
            </w:r>
          </w:p>
        </w:tc>
      </w:tr>
    </w:tbl>
    <w:p>
      <w:pPr>
        <w:keepNext w:val="0"/>
        <w:keepLines w:val="0"/>
        <w:widowControl/>
        <w:suppressLineNumbers w:val="0"/>
        <w:jc w:val="left"/>
        <w:rPr>
          <w:sz w:val="21"/>
          <w:szCs w:val="21"/>
        </w:rPr>
      </w:pPr>
      <w:r>
        <w:rPr>
          <w:rFonts w:hint="eastAsia" w:ascii="宋体" w:hAnsi="宋体" w:eastAsia="宋体" w:cs="宋体"/>
          <w:color w:val="000000"/>
          <w:kern w:val="0"/>
          <w:sz w:val="21"/>
          <w:szCs w:val="21"/>
          <w:lang w:val="en-US" w:eastAsia="zh-CN" w:bidi="ar"/>
        </w:rPr>
        <w:t>技术参数：</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3"/>
        <w:gridCol w:w="4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vAlign w:val="center"/>
          </w:tcPr>
          <w:p>
            <w:pPr>
              <w:keepNext w:val="0"/>
              <w:keepLines w:val="0"/>
              <w:widowControl/>
              <w:suppressLineNumbers w:val="0"/>
              <w:jc w:val="center"/>
              <w:rPr>
                <w:rFonts w:hint="eastAsia" w:ascii="宋体" w:hAnsi="宋体" w:eastAsia="宋体" w:cs="宋体"/>
                <w:b/>
                <w:bCs/>
                <w:color w:val="auto"/>
                <w:sz w:val="21"/>
                <w:szCs w:val="21"/>
                <w:vertAlign w:val="baseline"/>
                <w:lang w:val="en-US" w:eastAsia="zh-CN"/>
              </w:rPr>
            </w:pPr>
            <w:r>
              <w:rPr>
                <w:rFonts w:hint="eastAsia" w:ascii="宋体" w:hAnsi="宋体" w:eastAsia="宋体" w:cs="宋体"/>
                <w:b/>
                <w:bCs/>
                <w:color w:val="000000"/>
                <w:kern w:val="0"/>
                <w:sz w:val="21"/>
                <w:szCs w:val="21"/>
                <w:lang w:val="en-US" w:eastAsia="zh-CN" w:bidi="ar"/>
              </w:rPr>
              <w:t>项目</w:t>
            </w:r>
          </w:p>
        </w:tc>
        <w:tc>
          <w:tcPr>
            <w:tcW w:w="4643" w:type="dxa"/>
            <w:vAlign w:val="center"/>
          </w:tcPr>
          <w:p>
            <w:pPr>
              <w:keepNext w:val="0"/>
              <w:keepLines w:val="0"/>
              <w:widowControl/>
              <w:suppressLineNumbers w:val="0"/>
              <w:jc w:val="center"/>
              <w:rPr>
                <w:rFonts w:hint="eastAsia" w:ascii="宋体" w:hAnsi="宋体" w:eastAsia="宋体" w:cs="宋体"/>
                <w:b/>
                <w:bCs/>
                <w:color w:val="auto"/>
                <w:sz w:val="21"/>
                <w:szCs w:val="21"/>
                <w:vertAlign w:val="baseline"/>
                <w:lang w:val="en-US" w:eastAsia="zh-CN"/>
              </w:rPr>
            </w:pPr>
            <w:r>
              <w:rPr>
                <w:rFonts w:hint="eastAsia" w:ascii="宋体" w:hAnsi="宋体" w:eastAsia="宋体" w:cs="宋体"/>
                <w:b/>
                <w:bCs/>
                <w:color w:val="000000"/>
                <w:kern w:val="0"/>
                <w:sz w:val="21"/>
                <w:szCs w:val="21"/>
                <w:lang w:val="en-US" w:eastAsia="zh-CN" w:bidi="ar"/>
              </w:rPr>
              <w:t>数值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vAlign w:val="center"/>
          </w:tcPr>
          <w:p>
            <w:pPr>
              <w:keepNext w:val="0"/>
              <w:keepLines w:val="0"/>
              <w:widowControl/>
              <w:suppressLineNumbers w:val="0"/>
              <w:jc w:val="center"/>
              <w:rPr>
                <w:rFonts w:hint="eastAsia" w:ascii="宋体" w:hAnsi="宋体" w:eastAsia="宋体" w:cs="宋体"/>
                <w:b/>
                <w:bCs/>
                <w:color w:val="auto"/>
                <w:sz w:val="21"/>
                <w:szCs w:val="21"/>
                <w:vertAlign w:val="baseline"/>
                <w:lang w:val="en-US" w:eastAsia="zh-CN"/>
              </w:rPr>
            </w:pPr>
            <w:r>
              <w:rPr>
                <w:rFonts w:hint="eastAsia" w:ascii="宋体" w:hAnsi="宋体" w:eastAsia="宋体" w:cs="宋体"/>
                <w:color w:val="000000"/>
                <w:kern w:val="0"/>
                <w:sz w:val="21"/>
                <w:szCs w:val="21"/>
                <w:lang w:val="en-US" w:eastAsia="zh-CN" w:bidi="ar"/>
              </w:rPr>
              <w:t>激光类别</w:t>
            </w:r>
          </w:p>
        </w:tc>
        <w:tc>
          <w:tcPr>
            <w:tcW w:w="4643" w:type="dxa"/>
            <w:vAlign w:val="center"/>
          </w:tcPr>
          <w:p>
            <w:pPr>
              <w:keepNext w:val="0"/>
              <w:keepLines w:val="0"/>
              <w:widowControl/>
              <w:suppressLineNumbers w:val="0"/>
              <w:jc w:val="center"/>
              <w:rPr>
                <w:rFonts w:hint="eastAsia" w:ascii="宋体" w:hAnsi="宋体" w:eastAsia="宋体" w:cs="宋体"/>
                <w:b/>
                <w:bCs/>
                <w:color w:val="auto"/>
                <w:sz w:val="21"/>
                <w:szCs w:val="21"/>
                <w:vertAlign w:val="baseline"/>
                <w:lang w:val="en-US" w:eastAsia="zh-CN"/>
              </w:rPr>
            </w:pPr>
            <w:r>
              <w:rPr>
                <w:rFonts w:hint="eastAsia" w:ascii="宋体" w:hAnsi="宋体" w:eastAsia="宋体" w:cs="宋体"/>
                <w:color w:val="000000"/>
                <w:kern w:val="0"/>
                <w:sz w:val="21"/>
                <w:szCs w:val="21"/>
                <w:lang w:val="en-US" w:eastAsia="zh-CN" w:bidi="ar"/>
              </w:rPr>
              <w:t>二极管，红色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vAlign w:val="center"/>
          </w:tcPr>
          <w:p>
            <w:pPr>
              <w:keepNext w:val="0"/>
              <w:keepLines w:val="0"/>
              <w:widowControl/>
              <w:suppressLineNumbers w:val="0"/>
              <w:jc w:val="center"/>
              <w:rPr>
                <w:rFonts w:hint="eastAsia" w:ascii="宋体" w:hAnsi="宋体" w:eastAsia="宋体" w:cs="宋体"/>
                <w:b/>
                <w:bCs/>
                <w:color w:val="auto"/>
                <w:sz w:val="21"/>
                <w:szCs w:val="21"/>
                <w:vertAlign w:val="baseline"/>
                <w:lang w:val="en-US" w:eastAsia="zh-CN"/>
              </w:rPr>
            </w:pPr>
            <w:r>
              <w:rPr>
                <w:rFonts w:hint="eastAsia" w:ascii="宋体" w:hAnsi="宋体" w:eastAsia="宋体" w:cs="宋体"/>
                <w:color w:val="000000"/>
                <w:kern w:val="0"/>
                <w:sz w:val="21"/>
                <w:szCs w:val="21"/>
                <w:lang w:val="en-US" w:eastAsia="zh-CN" w:bidi="ar"/>
              </w:rPr>
              <w:t>激光器</w:t>
            </w:r>
          </w:p>
        </w:tc>
        <w:tc>
          <w:tcPr>
            <w:tcW w:w="4643" w:type="dxa"/>
            <w:vAlign w:val="center"/>
          </w:tcPr>
          <w:p>
            <w:pPr>
              <w:keepNext w:val="0"/>
              <w:keepLines w:val="0"/>
              <w:widowControl/>
              <w:suppressLineNumbers w:val="0"/>
              <w:jc w:val="center"/>
              <w:rPr>
                <w:rFonts w:hint="eastAsia" w:ascii="宋体" w:hAnsi="宋体" w:eastAsia="宋体" w:cs="宋体"/>
                <w:b/>
                <w:bCs/>
                <w:color w:val="auto"/>
                <w:sz w:val="21"/>
                <w:szCs w:val="21"/>
                <w:vertAlign w:val="baseline"/>
                <w:lang w:val="en-US" w:eastAsia="zh-CN"/>
              </w:rPr>
            </w:pPr>
            <w:r>
              <w:rPr>
                <w:rFonts w:hint="eastAsia" w:ascii="宋体" w:hAnsi="宋体" w:eastAsia="宋体" w:cs="宋体"/>
                <w:color w:val="000000"/>
                <w:kern w:val="0"/>
                <w:sz w:val="21"/>
                <w:szCs w:val="21"/>
                <w:lang w:val="en-US" w:eastAsia="zh-CN" w:bidi="ar"/>
              </w:rPr>
              <w:t>二类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vAlign w:val="center"/>
          </w:tcPr>
          <w:p>
            <w:pPr>
              <w:keepNext w:val="0"/>
              <w:keepLines w:val="0"/>
              <w:widowControl/>
              <w:suppressLineNumbers w:val="0"/>
              <w:jc w:val="center"/>
              <w:rPr>
                <w:rFonts w:hint="eastAsia" w:ascii="宋体" w:hAnsi="宋体" w:eastAsia="宋体" w:cs="宋体"/>
                <w:b/>
                <w:bCs/>
                <w:color w:val="auto"/>
                <w:sz w:val="21"/>
                <w:szCs w:val="21"/>
                <w:vertAlign w:val="baseline"/>
                <w:lang w:val="en-US" w:eastAsia="zh-CN"/>
              </w:rPr>
            </w:pPr>
            <w:r>
              <w:rPr>
                <w:rFonts w:hint="eastAsia" w:ascii="宋体" w:hAnsi="宋体" w:eastAsia="宋体" w:cs="宋体"/>
                <w:color w:val="000000"/>
                <w:kern w:val="0"/>
                <w:sz w:val="21"/>
                <w:szCs w:val="21"/>
                <w:lang w:val="en-US" w:eastAsia="zh-CN" w:bidi="ar"/>
              </w:rPr>
              <w:t>激光功率</w:t>
            </w:r>
          </w:p>
        </w:tc>
        <w:tc>
          <w:tcPr>
            <w:tcW w:w="4643" w:type="dxa"/>
            <w:vAlign w:val="center"/>
          </w:tcPr>
          <w:p>
            <w:pPr>
              <w:keepNext w:val="0"/>
              <w:keepLines w:val="0"/>
              <w:widowControl/>
              <w:suppressLineNumbers w:val="0"/>
              <w:jc w:val="center"/>
              <w:rPr>
                <w:rFonts w:hint="eastAsia" w:ascii="宋体" w:hAnsi="宋体" w:eastAsia="宋体" w:cs="宋体"/>
                <w:b/>
                <w:bCs/>
                <w:color w:val="auto"/>
                <w:sz w:val="21"/>
                <w:szCs w:val="21"/>
                <w:vertAlign w:val="baseline"/>
                <w:lang w:val="en-US" w:eastAsia="zh-CN"/>
              </w:rPr>
            </w:pPr>
            <w:r>
              <w:rPr>
                <w:rFonts w:hint="eastAsia" w:ascii="宋体" w:hAnsi="宋体" w:eastAsia="宋体" w:cs="宋体"/>
                <w:color w:val="000000"/>
                <w:kern w:val="0"/>
                <w:sz w:val="21"/>
                <w:szCs w:val="21"/>
                <w:lang w:val="en-US" w:eastAsia="zh-CN" w:bidi="ar"/>
              </w:rPr>
              <w:t>&lt;1.0mW</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vAlign w:val="center"/>
          </w:tcPr>
          <w:p>
            <w:pPr>
              <w:keepNext w:val="0"/>
              <w:keepLines w:val="0"/>
              <w:widowControl/>
              <w:suppressLineNumbers w:val="0"/>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激光精度</w:t>
            </w:r>
          </w:p>
        </w:tc>
        <w:tc>
          <w:tcPr>
            <w:tcW w:w="4643" w:type="dxa"/>
            <w:vAlign w:val="center"/>
          </w:tcPr>
          <w:p>
            <w:pPr>
              <w:keepNext w:val="0"/>
              <w:keepLines w:val="0"/>
              <w:widowControl/>
              <w:suppressLineNumbers w:val="0"/>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1mm/6m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vAlign w:val="center"/>
          </w:tcPr>
          <w:p>
            <w:pPr>
              <w:keepNext w:val="0"/>
              <w:keepLines w:val="0"/>
              <w:widowControl/>
              <w:suppressLineNumbers w:val="0"/>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操作时间</w:t>
            </w:r>
          </w:p>
        </w:tc>
        <w:tc>
          <w:tcPr>
            <w:tcW w:w="4643" w:type="dxa"/>
            <w:vAlign w:val="center"/>
          </w:tcPr>
          <w:p>
            <w:pPr>
              <w:keepNext w:val="0"/>
              <w:keepLines w:val="0"/>
              <w:widowControl/>
              <w:suppressLineNumbers w:val="0"/>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50 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vAlign w:val="center"/>
          </w:tcPr>
          <w:p>
            <w:pPr>
              <w:keepNext w:val="0"/>
              <w:keepLines w:val="0"/>
              <w:widowControl/>
              <w:suppressLineNumbers w:val="0"/>
              <w:jc w:val="center"/>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充电时间</w:t>
            </w:r>
          </w:p>
          <w:p>
            <w:pPr>
              <w:keepNext w:val="0"/>
              <w:keepLines w:val="0"/>
              <w:widowControl/>
              <w:suppressLineNumbers w:val="0"/>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耗电量</w:t>
            </w:r>
          </w:p>
        </w:tc>
        <w:tc>
          <w:tcPr>
            <w:tcW w:w="4643" w:type="dxa"/>
            <w:vAlign w:val="center"/>
          </w:tcPr>
          <w:p>
            <w:pPr>
              <w:keepNext w:val="0"/>
              <w:keepLines w:val="0"/>
              <w:widowControl/>
              <w:suppressLineNumbers w:val="0"/>
              <w:jc w:val="center"/>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14 小时</w:t>
            </w:r>
          </w:p>
          <w:p>
            <w:pPr>
              <w:keepNext w:val="0"/>
              <w:keepLines w:val="0"/>
              <w:widowControl/>
              <w:suppressLineNumbers w:val="0"/>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最大 95mA</w:t>
            </w:r>
          </w:p>
        </w:tc>
      </w:tr>
    </w:tbl>
    <w:p>
      <w:pPr>
        <w:keepNext w:val="0"/>
        <w:keepLines w:val="0"/>
        <w:widowControl/>
        <w:suppressLineNumbers w:val="0"/>
        <w:jc w:val="left"/>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pPr>
      <w:r>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t>测量精度及范围：</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95"/>
        <w:gridCol w:w="3095"/>
        <w:gridCol w:w="3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vAlign w:val="center"/>
          </w:tcPr>
          <w:p>
            <w:pPr>
              <w:keepNext w:val="0"/>
              <w:keepLines w:val="0"/>
              <w:widowControl/>
              <w:suppressLineNumbers w:val="0"/>
              <w:ind w:firstLine="420" w:firstLineChars="200"/>
              <w:jc w:val="left"/>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pPr>
            <w:r>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t>测量项目</w:t>
            </w:r>
          </w:p>
        </w:tc>
        <w:tc>
          <w:tcPr>
            <w:tcW w:w="3095" w:type="dxa"/>
            <w:vAlign w:val="center"/>
          </w:tcPr>
          <w:p>
            <w:pPr>
              <w:keepNext w:val="0"/>
              <w:keepLines w:val="0"/>
              <w:widowControl/>
              <w:suppressLineNumbers w:val="0"/>
              <w:ind w:firstLine="420" w:firstLineChars="200"/>
              <w:jc w:val="left"/>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pPr>
            <w:r>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t>测量范围</w:t>
            </w:r>
          </w:p>
        </w:tc>
        <w:tc>
          <w:tcPr>
            <w:tcW w:w="3096" w:type="dxa"/>
            <w:vAlign w:val="center"/>
          </w:tcPr>
          <w:p>
            <w:pPr>
              <w:keepNext w:val="0"/>
              <w:keepLines w:val="0"/>
              <w:widowControl/>
              <w:suppressLineNumbers w:val="0"/>
              <w:ind w:firstLine="420" w:firstLineChars="200"/>
              <w:jc w:val="left"/>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pPr>
            <w:r>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t>测量精度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vAlign w:val="center"/>
          </w:tcPr>
          <w:p>
            <w:pPr>
              <w:keepNext w:val="0"/>
              <w:keepLines w:val="0"/>
              <w:widowControl/>
              <w:suppressLineNumbers w:val="0"/>
              <w:ind w:firstLine="420" w:firstLineChars="200"/>
              <w:jc w:val="left"/>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pPr>
            <w:r>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t>双转向桥平行度</w:t>
            </w:r>
          </w:p>
        </w:tc>
        <w:tc>
          <w:tcPr>
            <w:tcW w:w="3095" w:type="dxa"/>
            <w:vAlign w:val="center"/>
          </w:tcPr>
          <w:p>
            <w:pPr>
              <w:keepNext w:val="0"/>
              <w:keepLines w:val="0"/>
              <w:widowControl/>
              <w:suppressLineNumbers w:val="0"/>
              <w:ind w:firstLine="420" w:firstLineChars="200"/>
              <w:jc w:val="left"/>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pPr>
            <w:r>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t>5</w:t>
            </w:r>
            <w:r>
              <w:rPr>
                <w:rFonts w:hint="default" w:ascii="宋体" w:hAnsi="宋体" w:eastAsia="宋体" w:cstheme="minorBidi"/>
                <w:snapToGrid w:val="0"/>
                <w:color w:val="000000" w:themeColor="text1"/>
                <w:kern w:val="0"/>
                <w:sz w:val="21"/>
                <w:szCs w:val="21"/>
                <w:lang w:val="en-US" w:eastAsia="zh-CN" w:bidi="ar-SA"/>
                <w14:textFill>
                  <w14:solidFill>
                    <w14:schemeClr w14:val="tx1"/>
                  </w14:solidFill>
                </w14:textFill>
              </w:rPr>
              <w:t></w:t>
            </w:r>
          </w:p>
        </w:tc>
        <w:tc>
          <w:tcPr>
            <w:tcW w:w="3096" w:type="dxa"/>
            <w:vAlign w:val="center"/>
          </w:tcPr>
          <w:p>
            <w:pPr>
              <w:keepNext w:val="0"/>
              <w:keepLines w:val="0"/>
              <w:widowControl/>
              <w:suppressLineNumbers w:val="0"/>
              <w:ind w:firstLine="420" w:firstLineChars="200"/>
              <w:jc w:val="left"/>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pPr>
            <w:r>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t>0.5mm/m（</w:t>
            </w:r>
            <w:r>
              <w:rPr>
                <w:rFonts w:hint="default" w:ascii="宋体" w:hAnsi="宋体" w:eastAsia="宋体" w:cstheme="minorBidi"/>
                <w:snapToGrid w:val="0"/>
                <w:color w:val="000000" w:themeColor="text1"/>
                <w:kern w:val="0"/>
                <w:sz w:val="21"/>
                <w:szCs w:val="21"/>
                <w:lang w:val="en-US" w:eastAsia="zh-CN" w:bidi="ar-SA"/>
                <w14:textFill>
                  <w14:solidFill>
                    <w14:schemeClr w14:val="tx1"/>
                  </w14:solidFill>
                </w14:textFill>
              </w:rPr>
              <w:t>1.7’</w:t>
            </w:r>
            <w:r>
              <w:rPr>
                <w:rFonts w:hint="eastAsia" w:ascii="宋体" w:hAnsi="宋体" w:eastAsia="宋体" w:cstheme="minorBidi"/>
                <w:snapToGrid w:val="0"/>
                <w:color w:val="000000" w:themeColor="text1"/>
                <w:kern w:val="0"/>
                <w:sz w:val="21"/>
                <w:szCs w:val="21"/>
                <w:lang w:val="en-US" w:eastAsia="zh-CN" w:bidi="ar-SA"/>
                <w14:textFill>
                  <w14:solidFill>
                    <w14:schemeClr w14:val="tx1"/>
                  </w14:solidFill>
                </w14:textFill>
              </w:rPr>
              <w:t>）</w:t>
            </w:r>
          </w:p>
        </w:tc>
      </w:tr>
    </w:tbl>
    <w:p>
      <w:pPr>
        <w:keepNext w:val="0"/>
        <w:keepLines w:val="0"/>
        <w:widowControl/>
        <w:suppressLineNumbers w:val="0"/>
        <w:ind w:firstLine="420" w:firstLineChars="200"/>
        <w:jc w:val="left"/>
        <w:rPr>
          <w:rFonts w:hint="default" w:ascii="宋体" w:hAnsi="宋体" w:eastAsia="宋体" w:cstheme="minorBidi"/>
          <w:snapToGrid w:val="0"/>
          <w:color w:val="000000" w:themeColor="text1"/>
          <w:kern w:val="0"/>
          <w:sz w:val="21"/>
          <w:szCs w:val="21"/>
          <w:lang w:val="en-US" w:eastAsia="zh-CN" w:bidi="ar-SA"/>
          <w14:textFill>
            <w14:solidFill>
              <w14:schemeClr w14:val="tx1"/>
            </w14:solidFill>
          </w14:textFill>
        </w:rPr>
      </w:pPr>
    </w:p>
    <w:p>
      <w:pPr>
        <w:pStyle w:val="172"/>
        <w:adjustRightInd w:val="0"/>
        <w:snapToGrid w:val="0"/>
        <w:ind w:firstLine="482"/>
        <w:rPr>
          <w:rFonts w:hint="eastAsia" w:ascii="宋体" w:hAnsi="宋体"/>
          <w:b/>
          <w:bCs/>
          <w:sz w:val="21"/>
          <w:szCs w:val="21"/>
          <w:highlight w:val="none"/>
        </w:rPr>
      </w:pPr>
      <w:r>
        <w:rPr>
          <w:rFonts w:hint="eastAsia" w:cs="Calibri"/>
          <w:b/>
          <w:kern w:val="0"/>
          <w:sz w:val="21"/>
          <w:szCs w:val="21"/>
          <w:lang w:val="en-US" w:eastAsia="zh-CN"/>
        </w:rPr>
        <w:t>1</w:t>
      </w:r>
      <w:r>
        <w:rPr>
          <w:rFonts w:hint="eastAsia" w:cs="Calibri"/>
          <w:b/>
          <w:kern w:val="0"/>
          <w:sz w:val="21"/>
          <w:szCs w:val="21"/>
        </w:rPr>
        <w:t>.2</w:t>
      </w:r>
      <w:r>
        <w:rPr>
          <w:rFonts w:cs="Calibri"/>
          <w:b/>
          <w:kern w:val="0"/>
          <w:sz w:val="21"/>
          <w:szCs w:val="21"/>
        </w:rPr>
        <w:t>.</w:t>
      </w:r>
      <w:r>
        <w:rPr>
          <w:rFonts w:hint="eastAsia" w:cs="Calibri"/>
          <w:b/>
          <w:kern w:val="0"/>
          <w:sz w:val="21"/>
          <w:szCs w:val="21"/>
          <w:lang w:val="en-US" w:eastAsia="zh-CN"/>
        </w:rPr>
        <w:t>4</w:t>
      </w:r>
      <w:r>
        <w:rPr>
          <w:rFonts w:hint="eastAsia" w:ascii="宋体" w:hAnsi="宋体"/>
          <w:b/>
          <w:bCs/>
          <w:sz w:val="21"/>
          <w:szCs w:val="21"/>
          <w:highlight w:val="none"/>
        </w:rPr>
        <w:t>其他要求</w:t>
      </w:r>
    </w:p>
    <w:bookmarkEnd w:id="121"/>
    <w:p>
      <w:pPr>
        <w:numPr>
          <w:ilvl w:val="0"/>
          <w:numId w:val="11"/>
        </w:numPr>
        <w:spacing w:line="360" w:lineRule="auto"/>
        <w:ind w:firstLine="420" w:firstLineChars="200"/>
        <w:rPr>
          <w:rFonts w:hint="eastAsia" w:ascii="宋体" w:hAnsi="宋体"/>
          <w:kern w:val="0"/>
          <w:sz w:val="21"/>
          <w:szCs w:val="21"/>
        </w:rPr>
      </w:pPr>
      <w:r>
        <w:rPr>
          <w:rFonts w:hint="eastAsia" w:ascii="宋体" w:hAnsi="宋体"/>
          <w:kern w:val="0"/>
          <w:sz w:val="21"/>
          <w:szCs w:val="21"/>
        </w:rPr>
        <w:t>质保期内：卖方免费维护工具，包括工具的周期性点检、维护、保养；并免费配备备品备件、易损件及专用耗材等；质保期满，卖方提供保证买方设备正常运行一年所自备自用的备品备件、易损件和专用耗材，并附详细清单（包括名称、型号、规格、单位、数量、生产厂家、单价、总价等条目）；</w:t>
      </w:r>
    </w:p>
    <w:p>
      <w:pPr>
        <w:numPr>
          <w:ilvl w:val="0"/>
          <w:numId w:val="11"/>
        </w:numPr>
        <w:spacing w:line="360" w:lineRule="auto"/>
        <w:ind w:firstLine="420" w:firstLineChars="200"/>
        <w:rPr>
          <w:rFonts w:hint="eastAsia" w:ascii="宋体" w:hAnsi="宋体"/>
          <w:kern w:val="0"/>
          <w:sz w:val="21"/>
          <w:szCs w:val="21"/>
        </w:rPr>
      </w:pPr>
      <w:r>
        <w:rPr>
          <w:rFonts w:hint="eastAsia" w:ascii="宋体" w:hAnsi="宋体"/>
          <w:kern w:val="0"/>
          <w:sz w:val="21"/>
          <w:szCs w:val="21"/>
        </w:rPr>
        <w:t>卖方提供设备维修所必需的专用工具，并附详细清单（包括名称、型号、规格、单位、数量、生产厂家、单价、总价等条目）；</w:t>
      </w:r>
    </w:p>
    <w:p>
      <w:pPr>
        <w:numPr>
          <w:ilvl w:val="0"/>
          <w:numId w:val="11"/>
        </w:numPr>
        <w:spacing w:line="360" w:lineRule="auto"/>
        <w:ind w:firstLine="420" w:firstLineChars="200"/>
        <w:rPr>
          <w:rFonts w:ascii="宋体" w:hAnsi="宋体"/>
          <w:kern w:val="0"/>
          <w:sz w:val="21"/>
          <w:szCs w:val="21"/>
        </w:rPr>
      </w:pPr>
      <w:r>
        <w:rPr>
          <w:rFonts w:hint="eastAsia" w:ascii="宋体" w:hAnsi="宋体"/>
          <w:kern w:val="0"/>
          <w:sz w:val="21"/>
          <w:szCs w:val="21"/>
        </w:rPr>
        <w:t>备品备件、易损件和专用耗材，其费用应分类单列，并计入投标总报价之内。</w:t>
      </w:r>
    </w:p>
    <w:p>
      <w:pPr>
        <w:numPr>
          <w:ilvl w:val="0"/>
          <w:numId w:val="11"/>
        </w:numPr>
        <w:spacing w:line="360" w:lineRule="auto"/>
        <w:ind w:firstLine="420" w:firstLineChars="200"/>
        <w:rPr>
          <w:rFonts w:ascii="宋体" w:hAnsi="宋体"/>
          <w:color w:val="auto"/>
          <w:kern w:val="0"/>
          <w:sz w:val="21"/>
          <w:szCs w:val="21"/>
          <w:highlight w:val="none"/>
        </w:rPr>
      </w:pPr>
      <w:r>
        <w:rPr>
          <w:rFonts w:hint="eastAsia" w:ascii="宋体" w:hAnsi="宋体"/>
          <w:color w:val="auto"/>
          <w:kern w:val="0"/>
          <w:sz w:val="21"/>
          <w:szCs w:val="21"/>
          <w:highlight w:val="none"/>
        </w:rPr>
        <w:t>中标方交付前应委托国家认可的第三方检测机构进行检定/校准，并提供计量证书。</w:t>
      </w:r>
    </w:p>
    <w:p>
      <w:pPr>
        <w:numPr>
          <w:ilvl w:val="0"/>
          <w:numId w:val="11"/>
        </w:numPr>
        <w:spacing w:line="360" w:lineRule="auto"/>
        <w:ind w:firstLine="420" w:firstLineChars="200"/>
        <w:rPr>
          <w:rFonts w:ascii="宋体" w:hAnsi="宋体"/>
          <w:color w:val="auto"/>
          <w:kern w:val="0"/>
          <w:sz w:val="21"/>
          <w:szCs w:val="21"/>
          <w:highlight w:val="none"/>
        </w:rPr>
      </w:pPr>
      <w:r>
        <w:rPr>
          <w:rFonts w:hint="eastAsia" w:ascii="宋体" w:hAnsi="宋体"/>
          <w:color w:val="auto"/>
          <w:kern w:val="0"/>
          <w:sz w:val="21"/>
          <w:szCs w:val="21"/>
          <w:highlight w:val="none"/>
        </w:rPr>
        <w:t>未尽事宜，届时买卖双方协商解决</w:t>
      </w:r>
      <w:r>
        <w:rPr>
          <w:rFonts w:hint="eastAsia" w:ascii="宋体" w:hAnsi="宋体"/>
          <w:color w:val="auto"/>
          <w:spacing w:val="4"/>
          <w:sz w:val="21"/>
          <w:szCs w:val="21"/>
          <w:highlight w:val="none"/>
        </w:rPr>
        <w:t>。</w:t>
      </w:r>
    </w:p>
    <w:bookmarkEnd w:id="119"/>
    <w:bookmarkEnd w:id="120"/>
    <w:p>
      <w:pPr>
        <w:spacing w:line="360" w:lineRule="auto"/>
        <w:ind w:firstLine="420" w:firstLineChars="200"/>
        <w:rPr>
          <w:rFonts w:hint="eastAsia" w:ascii="宋体" w:hAnsi="宋体"/>
          <w:bCs/>
          <w:sz w:val="21"/>
          <w:szCs w:val="21"/>
        </w:rPr>
      </w:pPr>
      <w:r>
        <w:rPr>
          <w:rFonts w:hint="eastAsia" w:ascii="宋体" w:hAnsi="宋体"/>
          <w:bCs/>
          <w:sz w:val="21"/>
          <w:szCs w:val="21"/>
          <w:lang w:val="en-US" w:eastAsia="zh-CN"/>
        </w:rPr>
        <w:t>工程界面：</w:t>
      </w:r>
    </w:p>
    <w:tbl>
      <w:tblPr>
        <w:tblStyle w:val="41"/>
        <w:tblW w:w="9678" w:type="dxa"/>
        <w:tblInd w:w="0" w:type="dxa"/>
        <w:tblLayout w:type="fixed"/>
        <w:tblCellMar>
          <w:top w:w="0" w:type="dxa"/>
          <w:left w:w="108" w:type="dxa"/>
          <w:bottom w:w="0" w:type="dxa"/>
          <w:right w:w="108" w:type="dxa"/>
        </w:tblCellMar>
      </w:tblPr>
      <w:tblGrid>
        <w:gridCol w:w="785"/>
        <w:gridCol w:w="3840"/>
        <w:gridCol w:w="1008"/>
        <w:gridCol w:w="1140"/>
        <w:gridCol w:w="2905"/>
      </w:tblGrid>
      <w:tr>
        <w:tblPrEx>
          <w:tblCellMar>
            <w:top w:w="0" w:type="dxa"/>
            <w:left w:w="108" w:type="dxa"/>
            <w:bottom w:w="0" w:type="dxa"/>
            <w:right w:w="108" w:type="dxa"/>
          </w:tblCellMar>
        </w:tblPrEx>
        <w:trPr>
          <w:trHeight w:val="303" w:hRule="atLeast"/>
        </w:trPr>
        <w:tc>
          <w:tcPr>
            <w:tcW w:w="785" w:type="dxa"/>
            <w:tcBorders>
              <w:top w:val="single" w:color="000000" w:sz="8" w:space="0"/>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lang w:bidi="ar"/>
              </w:rPr>
              <w:t>序号</w:t>
            </w:r>
          </w:p>
        </w:tc>
        <w:tc>
          <w:tcPr>
            <w:tcW w:w="3840" w:type="dxa"/>
            <w:tcBorders>
              <w:top w:val="single" w:color="000000" w:sz="8" w:space="0"/>
              <w:left w:val="nil"/>
              <w:bottom w:val="single" w:color="000000" w:sz="8" w:space="0"/>
              <w:right w:val="single" w:color="000000" w:sz="8" w:space="0"/>
            </w:tcBorders>
            <w:noWrap/>
            <w:vAlign w:val="center"/>
          </w:tcPr>
          <w:p>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lang w:bidi="ar"/>
              </w:rPr>
              <w:t>内容</w:t>
            </w:r>
          </w:p>
        </w:tc>
        <w:tc>
          <w:tcPr>
            <w:tcW w:w="1008" w:type="dxa"/>
            <w:tcBorders>
              <w:top w:val="single" w:color="000000" w:sz="8" w:space="0"/>
              <w:left w:val="nil"/>
              <w:bottom w:val="single" w:color="000000" w:sz="8" w:space="0"/>
              <w:right w:val="single" w:color="000000" w:sz="8" w:space="0"/>
            </w:tcBorders>
            <w:noWrap/>
            <w:vAlign w:val="center"/>
          </w:tcPr>
          <w:p>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lang w:bidi="ar"/>
              </w:rPr>
              <w:t>招标方</w:t>
            </w:r>
          </w:p>
        </w:tc>
        <w:tc>
          <w:tcPr>
            <w:tcW w:w="1140" w:type="dxa"/>
            <w:tcBorders>
              <w:top w:val="single" w:color="000000" w:sz="8" w:space="0"/>
              <w:left w:val="nil"/>
              <w:bottom w:val="single" w:color="000000" w:sz="8" w:space="0"/>
              <w:right w:val="single" w:color="000000" w:sz="8" w:space="0"/>
            </w:tcBorders>
            <w:noWrap/>
            <w:vAlign w:val="center"/>
          </w:tcPr>
          <w:p>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lang w:bidi="ar"/>
              </w:rPr>
              <w:t>投标方</w:t>
            </w:r>
          </w:p>
        </w:tc>
        <w:tc>
          <w:tcPr>
            <w:tcW w:w="2905" w:type="dxa"/>
            <w:tcBorders>
              <w:top w:val="single" w:color="000000" w:sz="8" w:space="0"/>
              <w:left w:val="nil"/>
              <w:bottom w:val="single" w:color="000000" w:sz="8" w:space="0"/>
              <w:right w:val="single" w:color="000000" w:sz="8" w:space="0"/>
            </w:tcBorders>
            <w:noWrap/>
            <w:vAlign w:val="center"/>
          </w:tcPr>
          <w:p>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lang w:bidi="ar"/>
              </w:rPr>
              <w:t>备注</w:t>
            </w:r>
          </w:p>
        </w:tc>
      </w:tr>
      <w:tr>
        <w:tblPrEx>
          <w:tblCellMar>
            <w:top w:w="0" w:type="dxa"/>
            <w:left w:w="108" w:type="dxa"/>
            <w:bottom w:w="0" w:type="dxa"/>
            <w:right w:w="108" w:type="dxa"/>
          </w:tblCellMar>
        </w:tblPrEx>
        <w:trPr>
          <w:trHeight w:val="303" w:hRule="atLeast"/>
        </w:trPr>
        <w:tc>
          <w:tcPr>
            <w:tcW w:w="785" w:type="dxa"/>
            <w:tcBorders>
              <w:top w:val="nil"/>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1</w:t>
            </w:r>
          </w:p>
        </w:tc>
        <w:tc>
          <w:tcPr>
            <w:tcW w:w="38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val="en-US" w:eastAsia="zh-CN" w:bidi="ar"/>
              </w:rPr>
              <w:t>设备生产制作</w:t>
            </w:r>
          </w:p>
        </w:tc>
        <w:tc>
          <w:tcPr>
            <w:tcW w:w="1008"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c>
          <w:tcPr>
            <w:tcW w:w="11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w:t>
            </w:r>
          </w:p>
        </w:tc>
        <w:tc>
          <w:tcPr>
            <w:tcW w:w="2905"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r>
      <w:tr>
        <w:tblPrEx>
          <w:tblCellMar>
            <w:top w:w="0" w:type="dxa"/>
            <w:left w:w="108" w:type="dxa"/>
            <w:bottom w:w="0" w:type="dxa"/>
            <w:right w:w="108" w:type="dxa"/>
          </w:tblCellMar>
        </w:tblPrEx>
        <w:trPr>
          <w:trHeight w:val="303" w:hRule="atLeast"/>
        </w:trPr>
        <w:tc>
          <w:tcPr>
            <w:tcW w:w="785" w:type="dxa"/>
            <w:tcBorders>
              <w:top w:val="nil"/>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2</w:t>
            </w:r>
          </w:p>
        </w:tc>
        <w:tc>
          <w:tcPr>
            <w:tcW w:w="38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管理软件</w:t>
            </w:r>
          </w:p>
        </w:tc>
        <w:tc>
          <w:tcPr>
            <w:tcW w:w="1008"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c>
          <w:tcPr>
            <w:tcW w:w="11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w:t>
            </w:r>
          </w:p>
        </w:tc>
        <w:tc>
          <w:tcPr>
            <w:tcW w:w="2905"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r>
      <w:tr>
        <w:tblPrEx>
          <w:tblCellMar>
            <w:top w:w="0" w:type="dxa"/>
            <w:left w:w="108" w:type="dxa"/>
            <w:bottom w:w="0" w:type="dxa"/>
            <w:right w:w="108" w:type="dxa"/>
          </w:tblCellMar>
        </w:tblPrEx>
        <w:trPr>
          <w:trHeight w:val="303" w:hRule="atLeast"/>
        </w:trPr>
        <w:tc>
          <w:tcPr>
            <w:tcW w:w="785" w:type="dxa"/>
            <w:tcBorders>
              <w:top w:val="nil"/>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3</w:t>
            </w:r>
          </w:p>
        </w:tc>
        <w:tc>
          <w:tcPr>
            <w:tcW w:w="38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val="en-US" w:eastAsia="zh-CN" w:bidi="ar"/>
              </w:rPr>
              <w:t>设备</w:t>
            </w:r>
            <w:r>
              <w:rPr>
                <w:rFonts w:hint="eastAsia" w:ascii="宋体" w:hAnsi="宋体" w:cs="宋体"/>
                <w:color w:val="000000"/>
                <w:kern w:val="0"/>
                <w:sz w:val="21"/>
                <w:szCs w:val="21"/>
                <w:lang w:bidi="ar"/>
              </w:rPr>
              <w:t>配套备品备件</w:t>
            </w:r>
          </w:p>
        </w:tc>
        <w:tc>
          <w:tcPr>
            <w:tcW w:w="1008"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c>
          <w:tcPr>
            <w:tcW w:w="11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w:t>
            </w:r>
          </w:p>
        </w:tc>
        <w:tc>
          <w:tcPr>
            <w:tcW w:w="2905"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r>
      <w:tr>
        <w:tblPrEx>
          <w:tblCellMar>
            <w:top w:w="0" w:type="dxa"/>
            <w:left w:w="108" w:type="dxa"/>
            <w:bottom w:w="0" w:type="dxa"/>
            <w:right w:w="108" w:type="dxa"/>
          </w:tblCellMar>
        </w:tblPrEx>
        <w:trPr>
          <w:trHeight w:val="303" w:hRule="atLeast"/>
        </w:trPr>
        <w:tc>
          <w:tcPr>
            <w:tcW w:w="785" w:type="dxa"/>
            <w:tcBorders>
              <w:top w:val="nil"/>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4</w:t>
            </w:r>
          </w:p>
        </w:tc>
        <w:tc>
          <w:tcPr>
            <w:tcW w:w="38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运输及施工</w:t>
            </w:r>
          </w:p>
        </w:tc>
        <w:tc>
          <w:tcPr>
            <w:tcW w:w="1008"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c>
          <w:tcPr>
            <w:tcW w:w="11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w:t>
            </w:r>
          </w:p>
        </w:tc>
        <w:tc>
          <w:tcPr>
            <w:tcW w:w="2905"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r>
      <w:tr>
        <w:tblPrEx>
          <w:tblCellMar>
            <w:top w:w="0" w:type="dxa"/>
            <w:left w:w="108" w:type="dxa"/>
            <w:bottom w:w="0" w:type="dxa"/>
            <w:right w:w="108" w:type="dxa"/>
          </w:tblCellMar>
        </w:tblPrEx>
        <w:trPr>
          <w:trHeight w:val="303" w:hRule="atLeast"/>
        </w:trPr>
        <w:tc>
          <w:tcPr>
            <w:tcW w:w="785" w:type="dxa"/>
            <w:tcBorders>
              <w:top w:val="nil"/>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5</w:t>
            </w:r>
          </w:p>
        </w:tc>
        <w:tc>
          <w:tcPr>
            <w:tcW w:w="38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系统调试</w:t>
            </w:r>
          </w:p>
        </w:tc>
        <w:tc>
          <w:tcPr>
            <w:tcW w:w="1008"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c>
          <w:tcPr>
            <w:tcW w:w="11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w:t>
            </w:r>
          </w:p>
        </w:tc>
        <w:tc>
          <w:tcPr>
            <w:tcW w:w="2905"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r>
      <w:tr>
        <w:tblPrEx>
          <w:tblCellMar>
            <w:top w:w="0" w:type="dxa"/>
            <w:left w:w="108" w:type="dxa"/>
            <w:bottom w:w="0" w:type="dxa"/>
            <w:right w:w="108" w:type="dxa"/>
          </w:tblCellMar>
        </w:tblPrEx>
        <w:trPr>
          <w:trHeight w:val="303" w:hRule="atLeast"/>
        </w:trPr>
        <w:tc>
          <w:tcPr>
            <w:tcW w:w="785" w:type="dxa"/>
            <w:tcBorders>
              <w:top w:val="nil"/>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6</w:t>
            </w:r>
          </w:p>
        </w:tc>
        <w:tc>
          <w:tcPr>
            <w:tcW w:w="38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设备调试期间用能</w:t>
            </w:r>
          </w:p>
        </w:tc>
        <w:tc>
          <w:tcPr>
            <w:tcW w:w="1008"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w:t>
            </w:r>
          </w:p>
        </w:tc>
        <w:tc>
          <w:tcPr>
            <w:tcW w:w="1140"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c>
          <w:tcPr>
            <w:tcW w:w="2905"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p>
        </w:tc>
      </w:tr>
      <w:tr>
        <w:tblPrEx>
          <w:tblCellMar>
            <w:top w:w="0" w:type="dxa"/>
            <w:left w:w="108" w:type="dxa"/>
            <w:bottom w:w="0" w:type="dxa"/>
            <w:right w:w="108" w:type="dxa"/>
          </w:tblCellMar>
        </w:tblPrEx>
        <w:trPr>
          <w:trHeight w:val="303" w:hRule="atLeast"/>
        </w:trPr>
        <w:tc>
          <w:tcPr>
            <w:tcW w:w="785" w:type="dxa"/>
            <w:tcBorders>
              <w:top w:val="nil"/>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7</w:t>
            </w:r>
          </w:p>
        </w:tc>
        <w:tc>
          <w:tcPr>
            <w:tcW w:w="38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生产线相关资料提供</w:t>
            </w:r>
          </w:p>
        </w:tc>
        <w:tc>
          <w:tcPr>
            <w:tcW w:w="1008"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w:t>
            </w:r>
          </w:p>
        </w:tc>
        <w:tc>
          <w:tcPr>
            <w:tcW w:w="1140"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c>
          <w:tcPr>
            <w:tcW w:w="2905"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r>
      <w:tr>
        <w:tblPrEx>
          <w:tblCellMar>
            <w:top w:w="0" w:type="dxa"/>
            <w:left w:w="108" w:type="dxa"/>
            <w:bottom w:w="0" w:type="dxa"/>
            <w:right w:w="108" w:type="dxa"/>
          </w:tblCellMar>
        </w:tblPrEx>
        <w:trPr>
          <w:trHeight w:val="303" w:hRule="atLeast"/>
        </w:trPr>
        <w:tc>
          <w:tcPr>
            <w:tcW w:w="785" w:type="dxa"/>
            <w:tcBorders>
              <w:top w:val="nil"/>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8</w:t>
            </w:r>
          </w:p>
        </w:tc>
        <w:tc>
          <w:tcPr>
            <w:tcW w:w="38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调试区域及设备深度保洁</w:t>
            </w:r>
          </w:p>
        </w:tc>
        <w:tc>
          <w:tcPr>
            <w:tcW w:w="1008"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c>
          <w:tcPr>
            <w:tcW w:w="11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w:t>
            </w:r>
          </w:p>
        </w:tc>
        <w:tc>
          <w:tcPr>
            <w:tcW w:w="2905"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r>
      <w:tr>
        <w:tblPrEx>
          <w:tblCellMar>
            <w:top w:w="0" w:type="dxa"/>
            <w:left w:w="108" w:type="dxa"/>
            <w:bottom w:w="0" w:type="dxa"/>
            <w:right w:w="108" w:type="dxa"/>
          </w:tblCellMar>
        </w:tblPrEx>
        <w:trPr>
          <w:trHeight w:val="303" w:hRule="atLeast"/>
        </w:trPr>
        <w:tc>
          <w:tcPr>
            <w:tcW w:w="785" w:type="dxa"/>
            <w:tcBorders>
              <w:top w:val="nil"/>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9</w:t>
            </w:r>
          </w:p>
        </w:tc>
        <w:tc>
          <w:tcPr>
            <w:tcW w:w="38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调试现场安全</w:t>
            </w:r>
          </w:p>
        </w:tc>
        <w:tc>
          <w:tcPr>
            <w:tcW w:w="1008"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c>
          <w:tcPr>
            <w:tcW w:w="11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w:t>
            </w:r>
          </w:p>
        </w:tc>
        <w:tc>
          <w:tcPr>
            <w:tcW w:w="2905"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招标方配合(发生的费用由</w:t>
            </w:r>
            <w:r>
              <w:rPr>
                <w:rFonts w:hint="eastAsia" w:ascii="宋体" w:hAnsi="宋体" w:cs="宋体"/>
                <w:color w:val="000000"/>
                <w:kern w:val="0"/>
                <w:sz w:val="21"/>
                <w:szCs w:val="21"/>
                <w:lang w:val="en-US" w:eastAsia="zh-CN" w:bidi="ar"/>
              </w:rPr>
              <w:t>投标方</w:t>
            </w:r>
            <w:r>
              <w:rPr>
                <w:rFonts w:hint="eastAsia" w:ascii="宋体" w:hAnsi="宋体" w:cs="宋体"/>
                <w:color w:val="000000"/>
                <w:kern w:val="0"/>
                <w:sz w:val="21"/>
                <w:szCs w:val="21"/>
                <w:lang w:bidi="ar"/>
              </w:rPr>
              <w:t>承担）</w:t>
            </w:r>
          </w:p>
        </w:tc>
      </w:tr>
      <w:tr>
        <w:tblPrEx>
          <w:tblCellMar>
            <w:top w:w="0" w:type="dxa"/>
            <w:left w:w="108" w:type="dxa"/>
            <w:bottom w:w="0" w:type="dxa"/>
            <w:right w:w="108" w:type="dxa"/>
          </w:tblCellMar>
        </w:tblPrEx>
        <w:trPr>
          <w:trHeight w:val="303" w:hRule="atLeast"/>
        </w:trPr>
        <w:tc>
          <w:tcPr>
            <w:tcW w:w="785" w:type="dxa"/>
            <w:tcBorders>
              <w:top w:val="nil"/>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10</w:t>
            </w:r>
          </w:p>
        </w:tc>
        <w:tc>
          <w:tcPr>
            <w:tcW w:w="3840"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所需的必要设备堆放场地提供</w:t>
            </w:r>
          </w:p>
        </w:tc>
        <w:tc>
          <w:tcPr>
            <w:tcW w:w="1008" w:type="dxa"/>
            <w:tcBorders>
              <w:top w:val="nil"/>
              <w:left w:val="nil"/>
              <w:bottom w:val="single" w:color="000000" w:sz="8" w:space="0"/>
              <w:right w:val="single" w:color="000000" w:sz="8" w:space="0"/>
            </w:tcBorders>
            <w:noWrap/>
            <w:vAlign w:val="center"/>
          </w:tcPr>
          <w:p>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w:t>
            </w:r>
          </w:p>
        </w:tc>
        <w:tc>
          <w:tcPr>
            <w:tcW w:w="1140"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c>
          <w:tcPr>
            <w:tcW w:w="2905" w:type="dxa"/>
            <w:tcBorders>
              <w:top w:val="nil"/>
              <w:left w:val="nil"/>
              <w:bottom w:val="single" w:color="000000" w:sz="8" w:space="0"/>
              <w:right w:val="single" w:color="000000" w:sz="8" w:space="0"/>
            </w:tcBorders>
            <w:noWrap/>
            <w:vAlign w:val="center"/>
          </w:tcPr>
          <w:p>
            <w:pPr>
              <w:jc w:val="center"/>
              <w:rPr>
                <w:rFonts w:hint="eastAsia" w:ascii="宋体" w:hAnsi="宋体" w:cs="宋体"/>
                <w:color w:val="000000"/>
                <w:sz w:val="21"/>
                <w:szCs w:val="21"/>
              </w:rPr>
            </w:pPr>
          </w:p>
        </w:tc>
      </w:tr>
    </w:tbl>
    <w:p>
      <w:pPr>
        <w:pStyle w:val="22"/>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lang w:val="en-US" w:eastAsia="zh-CN"/>
        </w:rPr>
        <w:t>4、</w:t>
      </w:r>
      <w:r>
        <w:rPr>
          <w:rFonts w:hint="eastAsia" w:asciiTheme="minorEastAsia" w:hAnsiTheme="minorEastAsia" w:eastAsiaTheme="minorEastAsia" w:cstheme="minorEastAsia"/>
          <w:b/>
          <w:bCs/>
          <w:color w:val="auto"/>
          <w:sz w:val="21"/>
          <w:szCs w:val="21"/>
        </w:rPr>
        <w:t>维护保养要求</w:t>
      </w:r>
    </w:p>
    <w:p>
      <w:pPr>
        <w:pStyle w:val="22"/>
        <w:keepNext w:val="0"/>
        <w:keepLines w:val="0"/>
        <w:pageBreakBefore w:val="0"/>
        <w:widowControl w:val="0"/>
        <w:numPr>
          <w:ilvl w:val="0"/>
          <w:numId w:val="12"/>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验收前对设备免费保养和备件更换。</w:t>
      </w:r>
    </w:p>
    <w:p>
      <w:pPr>
        <w:pStyle w:val="22"/>
        <w:keepNext w:val="0"/>
        <w:keepLines w:val="0"/>
        <w:pageBreakBefore w:val="0"/>
        <w:widowControl w:val="0"/>
        <w:numPr>
          <w:ilvl w:val="0"/>
          <w:numId w:val="12"/>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质保期内，维修所用的备件包含在本次投资的合同范围内，我方（中国重汽）不用另行采购备件</w:t>
      </w:r>
      <w:r>
        <w:rPr>
          <w:rFonts w:hint="eastAsia" w:asciiTheme="minorEastAsia" w:hAnsiTheme="minorEastAsia" w:eastAsiaTheme="minorEastAsia" w:cstheme="minorEastAsia"/>
          <w:b w:val="0"/>
          <w:bCs w:val="0"/>
          <w:color w:val="auto"/>
          <w:sz w:val="21"/>
          <w:szCs w:val="21"/>
          <w:lang w:eastAsia="zh-CN"/>
        </w:rPr>
        <w:t>。</w:t>
      </w:r>
    </w:p>
    <w:p>
      <w:pPr>
        <w:pStyle w:val="22"/>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lang w:val="en-US" w:eastAsia="zh-CN"/>
        </w:rPr>
        <w:t>5、</w:t>
      </w:r>
      <w:r>
        <w:rPr>
          <w:rFonts w:hint="eastAsia" w:asciiTheme="minorEastAsia" w:hAnsiTheme="minorEastAsia" w:eastAsiaTheme="minorEastAsia" w:cstheme="minorEastAsia"/>
          <w:b/>
          <w:bCs/>
          <w:color w:val="auto"/>
          <w:sz w:val="21"/>
          <w:szCs w:val="21"/>
        </w:rPr>
        <w:t>程序图纸要求</w:t>
      </w:r>
    </w:p>
    <w:p>
      <w:pPr>
        <w:pStyle w:val="22"/>
        <w:keepNext w:val="0"/>
        <w:keepLines w:val="0"/>
        <w:pageBreakBefore w:val="0"/>
        <w:widowControl w:val="0"/>
        <w:numPr>
          <w:ilvl w:val="0"/>
          <w:numId w:val="13"/>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供方必须提供所有设备程序的源代码，包括但不限于PLC程序、HMI程序、视觉程序、伺服等。</w:t>
      </w:r>
    </w:p>
    <w:p>
      <w:pPr>
        <w:pStyle w:val="22"/>
        <w:keepNext w:val="0"/>
        <w:keepLines w:val="0"/>
        <w:pageBreakBefore w:val="0"/>
        <w:widowControl w:val="0"/>
        <w:numPr>
          <w:ilvl w:val="0"/>
          <w:numId w:val="13"/>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供方所提供的程序不得设置任何密码、保护等限制手段，PLC不得设置修改下载权限，功能块不得设置密码保护。</w:t>
      </w:r>
    </w:p>
    <w:p>
      <w:pPr>
        <w:pStyle w:val="22"/>
        <w:keepNext w:val="0"/>
        <w:keepLines w:val="0"/>
        <w:pageBreakBefore w:val="0"/>
        <w:widowControl w:val="0"/>
        <w:numPr>
          <w:ilvl w:val="0"/>
          <w:numId w:val="13"/>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HMI界面等需要密码保护的程序，供方必须提供所有级别的用户名、密码。</w:t>
      </w:r>
    </w:p>
    <w:p>
      <w:pPr>
        <w:pStyle w:val="22"/>
        <w:keepNext w:val="0"/>
        <w:keepLines w:val="0"/>
        <w:pageBreakBefore w:val="0"/>
        <w:widowControl w:val="0"/>
        <w:numPr>
          <w:ilvl w:val="0"/>
          <w:numId w:val="13"/>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供方需在设备入场前提供设备程序源码，HMI界面各级用户名和密码，并保证与现场程序一致。</w:t>
      </w:r>
    </w:p>
    <w:p>
      <w:pPr>
        <w:pStyle w:val="22"/>
        <w:keepNext w:val="0"/>
        <w:keepLines w:val="0"/>
        <w:pageBreakBefore w:val="0"/>
        <w:widowControl w:val="0"/>
        <w:numPr>
          <w:ilvl w:val="0"/>
          <w:numId w:val="13"/>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供方需在终验收前提供最新的设备程序源码、三维模型、机械图纸和电气图纸，图纸要求为可编辑原格式（EPLAN、CAD格式等）及PDF版本，且与实际一致。</w:t>
      </w:r>
    </w:p>
    <w:p>
      <w:pPr>
        <w:pStyle w:val="22"/>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lang w:val="en-US" w:eastAsia="zh-CN"/>
        </w:rPr>
        <w:t>6、</w:t>
      </w:r>
      <w:r>
        <w:rPr>
          <w:rFonts w:hint="eastAsia" w:asciiTheme="minorEastAsia" w:hAnsiTheme="minorEastAsia" w:eastAsiaTheme="minorEastAsia" w:cstheme="minorEastAsia"/>
          <w:b/>
          <w:bCs/>
          <w:color w:val="auto"/>
          <w:sz w:val="21"/>
          <w:szCs w:val="21"/>
        </w:rPr>
        <w:t>接口协议要求</w:t>
      </w:r>
    </w:p>
    <w:p>
      <w:pPr>
        <w:pStyle w:val="22"/>
        <w:keepNext w:val="0"/>
        <w:keepLines w:val="0"/>
        <w:pageBreakBefore w:val="0"/>
        <w:widowControl w:val="0"/>
        <w:numPr>
          <w:ilvl w:val="0"/>
          <w:numId w:val="14"/>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供方免费开放所有通讯接口，包括但不限于以太网、RS232、RS485、PROFIBUS、PROFINET等常见接口，以及设备特有的专用接口；</w:t>
      </w:r>
    </w:p>
    <w:p>
      <w:pPr>
        <w:pStyle w:val="22"/>
        <w:keepNext w:val="0"/>
        <w:keepLines w:val="0"/>
        <w:pageBreakBefore w:val="0"/>
        <w:widowControl w:val="0"/>
        <w:numPr>
          <w:ilvl w:val="0"/>
          <w:numId w:val="14"/>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供方免费提供数据交互功能，交互数据包括但不限于实时数据、历史数据、报警信息等；</w:t>
      </w:r>
    </w:p>
    <w:p>
      <w:pPr>
        <w:pStyle w:val="22"/>
        <w:keepNext w:val="0"/>
        <w:keepLines w:val="0"/>
        <w:pageBreakBefore w:val="0"/>
        <w:widowControl w:val="0"/>
        <w:numPr>
          <w:ilvl w:val="0"/>
          <w:numId w:val="14"/>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供方在设备入场前提供接口的技术文档和参数说明，包括但不限于接口协议、通讯速率、数据格式等；</w:t>
      </w:r>
    </w:p>
    <w:p>
      <w:pPr>
        <w:pStyle w:val="22"/>
        <w:keepNext w:val="0"/>
        <w:keepLines w:val="0"/>
        <w:pageBreakBefore w:val="0"/>
        <w:widowControl w:val="0"/>
        <w:numPr>
          <w:ilvl w:val="0"/>
          <w:numId w:val="14"/>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设备使用周期内，供方免费派遣技术人员与甲方调试团队共同进行设备通讯接口的调试工作；</w:t>
      </w:r>
    </w:p>
    <w:p>
      <w:pPr>
        <w:pStyle w:val="22"/>
        <w:keepNext w:val="0"/>
        <w:keepLines w:val="0"/>
        <w:pageBreakBefore w:val="0"/>
        <w:widowControl w:val="0"/>
        <w:numPr>
          <w:ilvl w:val="0"/>
          <w:numId w:val="14"/>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设备颜色等需与现场保持一致，满足现场生产一致性；</w:t>
      </w:r>
    </w:p>
    <w:p>
      <w:pPr>
        <w:pStyle w:val="22"/>
        <w:keepNext w:val="0"/>
        <w:keepLines w:val="0"/>
        <w:pageBreakBefore w:val="0"/>
        <w:widowControl w:val="0"/>
        <w:numPr>
          <w:ilvl w:val="0"/>
          <w:numId w:val="14"/>
        </w:numPr>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设备安装调试包含网线和电路铺设。</w:t>
      </w:r>
    </w:p>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黑体" w:hAnsi="宋体" w:eastAsia="黑体"/>
          <w:b/>
          <w:bCs/>
          <w:color w:val="auto"/>
          <w:lang w:val="en-US" w:eastAsia="zh-CN"/>
        </w:rPr>
      </w:pPr>
      <w:r>
        <w:rPr>
          <w:rFonts w:hint="eastAsia" w:ascii="黑体" w:hAnsi="宋体" w:eastAsia="黑体"/>
          <w:b/>
          <w:bCs/>
          <w:color w:val="auto"/>
          <w:lang w:val="en-US" w:eastAsia="zh-CN"/>
        </w:rPr>
        <w:t>四、安全要求</w:t>
      </w:r>
    </w:p>
    <w:p>
      <w:pPr>
        <w:pStyle w:val="131"/>
        <w:keepNext w:val="0"/>
        <w:keepLines w:val="0"/>
        <w:pageBreakBefore w:val="0"/>
        <w:widowControl w:val="0"/>
        <w:kinsoku/>
        <w:wordWrap/>
        <w:overflowPunct/>
        <w:topLinePunct w:val="0"/>
        <w:autoSpaceDE/>
        <w:autoSpaceDN/>
        <w:bidi w:val="0"/>
        <w:adjustRightInd/>
        <w:snapToGrid/>
        <w:spacing w:line="480" w:lineRule="exact"/>
        <w:ind w:firstLine="480"/>
        <w:jc w:val="lef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 安全可靠：合理配备安全防护措施、实时监测、系统报警；</w:t>
      </w:r>
    </w:p>
    <w:p>
      <w:pPr>
        <w:pStyle w:val="131"/>
        <w:keepNext w:val="0"/>
        <w:keepLines w:val="0"/>
        <w:pageBreakBefore w:val="0"/>
        <w:widowControl w:val="0"/>
        <w:kinsoku/>
        <w:wordWrap/>
        <w:overflowPunct/>
        <w:topLinePunct w:val="0"/>
        <w:autoSpaceDE/>
        <w:autoSpaceDN/>
        <w:bidi w:val="0"/>
        <w:adjustRightInd/>
        <w:snapToGrid/>
        <w:spacing w:line="480" w:lineRule="exact"/>
        <w:ind w:firstLine="480"/>
        <w:jc w:val="lef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 安全防护、环境保护、节能要求应满足ISO及国家相关标准；</w:t>
      </w:r>
    </w:p>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黑体" w:hAnsi="宋体" w:eastAsia="黑体"/>
          <w:b/>
          <w:bCs/>
          <w:color w:val="auto"/>
          <w:lang w:val="en-US" w:eastAsia="zh-CN"/>
        </w:rPr>
      </w:pPr>
      <w:r>
        <w:rPr>
          <w:rFonts w:hint="eastAsia" w:ascii="黑体" w:hAnsi="宋体" w:eastAsia="黑体"/>
          <w:b/>
          <w:bCs/>
          <w:color w:val="auto"/>
          <w:lang w:val="en-US" w:eastAsia="zh-CN"/>
        </w:rPr>
        <w:t>五、供货要求</w:t>
      </w:r>
    </w:p>
    <w:p>
      <w:pPr>
        <w:pStyle w:val="22"/>
        <w:spacing w:line="360" w:lineRule="auto"/>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 供货范围包括货物为达到产品标准以及环保、消防和劳动安全卫生等国家法律、法规和标准、规范要求而必须配备但标书未明确提出的通风系统、近距离照明系统以及劳动安全防护设施（不包括人体防护用品）等使用现场配套的设备、材料等；</w:t>
      </w:r>
    </w:p>
    <w:p>
      <w:pPr>
        <w:pStyle w:val="22"/>
        <w:spacing w:line="360" w:lineRule="auto"/>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 供货范围包括货物正常运行所必需的全套连线设备、材料等。如货物端连接法兰外端面之内的、电气系统接口压线板（插座等）之内的设备、材料、连接螺栓、垫片等；</w:t>
      </w:r>
    </w:p>
    <w:p>
      <w:pPr>
        <w:pStyle w:val="22"/>
        <w:spacing w:line="360" w:lineRule="auto"/>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 供货范围包括货物正常运行、使用所需要的过桥、护栏、防护网、盖板等辅助设施；</w:t>
      </w:r>
    </w:p>
    <w:p>
      <w:pPr>
        <w:pStyle w:val="22"/>
        <w:spacing w:line="360" w:lineRule="auto"/>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 质保期终止之日起一年内重复出现的质保期之内出现的故障，仍属于质保范围而且应当免费；</w:t>
      </w:r>
    </w:p>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黑体" w:hAnsi="宋体" w:eastAsia="黑体"/>
          <w:b/>
          <w:bCs/>
          <w:color w:val="auto"/>
          <w:lang w:val="en-US" w:eastAsia="zh-CN"/>
        </w:rPr>
      </w:pPr>
      <w:r>
        <w:rPr>
          <w:rFonts w:hint="eastAsia" w:ascii="黑体" w:hAnsi="宋体" w:eastAsia="黑体"/>
          <w:b/>
          <w:bCs/>
          <w:color w:val="auto"/>
          <w:lang w:val="en-US" w:eastAsia="zh-CN"/>
        </w:rPr>
        <w:t>六、售中售后服务</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1. 应负责在买方设备使用现场，进行5工作日免费的技术指导和培训。</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2. 应免费提供培训资料2份。</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3. 若卖方提供的设备涉及到外购外协货物、而且该货物的技术质量等较为关键时，卖方应能保证得到配套厂家的技术支持，并免费为买方提供技术服务。</w:t>
      </w:r>
    </w:p>
    <w:p>
      <w:pPr>
        <w:adjustRightInd w:val="0"/>
        <w:snapToGrid w:val="0"/>
        <w:spacing w:line="460" w:lineRule="exact"/>
        <w:ind w:firstLine="420" w:firstLineChars="200"/>
        <w:rPr>
          <w:rFonts w:hint="eastAsia" w:ascii="Cambria Math" w:hAnsi="Cambria Math"/>
          <w:color w:val="auto"/>
        </w:rPr>
      </w:pPr>
      <w:r>
        <w:rPr>
          <w:rFonts w:hint="eastAsia" w:ascii="Cambria Math" w:hAnsi="Cambria Math"/>
          <w:color w:val="auto"/>
        </w:rPr>
        <w:t>4. 负责制定对买方人员在运行、维修等方面的培训计划，并有专人负责实施培训计划，负责指导买方受培训人员正确理解设计和制造意图，认识设备的特点和特性，掌握在运行、维修和使用管理中应遵守的规则等方面的综合知识。</w:t>
      </w:r>
    </w:p>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黑体" w:hAnsi="宋体" w:eastAsia="黑体"/>
          <w:b/>
          <w:bCs/>
          <w:color w:val="auto"/>
          <w:lang w:val="en-US" w:eastAsia="zh-CN"/>
        </w:rPr>
      </w:pPr>
      <w:r>
        <w:rPr>
          <w:rFonts w:hint="eastAsia" w:ascii="黑体" w:hAnsi="宋体" w:eastAsia="黑体"/>
          <w:b/>
          <w:bCs/>
          <w:color w:val="auto"/>
          <w:lang w:val="en-US" w:eastAsia="zh-CN"/>
        </w:rPr>
        <w:t>七、备件</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1</w:t>
      </w:r>
      <w:r>
        <w:rPr>
          <w:rFonts w:ascii="Cambria Math" w:hAnsi="Cambria Math"/>
          <w:color w:val="auto"/>
        </w:rPr>
        <w:t>.</w:t>
      </w:r>
      <w:r>
        <w:rPr>
          <w:rFonts w:hint="eastAsia" w:ascii="Cambria Math" w:hAnsi="Cambria Math"/>
          <w:color w:val="auto"/>
        </w:rPr>
        <w:t>备件内容包括但不限于：</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电器元件、气路附件及其它易损件。</w:t>
      </w:r>
    </w:p>
    <w:p>
      <w:pPr>
        <w:adjustRightInd w:val="0"/>
        <w:snapToGrid w:val="0"/>
        <w:spacing w:line="460" w:lineRule="exact"/>
        <w:ind w:firstLine="420" w:firstLineChars="200"/>
        <w:rPr>
          <w:rFonts w:ascii="Cambria Math" w:hAnsi="Cambria Math"/>
          <w:color w:val="auto"/>
        </w:rPr>
      </w:pPr>
      <w:r>
        <w:rPr>
          <w:rFonts w:hint="eastAsia" w:ascii="Cambria Math" w:hAnsi="Cambria Math"/>
          <w:color w:val="auto"/>
        </w:rPr>
        <w:t>2</w:t>
      </w:r>
      <w:r>
        <w:rPr>
          <w:rFonts w:ascii="Cambria Math" w:hAnsi="Cambria Math"/>
          <w:color w:val="auto"/>
        </w:rPr>
        <w:t>.</w:t>
      </w:r>
      <w:r>
        <w:rPr>
          <w:rFonts w:hint="eastAsia" w:ascii="Cambria Math" w:hAnsi="Cambria Math"/>
          <w:color w:val="auto"/>
        </w:rPr>
        <w:t>在完成设备技术会签后，由买方确定具体备件清单及要求到货时间、卖方按清单提供。</w:t>
      </w:r>
    </w:p>
    <w:p>
      <w:pPr>
        <w:adjustRightInd w:val="0"/>
        <w:snapToGrid w:val="0"/>
        <w:spacing w:line="460" w:lineRule="exact"/>
        <w:ind w:firstLine="420" w:firstLineChars="200"/>
        <w:rPr>
          <w:rFonts w:hint="eastAsia" w:ascii="Cambria Math" w:hAnsi="Cambria Math"/>
          <w:color w:val="auto"/>
        </w:rPr>
      </w:pPr>
      <w:r>
        <w:rPr>
          <w:rFonts w:hint="eastAsia" w:ascii="Cambria Math" w:hAnsi="Cambria Math"/>
          <w:color w:val="auto"/>
        </w:rPr>
        <w:t>3</w:t>
      </w:r>
      <w:r>
        <w:rPr>
          <w:rFonts w:ascii="Cambria Math" w:hAnsi="Cambria Math"/>
          <w:color w:val="auto"/>
        </w:rPr>
        <w:t>.</w:t>
      </w:r>
      <w:r>
        <w:rPr>
          <w:rFonts w:hint="eastAsia" w:ascii="Cambria Math" w:hAnsi="Cambria Math"/>
          <w:color w:val="auto"/>
        </w:rPr>
        <w:t>卖方对备件价格核算时，应按照市场价格8</w:t>
      </w:r>
      <w:r>
        <w:rPr>
          <w:rFonts w:ascii="Cambria Math" w:hAnsi="Cambria Math"/>
          <w:color w:val="auto"/>
        </w:rPr>
        <w:t>5%</w:t>
      </w:r>
      <w:r>
        <w:rPr>
          <w:rFonts w:hint="eastAsia" w:ascii="Cambria Math" w:hAnsi="Cambria Math"/>
          <w:color w:val="auto"/>
        </w:rPr>
        <w:t>以下（含8</w:t>
      </w:r>
      <w:r>
        <w:rPr>
          <w:rFonts w:ascii="Cambria Math" w:hAnsi="Cambria Math"/>
          <w:color w:val="auto"/>
        </w:rPr>
        <w:t>5%</w:t>
      </w:r>
      <w:r>
        <w:rPr>
          <w:rFonts w:hint="eastAsia" w:ascii="Cambria Math" w:hAnsi="Cambria Math"/>
          <w:color w:val="auto"/>
        </w:rPr>
        <w:t>）对买方进行核算。</w:t>
      </w:r>
    </w:p>
    <w:p>
      <w:pPr>
        <w:keepNext w:val="0"/>
        <w:keepLines w:val="0"/>
        <w:pageBreakBefore w:val="0"/>
        <w:widowControl w:val="0"/>
        <w:kinsoku/>
        <w:wordWrap/>
        <w:overflowPunct/>
        <w:topLinePunct w:val="0"/>
        <w:autoSpaceDE/>
        <w:autoSpaceDN/>
        <w:bidi w:val="0"/>
        <w:adjustRightInd/>
        <w:snapToGrid/>
        <w:spacing w:line="480" w:lineRule="exact"/>
        <w:ind w:firstLine="422" w:firstLineChars="200"/>
        <w:textAlignment w:val="auto"/>
        <w:rPr>
          <w:rFonts w:hint="eastAsia" w:ascii="黑体" w:hAnsi="宋体" w:eastAsia="黑体"/>
          <w:b/>
          <w:bCs/>
          <w:color w:val="auto"/>
          <w:lang w:val="en-US" w:eastAsia="zh-CN"/>
        </w:rPr>
      </w:pPr>
      <w:r>
        <w:rPr>
          <w:rFonts w:hint="eastAsia" w:ascii="黑体" w:hAnsi="宋体" w:eastAsia="黑体"/>
          <w:b/>
          <w:bCs/>
          <w:color w:val="auto"/>
          <w:lang w:val="en-US" w:eastAsia="zh-CN"/>
        </w:rPr>
        <w:t>八、其他</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1</w:t>
      </w:r>
      <w:r>
        <w:rPr>
          <w:rFonts w:hint="eastAsia" w:ascii="Cambria Math" w:hAnsi="Cambria Math"/>
          <w:color w:val="auto"/>
        </w:rPr>
        <w:t>. 投标人承诺对参与该项目所获得的与招标人产品相关的所有信息都予以保密，并承担与此相关的所有法律责任；</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2.</w:t>
      </w:r>
      <w:r>
        <w:rPr>
          <w:rFonts w:hint="eastAsia" w:ascii="Cambria Math" w:hAnsi="Cambria Math"/>
          <w:color w:val="auto"/>
        </w:rPr>
        <w:t xml:space="preserve"> 终验收合格后，质保期</w:t>
      </w:r>
      <w:r>
        <w:rPr>
          <w:rFonts w:hint="eastAsia" w:ascii="Cambria Math" w:hAnsi="Cambria Math"/>
          <w:color w:val="auto"/>
          <w:lang w:val="en-US" w:eastAsia="zh-CN"/>
        </w:rPr>
        <w:t>2</w:t>
      </w:r>
      <w:r>
        <w:rPr>
          <w:rFonts w:hint="eastAsia" w:ascii="Cambria Math" w:hAnsi="Cambria Math"/>
          <w:color w:val="auto"/>
        </w:rPr>
        <w:t>年。在正常运行的情况下，系统出现故障，在接到通知后</w:t>
      </w:r>
      <w:r>
        <w:rPr>
          <w:rFonts w:ascii="Cambria Math" w:hAnsi="Cambria Math"/>
          <w:color w:val="auto"/>
        </w:rPr>
        <w:t>4小时以内予以答复，并在24小时以内派出服务人员，无偿维修；在质保期满后，投标方在接到通知后4小时以内予以答复，并在24小时以内派出服务人员；</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3.</w:t>
      </w:r>
      <w:r>
        <w:rPr>
          <w:rFonts w:hint="eastAsia" w:ascii="Cambria Math" w:hAnsi="Cambria Math"/>
          <w:color w:val="auto"/>
        </w:rPr>
        <w:t xml:space="preserve"> 其余未尽事宜，投标人应与招标人指派的答疑人员充分沟通，理解认可并接受相关技术规范及服务要求；</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4.</w:t>
      </w:r>
      <w:r>
        <w:rPr>
          <w:rFonts w:hint="eastAsia" w:ascii="Cambria Math" w:hAnsi="Cambria Math"/>
          <w:color w:val="auto"/>
        </w:rPr>
        <w:t xml:space="preserve"> 中标人需安排专人负责本招标项目的联络、检测计划布置、检测现场指导工作，该负责人对于以上问题的响应时间不得超过</w:t>
      </w:r>
      <w:r>
        <w:rPr>
          <w:rFonts w:ascii="Cambria Math" w:hAnsi="Cambria Math"/>
          <w:color w:val="auto"/>
        </w:rPr>
        <w:t>2小时；</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5.</w:t>
      </w:r>
      <w:r>
        <w:rPr>
          <w:rFonts w:hint="eastAsia" w:ascii="Cambria Math" w:hAnsi="Cambria Math"/>
          <w:color w:val="auto"/>
        </w:rPr>
        <w:t xml:space="preserve"> 投标人需自备交通工具、各种设备及食宿等必需品；</w:t>
      </w:r>
    </w:p>
    <w:p>
      <w:pPr>
        <w:adjustRightInd w:val="0"/>
        <w:snapToGrid w:val="0"/>
        <w:spacing w:line="460" w:lineRule="exact"/>
        <w:ind w:firstLine="420" w:firstLineChars="200"/>
        <w:rPr>
          <w:rFonts w:ascii="Cambria Math" w:hAnsi="Cambria Math"/>
          <w:color w:val="auto"/>
        </w:rPr>
      </w:pPr>
      <w:r>
        <w:rPr>
          <w:rFonts w:ascii="Cambria Math" w:hAnsi="Cambria Math"/>
          <w:color w:val="auto"/>
        </w:rPr>
        <w:t>6.</w:t>
      </w:r>
      <w:r>
        <w:rPr>
          <w:rFonts w:hint="eastAsia" w:ascii="Cambria Math" w:hAnsi="Cambria Math"/>
          <w:color w:val="auto"/>
        </w:rPr>
        <w:t xml:space="preserve"> 中标方需对招标人提供的数据及企业资料进行保密，并不得向第三方扩散，因泄密对招标人造成的损失由中标方承担相应全部责任；</w:t>
      </w:r>
    </w:p>
    <w:p>
      <w:pPr>
        <w:pStyle w:val="13"/>
        <w:rPr>
          <w:rFonts w:hint="eastAsia"/>
          <w:color w:val="auto"/>
        </w:rPr>
      </w:pPr>
      <w:r>
        <w:rPr>
          <w:rFonts w:hint="eastAsia" w:hAnsi="宋体" w:cs="宋体"/>
          <w:color w:val="auto"/>
          <w:sz w:val="24"/>
        </w:rPr>
        <w:br w:type="page"/>
      </w:r>
    </w:p>
    <w:p>
      <w:pPr>
        <w:pStyle w:val="2"/>
        <w:spacing w:before="120" w:after="120" w:line="480" w:lineRule="exact"/>
        <w:jc w:val="center"/>
        <w:rPr>
          <w:rFonts w:hint="eastAsia" w:ascii="黑体" w:eastAsia="黑体"/>
          <w:b w:val="0"/>
          <w:color w:val="auto"/>
          <w:sz w:val="24"/>
          <w:szCs w:val="24"/>
        </w:rPr>
      </w:pPr>
      <w:bookmarkStart w:id="122" w:name="_Toc10963"/>
      <w:bookmarkStart w:id="123" w:name="_Toc10810"/>
      <w:bookmarkStart w:id="124" w:name="_Toc5879"/>
      <w:bookmarkStart w:id="125" w:name="_Toc9668"/>
      <w:bookmarkStart w:id="126" w:name="_Toc137705869"/>
      <w:r>
        <w:rPr>
          <w:rFonts w:hint="eastAsia" w:ascii="黑体" w:eastAsia="黑体"/>
          <w:b w:val="0"/>
          <w:color w:val="auto"/>
          <w:sz w:val="24"/>
          <w:szCs w:val="24"/>
        </w:rPr>
        <w:t>第三章  供货范围及供货方式</w:t>
      </w:r>
      <w:bookmarkEnd w:id="122"/>
      <w:bookmarkEnd w:id="123"/>
      <w:bookmarkEnd w:id="124"/>
      <w:bookmarkEnd w:id="125"/>
      <w:bookmarkEnd w:id="126"/>
    </w:p>
    <w:p>
      <w:pPr>
        <w:pStyle w:val="4"/>
        <w:spacing w:before="120" w:after="120" w:line="480" w:lineRule="exact"/>
        <w:jc w:val="center"/>
        <w:rPr>
          <w:rFonts w:hint="eastAsia"/>
          <w:b w:val="0"/>
          <w:color w:val="auto"/>
          <w:sz w:val="24"/>
          <w:szCs w:val="24"/>
        </w:rPr>
      </w:pPr>
      <w:bookmarkStart w:id="127" w:name="_Toc137705870"/>
      <w:bookmarkStart w:id="128" w:name="_Toc10065"/>
      <w:bookmarkStart w:id="129" w:name="_Toc19615"/>
      <w:bookmarkStart w:id="130" w:name="_Toc22761"/>
      <w:bookmarkStart w:id="131" w:name="_Toc15892"/>
      <w:r>
        <w:rPr>
          <w:rFonts w:hint="eastAsia"/>
          <w:b w:val="0"/>
          <w:color w:val="auto"/>
          <w:sz w:val="24"/>
          <w:szCs w:val="24"/>
        </w:rPr>
        <w:t>第一节  供货范围</w:t>
      </w:r>
      <w:bookmarkEnd w:id="127"/>
      <w:bookmarkEnd w:id="128"/>
      <w:bookmarkEnd w:id="129"/>
      <w:bookmarkEnd w:id="130"/>
      <w:bookmarkEnd w:id="131"/>
    </w:p>
    <w:p>
      <w:pPr>
        <w:spacing w:line="480" w:lineRule="exact"/>
        <w:ind w:firstLine="420" w:firstLineChars="200"/>
        <w:rPr>
          <w:rFonts w:hint="eastAsia" w:ascii="黑体" w:hAnsi="宋体" w:eastAsia="黑体"/>
          <w:color w:val="auto"/>
        </w:rPr>
      </w:pPr>
      <w:r>
        <w:rPr>
          <w:rFonts w:hint="eastAsia" w:ascii="黑体" w:hAnsi="宋体" w:eastAsia="黑体"/>
          <w:color w:val="auto"/>
        </w:rPr>
        <w:t>一、主要货物一般供货范围界定</w:t>
      </w:r>
    </w:p>
    <w:p>
      <w:pPr>
        <w:spacing w:line="480" w:lineRule="exact"/>
        <w:ind w:firstLine="420" w:firstLineChars="200"/>
        <w:rPr>
          <w:rFonts w:hint="eastAsia" w:ascii="宋体" w:hAnsi="宋体"/>
          <w:color w:val="auto"/>
        </w:rPr>
      </w:pPr>
      <w:r>
        <w:rPr>
          <w:rFonts w:hint="eastAsia" w:ascii="宋体" w:hAnsi="宋体"/>
          <w:color w:val="auto"/>
        </w:rPr>
        <w:t>1、供货范围包括本技术标书“采购货物概况” 所列及所要求的设备。</w:t>
      </w:r>
    </w:p>
    <w:p>
      <w:pPr>
        <w:spacing w:line="480" w:lineRule="exact"/>
        <w:ind w:firstLine="420" w:firstLineChars="200"/>
        <w:rPr>
          <w:rFonts w:hint="eastAsia" w:ascii="宋体" w:hAnsi="宋体"/>
          <w:color w:val="auto"/>
        </w:rPr>
      </w:pPr>
      <w:r>
        <w:rPr>
          <w:rFonts w:hint="eastAsia" w:ascii="宋体" w:hAnsi="宋体"/>
          <w:color w:val="auto"/>
        </w:rPr>
        <w:t>2、供货范围包括为保证设备正常安装、调试和验收完成及以前所必需的整套配件、附件及材料、油料、控制软件及程序或指令等。</w:t>
      </w:r>
    </w:p>
    <w:p>
      <w:pPr>
        <w:spacing w:line="480" w:lineRule="exact"/>
        <w:ind w:firstLine="420" w:firstLineChars="200"/>
        <w:rPr>
          <w:rFonts w:hint="eastAsia" w:ascii="宋体" w:hAnsi="宋体"/>
          <w:color w:val="auto"/>
        </w:rPr>
      </w:pPr>
      <w:r>
        <w:rPr>
          <w:rFonts w:hint="eastAsia" w:ascii="宋体" w:hAnsi="宋体"/>
          <w:color w:val="auto"/>
        </w:rPr>
        <w:t>如果终验收完成后，投标方有需要收回的配件、附件、材料、油料等，应当在投标文件的技术偏离条款中，予以详细说明；否则视同包括在供货范围之内。</w:t>
      </w:r>
    </w:p>
    <w:p>
      <w:pPr>
        <w:spacing w:line="480" w:lineRule="exact"/>
        <w:ind w:firstLine="420" w:firstLineChars="200"/>
        <w:rPr>
          <w:rFonts w:hint="eastAsia" w:ascii="宋体" w:hAnsi="宋体"/>
          <w:color w:val="auto"/>
        </w:rPr>
      </w:pPr>
      <w:r>
        <w:rPr>
          <w:rFonts w:hint="eastAsia" w:ascii="宋体" w:hAnsi="宋体"/>
          <w:color w:val="auto"/>
        </w:rPr>
        <w:t>3、供货范围包括货物维护维修所必需的专用工具。</w:t>
      </w:r>
    </w:p>
    <w:p>
      <w:pPr>
        <w:spacing w:line="480" w:lineRule="exact"/>
        <w:ind w:firstLine="420" w:firstLineChars="200"/>
        <w:rPr>
          <w:rFonts w:hint="eastAsia" w:ascii="宋体" w:hAnsi="宋体"/>
          <w:color w:val="auto"/>
        </w:rPr>
      </w:pPr>
      <w:r>
        <w:rPr>
          <w:rFonts w:hint="eastAsia" w:ascii="宋体" w:hAnsi="宋体"/>
          <w:color w:val="auto"/>
        </w:rPr>
        <w:t>4、供货范围包括设备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480" w:lineRule="exact"/>
        <w:ind w:firstLine="420" w:firstLineChars="200"/>
        <w:rPr>
          <w:rFonts w:hint="eastAsia" w:ascii="宋体" w:hAnsi="宋体"/>
          <w:color w:val="auto"/>
        </w:rPr>
      </w:pPr>
      <w:r>
        <w:rPr>
          <w:rFonts w:hint="eastAsia" w:ascii="宋体" w:hAnsi="宋体"/>
          <w:color w:val="auto"/>
        </w:rPr>
        <w:t>如投标方难以提供或无优势提供以及属于选用配置的，则应当在投标文件的技术偏离条款中，予以详细说明并注明投标报价未包含该部分的货值。</w:t>
      </w:r>
    </w:p>
    <w:p>
      <w:pPr>
        <w:spacing w:line="480" w:lineRule="exact"/>
        <w:ind w:firstLine="420" w:firstLineChars="200"/>
        <w:rPr>
          <w:rFonts w:hint="eastAsia" w:ascii="宋体" w:hAnsi="宋体"/>
          <w:color w:val="auto"/>
        </w:rPr>
      </w:pPr>
      <w:r>
        <w:rPr>
          <w:rFonts w:hint="eastAsia" w:ascii="宋体" w:hAnsi="宋体"/>
          <w:color w:val="auto"/>
        </w:rPr>
        <w:t>5、供货范围包括为保证设备自身正常运行所必需的、满足使用地点环境条件的通风、冷却、降温等必需设施。</w:t>
      </w:r>
    </w:p>
    <w:p>
      <w:pPr>
        <w:spacing w:line="480" w:lineRule="exact"/>
        <w:ind w:firstLine="420" w:firstLineChars="200"/>
        <w:rPr>
          <w:rFonts w:hint="eastAsia" w:ascii="宋体" w:hAnsi="宋体"/>
          <w:color w:val="auto"/>
        </w:rPr>
      </w:pPr>
      <w:r>
        <w:rPr>
          <w:rFonts w:hint="eastAsia" w:ascii="宋体" w:hAnsi="宋体"/>
          <w:color w:val="auto"/>
        </w:rPr>
        <w:t>6、以“交钥匙”方式采购的设备，在满足技术标书本节上述要求之外，供货范围还包括如下界定（货物）：</w:t>
      </w:r>
    </w:p>
    <w:p>
      <w:pPr>
        <w:spacing w:line="480" w:lineRule="exact"/>
        <w:ind w:firstLine="420" w:firstLineChars="200"/>
        <w:rPr>
          <w:rFonts w:hint="eastAsia" w:ascii="宋体" w:hAnsi="宋体"/>
          <w:color w:val="auto"/>
        </w:rPr>
      </w:pPr>
      <w:r>
        <w:rPr>
          <w:rFonts w:hint="eastAsia" w:ascii="宋体" w:hAnsi="宋体"/>
          <w:color w:val="auto"/>
        </w:rPr>
        <w:t>6.1  招标方只提设备所需的厂房以及砼基础；只提供符合本技术标书中“采购货物概况”和“使用环境”章节所列明品质的电力、自来水、压缩空气、蒸汽、天然气管线至系统接口，如：系统电力接口的接线端，水、气、汽等外围管线端联接法兰外端面。</w:t>
      </w:r>
    </w:p>
    <w:p>
      <w:pPr>
        <w:spacing w:line="480" w:lineRule="exact"/>
        <w:ind w:firstLine="420" w:firstLineChars="200"/>
        <w:rPr>
          <w:rFonts w:hint="eastAsia" w:ascii="宋体" w:hAnsi="宋体"/>
          <w:color w:val="auto"/>
        </w:rPr>
      </w:pPr>
      <w:r>
        <w:rPr>
          <w:rFonts w:hint="eastAsia" w:ascii="宋体" w:hAnsi="宋体"/>
          <w:color w:val="auto"/>
        </w:rPr>
        <w:t>6.2  供货范围包括设备正常运行所必需的全套连线设备、材料等。如货物端联接法兰外端面之内的、电气系统接口压线板（插座等）之内的设备、材料、联接螺栓、垫片等。</w:t>
      </w:r>
    </w:p>
    <w:p>
      <w:pPr>
        <w:spacing w:line="480" w:lineRule="exact"/>
        <w:ind w:firstLine="420" w:firstLineChars="200"/>
        <w:rPr>
          <w:rFonts w:hint="eastAsia" w:ascii="宋体" w:hAnsi="宋体"/>
          <w:color w:val="auto"/>
        </w:rPr>
      </w:pPr>
      <w:r>
        <w:rPr>
          <w:rFonts w:hint="eastAsia" w:ascii="宋体" w:hAnsi="宋体"/>
          <w:color w:val="auto"/>
        </w:rPr>
        <w:t>6.3  供货范围包括设备正常运行、使用所需要的过桥、护栏、防护网、盖板等辅助设施。</w:t>
      </w:r>
    </w:p>
    <w:p>
      <w:pPr>
        <w:spacing w:line="480" w:lineRule="exact"/>
        <w:ind w:firstLine="420" w:firstLineChars="200"/>
        <w:rPr>
          <w:rFonts w:hint="eastAsia" w:ascii="宋体" w:hAnsi="宋体"/>
          <w:color w:val="auto"/>
        </w:rPr>
      </w:pPr>
      <w:r>
        <w:rPr>
          <w:rFonts w:hint="eastAsia" w:ascii="宋体" w:hAnsi="宋体"/>
          <w:color w:val="auto"/>
        </w:rPr>
        <w:t>6.4  供货范围包括招标文件中无明确具体要求而投标方认为必须具备的其它货物。但是，在投标文件报价明细中，该部分货物单独报价（该报价含运杂费及税费等其它费用，而且不再作为其它报价涉及的其它费用的计算基数）。</w:t>
      </w:r>
    </w:p>
    <w:p>
      <w:pPr>
        <w:spacing w:line="480" w:lineRule="exact"/>
        <w:ind w:firstLine="420" w:firstLineChars="200"/>
        <w:rPr>
          <w:rFonts w:hint="eastAsia" w:ascii="黑体" w:hAnsi="宋体" w:eastAsia="黑体"/>
          <w:color w:val="auto"/>
        </w:rPr>
      </w:pPr>
      <w:r>
        <w:rPr>
          <w:rFonts w:hint="eastAsia" w:ascii="黑体" w:hAnsi="宋体" w:eastAsia="黑体"/>
          <w:color w:val="auto"/>
        </w:rPr>
        <w:t>二、备品备件、易损件和专用耗材供货范围</w:t>
      </w:r>
    </w:p>
    <w:p>
      <w:pPr>
        <w:spacing w:line="480" w:lineRule="exact"/>
        <w:ind w:firstLine="420" w:firstLineChars="200"/>
        <w:rPr>
          <w:rFonts w:hint="eastAsia" w:ascii="宋体" w:hAnsi="宋体"/>
          <w:color w:val="auto"/>
        </w:rPr>
      </w:pPr>
      <w:r>
        <w:rPr>
          <w:rFonts w:hint="eastAsia" w:ascii="宋体" w:hAnsi="宋体"/>
          <w:color w:val="auto"/>
        </w:rPr>
        <w:t>1、备品备件、易损件和专用耗材是招标方为保证设备质保期之后正常运行一年所自备自用的备品备件、易损件和专用耗材。质保期之内正常需要的备品备件、易损件和专用耗材全部包括在供货范围之内而不属于本条款界定的范围</w:t>
      </w:r>
      <w:r>
        <w:rPr>
          <w:rFonts w:hint="eastAsia" w:hAnsi="宋体" w:cs="宋体"/>
          <w:color w:val="auto"/>
        </w:rPr>
        <w:t>（应有明细）</w:t>
      </w:r>
      <w:r>
        <w:rPr>
          <w:rFonts w:hint="eastAsia" w:ascii="宋体" w:hAnsi="宋体"/>
          <w:color w:val="auto"/>
        </w:rPr>
        <w:t>。</w:t>
      </w:r>
    </w:p>
    <w:p>
      <w:pPr>
        <w:spacing w:line="480" w:lineRule="exact"/>
        <w:ind w:firstLine="420" w:firstLineChars="200"/>
        <w:rPr>
          <w:rFonts w:ascii="宋体" w:hAnsi="宋体"/>
          <w:color w:val="auto"/>
        </w:rPr>
      </w:pPr>
      <w:r>
        <w:rPr>
          <w:rFonts w:hint="eastAsia" w:ascii="宋体" w:hAnsi="宋体"/>
          <w:color w:val="auto"/>
        </w:rPr>
        <w:t>2、供货范围包括易损件和专用耗材的制造图纸及其技术要求等资料。</w:t>
      </w:r>
    </w:p>
    <w:p>
      <w:pPr>
        <w:spacing w:line="480" w:lineRule="exact"/>
        <w:ind w:firstLine="420" w:firstLineChars="200"/>
        <w:rPr>
          <w:rFonts w:hint="eastAsia" w:ascii="宋体" w:hAnsi="宋体"/>
          <w:color w:val="auto"/>
        </w:rPr>
      </w:pPr>
      <w:r>
        <w:rPr>
          <w:rFonts w:hint="eastAsia" w:ascii="宋体" w:hAnsi="宋体"/>
          <w:color w:val="auto"/>
        </w:rPr>
        <w:t>3、投标报价需包含投标额5</w:t>
      </w:r>
      <w:r>
        <w:rPr>
          <w:rFonts w:ascii="宋体" w:hAnsi="宋体"/>
          <w:color w:val="auto"/>
        </w:rPr>
        <w:t>%</w:t>
      </w:r>
      <w:r>
        <w:rPr>
          <w:rFonts w:hint="eastAsia" w:ascii="宋体" w:hAnsi="宋体"/>
          <w:color w:val="auto"/>
        </w:rPr>
        <w:t>的备件及易损件。</w:t>
      </w:r>
    </w:p>
    <w:p>
      <w:pPr>
        <w:spacing w:line="480" w:lineRule="exact"/>
        <w:ind w:firstLine="420" w:firstLineChars="200"/>
        <w:rPr>
          <w:rFonts w:hint="eastAsia" w:ascii="黑体" w:hAnsi="宋体" w:eastAsia="黑体"/>
          <w:color w:val="auto"/>
        </w:rPr>
      </w:pPr>
      <w:r>
        <w:rPr>
          <w:rFonts w:hint="eastAsia" w:ascii="黑体" w:hAnsi="宋体" w:eastAsia="黑体"/>
          <w:color w:val="auto"/>
        </w:rPr>
        <w:t>三、技术资料供货范围</w:t>
      </w:r>
    </w:p>
    <w:p>
      <w:pPr>
        <w:spacing w:line="480" w:lineRule="exact"/>
        <w:ind w:firstLine="420" w:firstLineChars="200"/>
        <w:rPr>
          <w:rFonts w:hint="eastAsia" w:ascii="宋体" w:hAnsi="宋体"/>
          <w:color w:val="auto"/>
        </w:rPr>
      </w:pPr>
      <w:r>
        <w:rPr>
          <w:rFonts w:hint="eastAsia" w:ascii="宋体" w:hAnsi="宋体"/>
          <w:color w:val="auto"/>
        </w:rPr>
        <w:t>技术资料供货范围包括：</w:t>
      </w:r>
    </w:p>
    <w:p>
      <w:pPr>
        <w:spacing w:line="480" w:lineRule="exact"/>
        <w:ind w:firstLine="420" w:firstLineChars="200"/>
        <w:rPr>
          <w:rFonts w:hint="eastAsia" w:ascii="宋体" w:hAnsi="宋体"/>
          <w:bCs/>
          <w:color w:val="auto"/>
        </w:rPr>
      </w:pPr>
      <w:r>
        <w:rPr>
          <w:rFonts w:hint="eastAsia" w:ascii="宋体" w:hAnsi="宋体"/>
          <w:color w:val="auto"/>
        </w:rPr>
        <w:t>1、在</w:t>
      </w:r>
      <w:r>
        <w:rPr>
          <w:rFonts w:hint="eastAsia" w:hAnsi="宋体" w:cs="宋体"/>
          <w:color w:val="auto"/>
        </w:rPr>
        <w:t>中标通知发出之</w:t>
      </w:r>
      <w:r>
        <w:rPr>
          <w:rFonts w:hint="eastAsia" w:ascii="宋体" w:hAnsi="宋体"/>
          <w:bCs/>
          <w:color w:val="auto"/>
        </w:rPr>
        <w:t>后</w:t>
      </w:r>
      <w:r>
        <w:rPr>
          <w:rFonts w:hint="eastAsia" w:ascii="宋体" w:hAnsi="宋体"/>
          <w:bCs/>
          <w:color w:val="auto"/>
          <w:u w:val="single"/>
          <w:shd w:val="pct10" w:color="auto" w:fill="FFFFFF"/>
        </w:rPr>
        <w:t xml:space="preserve">   15   </w:t>
      </w:r>
      <w:r>
        <w:rPr>
          <w:rFonts w:hint="eastAsia" w:ascii="宋体" w:hAnsi="宋体"/>
          <w:bCs/>
          <w:color w:val="auto"/>
        </w:rPr>
        <w:t>个日历日内，提供设备基础及相关的设计、制作所需的纸质及电子版资料；电子版文件应当能够使用常用版本软件可以阅读甚至使用，进口货物、设备应有中外文对照。</w:t>
      </w:r>
    </w:p>
    <w:p>
      <w:pPr>
        <w:spacing w:line="480" w:lineRule="exact"/>
        <w:ind w:firstLine="420" w:firstLineChars="200"/>
        <w:rPr>
          <w:rFonts w:hint="eastAsia" w:ascii="宋体" w:hAnsi="宋体"/>
          <w:color w:val="auto"/>
        </w:rPr>
      </w:pPr>
      <w:r>
        <w:rPr>
          <w:rFonts w:hint="eastAsia" w:ascii="宋体" w:hAnsi="宋体"/>
          <w:color w:val="auto"/>
        </w:rPr>
        <w:t>2、在预验收前，</w:t>
      </w:r>
      <w:r>
        <w:rPr>
          <w:rFonts w:hint="eastAsia" w:ascii="宋体" w:hAnsi="宋体"/>
          <w:bCs/>
          <w:color w:val="auto"/>
        </w:rPr>
        <w:t>提供设备各部分的功能描述文件、图片、影像等资料（进口、设备应有中外文对照）。</w:t>
      </w:r>
    </w:p>
    <w:p>
      <w:pPr>
        <w:spacing w:line="480" w:lineRule="exact"/>
        <w:ind w:firstLine="420" w:firstLineChars="200"/>
        <w:rPr>
          <w:rFonts w:hint="eastAsia" w:ascii="宋体" w:hAnsi="宋体"/>
          <w:color w:val="auto"/>
        </w:rPr>
      </w:pPr>
      <w:r>
        <w:rPr>
          <w:rFonts w:hint="eastAsia" w:ascii="宋体" w:hAnsi="宋体"/>
          <w:color w:val="auto"/>
        </w:rPr>
        <w:t>3、在终验收前，提供为保证设备后续正常运行所需的工装、吊（挂）具明细及其图纸、具体技术要求等资料（如果供货范围包含该部分实物）。</w:t>
      </w:r>
    </w:p>
    <w:p>
      <w:pPr>
        <w:spacing w:line="480" w:lineRule="exact"/>
        <w:ind w:firstLine="420" w:firstLineChars="200"/>
        <w:rPr>
          <w:rFonts w:hint="eastAsia" w:ascii="宋体" w:hAnsi="宋体"/>
          <w:color w:val="auto"/>
        </w:rPr>
      </w:pPr>
      <w:r>
        <w:rPr>
          <w:rFonts w:hint="eastAsia" w:ascii="宋体" w:hAnsi="宋体"/>
          <w:color w:val="auto"/>
        </w:rPr>
        <w:t>4、在终验收前，提供确定的维修所需要且招标方可以自行采购的外购件、外协件、电气元件及主要原材料的供货厂家明细表。</w:t>
      </w:r>
    </w:p>
    <w:p>
      <w:pPr>
        <w:spacing w:line="480" w:lineRule="exact"/>
        <w:ind w:firstLine="420" w:firstLineChars="200"/>
        <w:rPr>
          <w:rFonts w:hint="eastAsia" w:ascii="宋体" w:hAnsi="宋体"/>
          <w:color w:val="auto"/>
        </w:rPr>
      </w:pPr>
      <w:r>
        <w:rPr>
          <w:rFonts w:hint="eastAsia" w:ascii="宋体" w:hAnsi="宋体"/>
          <w:color w:val="auto"/>
        </w:rPr>
        <w:t>5、在终验收后的第一笔货款支付日之前，提供包括设备的备品备件、易损件和专用耗材的图纸及技术参数、技术要求等资料。</w:t>
      </w:r>
    </w:p>
    <w:p>
      <w:pPr>
        <w:spacing w:line="480" w:lineRule="exact"/>
        <w:ind w:firstLine="420" w:firstLineChars="200"/>
        <w:rPr>
          <w:rFonts w:hint="eastAsia" w:ascii="宋体" w:hAnsi="宋体"/>
          <w:color w:val="auto"/>
        </w:rPr>
      </w:pPr>
      <w:r>
        <w:rPr>
          <w:rFonts w:hint="eastAsia" w:ascii="宋体" w:hAnsi="宋体"/>
          <w:color w:val="auto"/>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480" w:lineRule="exact"/>
        <w:ind w:firstLine="420" w:firstLineChars="200"/>
        <w:rPr>
          <w:rFonts w:hint="eastAsia" w:ascii="宋体" w:hAnsi="宋体"/>
          <w:color w:val="auto"/>
        </w:rPr>
      </w:pPr>
      <w:r>
        <w:rPr>
          <w:rFonts w:hint="eastAsia" w:ascii="宋体" w:hAnsi="宋体"/>
          <w:color w:val="auto"/>
        </w:rPr>
        <w:t>7、在终验收后的第一笔货款支付日之前，提供关于采购设备的电气资料（包括接线图、原理图、布线图、梯形图等）、液压（气动）原理图和系统图、安装基础图、维修图等有关的资料（含图片和影像等资料）；非标准货物应提供整套设备3D模型、设计总图、全线布置图、部件装配图、工装夹具全套零件图纸等详细资料；对于进口设备，应有中外文资料说明。</w:t>
      </w:r>
    </w:p>
    <w:p>
      <w:pPr>
        <w:spacing w:line="480" w:lineRule="exact"/>
        <w:ind w:firstLine="420" w:firstLineChars="200"/>
        <w:rPr>
          <w:rFonts w:hint="eastAsia" w:ascii="宋体" w:hAnsi="宋体"/>
          <w:color w:val="auto"/>
        </w:rPr>
      </w:pPr>
      <w:r>
        <w:rPr>
          <w:rFonts w:hint="eastAsia" w:ascii="宋体" w:hAnsi="宋体"/>
          <w:color w:val="auto"/>
        </w:rPr>
        <w:t>8、本条款所列的技术资料、图片、影像等，投标方应各提供4套，其中2套为电子版光（U）盘；每份技术文件应装有目录清单。</w:t>
      </w:r>
    </w:p>
    <w:p>
      <w:pPr>
        <w:spacing w:line="480" w:lineRule="exact"/>
        <w:ind w:firstLine="420" w:firstLineChars="200"/>
        <w:rPr>
          <w:rFonts w:hint="eastAsia" w:ascii="宋体" w:hAnsi="宋体"/>
          <w:color w:val="auto"/>
        </w:rPr>
      </w:pPr>
      <w:r>
        <w:rPr>
          <w:rFonts w:hint="eastAsia" w:ascii="宋体" w:hAnsi="宋体"/>
          <w:color w:val="auto"/>
        </w:rPr>
        <w:t>9、本条款所列要求，如招标方认为投标方提供的资料不能满足要求时，有权要求投标方免费补充或增加。</w:t>
      </w:r>
    </w:p>
    <w:p>
      <w:pPr>
        <w:pStyle w:val="4"/>
        <w:spacing w:before="120" w:after="120" w:line="480" w:lineRule="exact"/>
        <w:jc w:val="center"/>
        <w:rPr>
          <w:rFonts w:hint="eastAsia"/>
          <w:b w:val="0"/>
          <w:color w:val="auto"/>
          <w:sz w:val="24"/>
          <w:szCs w:val="24"/>
        </w:rPr>
      </w:pPr>
      <w:bookmarkStart w:id="132" w:name="_Toc9858"/>
      <w:bookmarkStart w:id="133" w:name="_Toc26064"/>
      <w:bookmarkStart w:id="134" w:name="_Toc137705871"/>
      <w:bookmarkStart w:id="135" w:name="_Toc8159"/>
      <w:bookmarkStart w:id="136" w:name="_Toc13936"/>
      <w:r>
        <w:rPr>
          <w:rFonts w:hint="eastAsia"/>
          <w:b w:val="0"/>
          <w:color w:val="auto"/>
          <w:sz w:val="24"/>
          <w:szCs w:val="24"/>
        </w:rPr>
        <w:t>第二节  供货方式</w:t>
      </w:r>
      <w:bookmarkEnd w:id="132"/>
      <w:bookmarkEnd w:id="133"/>
      <w:bookmarkEnd w:id="134"/>
      <w:bookmarkEnd w:id="135"/>
      <w:bookmarkEnd w:id="136"/>
    </w:p>
    <w:p>
      <w:pPr>
        <w:spacing w:line="480" w:lineRule="exact"/>
        <w:ind w:firstLine="420" w:firstLineChars="200"/>
        <w:rPr>
          <w:rFonts w:hint="eastAsia" w:ascii="宋体" w:hAnsi="宋体"/>
          <w:color w:val="auto"/>
        </w:rPr>
      </w:pPr>
      <w:r>
        <w:rPr>
          <w:rFonts w:hint="eastAsia" w:ascii="黑体" w:hAnsi="宋体" w:eastAsia="黑体"/>
          <w:color w:val="auto"/>
        </w:rPr>
        <w:t>一、供货地点：</w:t>
      </w:r>
      <w:r>
        <w:rPr>
          <w:rFonts w:hint="eastAsia" w:ascii="宋体" w:hAnsi="宋体" w:eastAsia="宋体" w:cs="宋体"/>
          <w:color w:val="auto"/>
          <w:lang w:val="en-US" w:eastAsia="zh-CN"/>
        </w:rPr>
        <w:t>中国重汽集团济南特种车有限公司</w:t>
      </w:r>
      <w:r>
        <w:rPr>
          <w:rFonts w:hint="eastAsia" w:ascii="宋体" w:hAnsi="宋体" w:cs="宋体"/>
          <w:color w:val="auto"/>
          <w:lang w:val="en-US" w:eastAsia="zh-CN"/>
        </w:rPr>
        <w:t>总七车间</w:t>
      </w:r>
      <w:r>
        <w:rPr>
          <w:rFonts w:hint="eastAsia" w:ascii="宋体" w:hAnsi="宋体" w:eastAsia="宋体" w:cs="宋体"/>
          <w:color w:val="auto"/>
        </w:rPr>
        <w:t>。</w:t>
      </w:r>
    </w:p>
    <w:p>
      <w:pPr>
        <w:spacing w:line="480" w:lineRule="exact"/>
        <w:ind w:firstLine="420" w:firstLineChars="200"/>
        <w:jc w:val="left"/>
        <w:rPr>
          <w:rFonts w:hint="eastAsia" w:ascii="黑体" w:hAnsi="宋体" w:eastAsia="黑体"/>
          <w:color w:val="auto"/>
        </w:rPr>
      </w:pPr>
      <w:r>
        <w:rPr>
          <w:rFonts w:hint="eastAsia" w:ascii="黑体" w:hAnsi="宋体" w:eastAsia="黑体"/>
          <w:color w:val="auto"/>
        </w:rPr>
        <w:t>二、供货时间</w:t>
      </w:r>
    </w:p>
    <w:p>
      <w:pPr>
        <w:spacing w:line="480" w:lineRule="exact"/>
        <w:ind w:firstLine="420" w:firstLineChars="200"/>
        <w:jc w:val="left"/>
        <w:rPr>
          <w:rFonts w:hint="eastAsia" w:ascii="宋体" w:hAnsi="宋体"/>
          <w:color w:val="auto"/>
        </w:rPr>
      </w:pPr>
      <w:r>
        <w:rPr>
          <w:rFonts w:hint="eastAsia" w:ascii="宋体" w:hAnsi="宋体"/>
          <w:color w:val="auto"/>
        </w:rPr>
        <w:t>1、以交钥匙方式供货的，按照以下时间要求（安装调试工期超过10个日历日的，投标方应当随标书提供详细的工期计划）：</w:t>
      </w:r>
    </w:p>
    <w:p>
      <w:pPr>
        <w:spacing w:line="480" w:lineRule="exact"/>
        <w:ind w:firstLine="420" w:firstLineChars="200"/>
        <w:jc w:val="left"/>
        <w:rPr>
          <w:rFonts w:hint="eastAsia" w:ascii="宋体" w:hAnsi="宋体"/>
          <w:color w:val="auto"/>
        </w:rPr>
      </w:pPr>
      <w:r>
        <w:rPr>
          <w:rFonts w:hint="eastAsia" w:ascii="宋体" w:hAnsi="宋体"/>
          <w:color w:val="auto"/>
        </w:rPr>
        <w:t>1.1  自</w:t>
      </w:r>
      <w:r>
        <w:rPr>
          <w:rFonts w:hint="eastAsia" w:hAnsi="宋体" w:cs="宋体"/>
          <w:color w:val="auto"/>
        </w:rPr>
        <w:t>中标通知发出之日</w:t>
      </w:r>
      <w:r>
        <w:rPr>
          <w:rFonts w:hint="eastAsia" w:ascii="宋体" w:hAnsi="宋体"/>
          <w:color w:val="auto"/>
        </w:rPr>
        <w:t>起，</w:t>
      </w:r>
      <w:r>
        <w:rPr>
          <w:rFonts w:hint="eastAsia" w:ascii="宋体" w:hAnsi="宋体"/>
          <w:color w:val="auto"/>
          <w:u w:val="single"/>
          <w:shd w:val="pct10" w:color="auto" w:fill="FFFFFF"/>
          <w:lang w:val="en-US" w:eastAsia="zh-CN"/>
        </w:rPr>
        <w:t>30</w:t>
      </w:r>
      <w:r>
        <w:rPr>
          <w:rFonts w:hint="eastAsia" w:ascii="宋体" w:hAnsi="宋体"/>
          <w:color w:val="auto"/>
        </w:rPr>
        <w:t>个日历日之内交货至供货地点。</w:t>
      </w:r>
    </w:p>
    <w:p>
      <w:pPr>
        <w:spacing w:line="480" w:lineRule="exact"/>
        <w:ind w:firstLine="420" w:firstLineChars="200"/>
        <w:jc w:val="left"/>
        <w:rPr>
          <w:rFonts w:hint="eastAsia" w:ascii="宋体" w:hAnsi="宋体"/>
          <w:color w:val="auto"/>
        </w:rPr>
      </w:pPr>
      <w:r>
        <w:rPr>
          <w:rFonts w:hint="eastAsia" w:ascii="宋体" w:hAnsi="宋体"/>
          <w:color w:val="auto"/>
        </w:rPr>
        <w:t>1.2  接续</w:t>
      </w:r>
      <w:r>
        <w:rPr>
          <w:rFonts w:hint="eastAsia" w:ascii="宋体" w:hAnsi="宋体"/>
          <w:color w:val="auto"/>
          <w:u w:val="single"/>
          <w:shd w:val="pct10" w:color="auto" w:fill="FFFFFF"/>
        </w:rPr>
        <w:t xml:space="preserve"> </w:t>
      </w:r>
      <w:r>
        <w:rPr>
          <w:rFonts w:hint="eastAsia" w:ascii="宋体" w:hAnsi="宋体"/>
          <w:color w:val="auto"/>
          <w:u w:val="single"/>
          <w:shd w:val="pct10" w:color="auto" w:fill="FFFFFF"/>
          <w:lang w:val="en-US" w:eastAsia="zh-CN"/>
        </w:rPr>
        <w:t>5</w:t>
      </w:r>
      <w:r>
        <w:rPr>
          <w:rFonts w:hint="eastAsia" w:ascii="宋体" w:hAnsi="宋体"/>
          <w:color w:val="auto"/>
          <w:u w:val="single"/>
          <w:shd w:val="pct10" w:color="auto" w:fill="FFFFFF"/>
        </w:rPr>
        <w:t xml:space="preserve"> </w:t>
      </w:r>
      <w:r>
        <w:rPr>
          <w:rFonts w:hint="eastAsia" w:ascii="宋体" w:hAnsi="宋体"/>
          <w:color w:val="auto"/>
        </w:rPr>
        <w:t>个日历日之内安装调试完毕。</w:t>
      </w:r>
    </w:p>
    <w:p>
      <w:pPr>
        <w:spacing w:line="480" w:lineRule="exact"/>
        <w:ind w:firstLine="420" w:firstLineChars="200"/>
        <w:jc w:val="left"/>
        <w:rPr>
          <w:rFonts w:hint="eastAsia" w:ascii="黑体" w:hAnsi="宋体" w:eastAsia="黑体"/>
          <w:color w:val="auto"/>
        </w:rPr>
      </w:pPr>
      <w:r>
        <w:rPr>
          <w:rFonts w:hint="eastAsia" w:ascii="黑体" w:hAnsi="宋体" w:eastAsia="黑体"/>
          <w:color w:val="auto"/>
        </w:rPr>
        <w:t>三、质保期及质保要求</w:t>
      </w:r>
    </w:p>
    <w:p>
      <w:pPr>
        <w:spacing w:line="480" w:lineRule="exact"/>
        <w:ind w:firstLine="420" w:firstLineChars="200"/>
        <w:jc w:val="left"/>
        <w:rPr>
          <w:rFonts w:hint="eastAsia" w:ascii="宋体" w:hAnsi="宋体"/>
          <w:color w:val="auto"/>
        </w:rPr>
      </w:pPr>
      <w:r>
        <w:rPr>
          <w:rFonts w:hint="eastAsia" w:ascii="宋体" w:hAnsi="宋体"/>
          <w:color w:val="auto"/>
        </w:rPr>
        <w:t>1、全部供货范围内的设备、材料、零配件和工器具等，除合同特别约定外，其质保期均自终验收签字生效之日起</w:t>
      </w:r>
      <w:r>
        <w:rPr>
          <w:rFonts w:hint="eastAsia" w:ascii="宋体" w:hAnsi="宋体"/>
          <w:color w:val="auto"/>
          <w:u w:val="single"/>
          <w:shd w:val="pct10" w:color="auto" w:fill="FFFFFF"/>
        </w:rPr>
        <w:t xml:space="preserve">  </w:t>
      </w:r>
      <w:r>
        <w:rPr>
          <w:rFonts w:hint="eastAsia" w:ascii="宋体" w:hAnsi="宋体"/>
          <w:color w:val="auto"/>
          <w:u w:val="single"/>
          <w:shd w:val="pct10" w:color="auto" w:fill="FFFFFF"/>
          <w:lang w:val="en-US" w:eastAsia="zh-CN"/>
        </w:rPr>
        <w:t>12</w:t>
      </w:r>
      <w:r>
        <w:rPr>
          <w:rFonts w:hint="eastAsia" w:ascii="宋体" w:hAnsi="宋体"/>
          <w:color w:val="auto"/>
          <w:u w:val="single"/>
          <w:shd w:val="pct10" w:color="auto" w:fill="FFFFFF"/>
        </w:rPr>
        <w:t xml:space="preserve">  </w:t>
      </w:r>
      <w:r>
        <w:rPr>
          <w:rFonts w:hint="eastAsia" w:ascii="宋体" w:hAnsi="宋体"/>
          <w:color w:val="auto"/>
        </w:rPr>
        <w:t>个月。</w:t>
      </w:r>
    </w:p>
    <w:p>
      <w:pPr>
        <w:spacing w:line="480" w:lineRule="exact"/>
        <w:ind w:firstLine="420" w:firstLineChars="200"/>
        <w:jc w:val="left"/>
        <w:rPr>
          <w:rFonts w:hint="eastAsia" w:ascii="宋体" w:hAnsi="宋体"/>
          <w:color w:val="auto"/>
        </w:rPr>
      </w:pPr>
      <w:r>
        <w:rPr>
          <w:rFonts w:hint="eastAsia" w:ascii="宋体" w:hAnsi="宋体"/>
          <w:color w:val="auto"/>
        </w:rPr>
        <w:t>投标货物或涉及的关键总成和零件，如果有更长时间质保期，允许更改并说明，此将有利于投标方。</w:t>
      </w:r>
    </w:p>
    <w:p>
      <w:pPr>
        <w:spacing w:line="480" w:lineRule="exact"/>
        <w:ind w:firstLine="420" w:firstLineChars="200"/>
        <w:jc w:val="left"/>
        <w:rPr>
          <w:rFonts w:hint="eastAsia" w:ascii="宋体" w:hAnsi="宋体"/>
          <w:color w:val="auto"/>
        </w:rPr>
      </w:pPr>
      <w:r>
        <w:rPr>
          <w:rFonts w:hint="eastAsia" w:ascii="宋体" w:hAnsi="宋体"/>
          <w:color w:val="auto"/>
        </w:rPr>
        <w:t>设计使用寿命短于质保期的易损件除外，但属于易损件的，应当有明确说明。</w:t>
      </w:r>
    </w:p>
    <w:p>
      <w:pPr>
        <w:spacing w:line="480" w:lineRule="exact"/>
        <w:ind w:firstLine="420" w:firstLineChars="200"/>
        <w:jc w:val="left"/>
        <w:rPr>
          <w:rFonts w:hint="eastAsia" w:ascii="宋体" w:hAnsi="宋体"/>
          <w:color w:val="auto"/>
        </w:rPr>
      </w:pPr>
      <w:r>
        <w:rPr>
          <w:rFonts w:hint="eastAsia" w:ascii="宋体" w:hAnsi="宋体"/>
          <w:color w:val="auto"/>
        </w:rPr>
        <w:t>2、质保期之内，如果设备出现设备、总成、关键零部件或者多处一般零部件的更换或维修行为，则质保期自更换或维修行为结束、设备重新正常运行使用之日起重新计算。</w:t>
      </w:r>
    </w:p>
    <w:p>
      <w:pPr>
        <w:spacing w:line="480" w:lineRule="exact"/>
        <w:ind w:firstLine="420" w:firstLineChars="200"/>
        <w:jc w:val="left"/>
        <w:rPr>
          <w:rFonts w:hint="eastAsia" w:ascii="宋体" w:hAnsi="宋体"/>
          <w:color w:val="auto"/>
        </w:rPr>
      </w:pPr>
      <w:r>
        <w:rPr>
          <w:rFonts w:hint="eastAsia" w:ascii="宋体" w:hAnsi="宋体"/>
          <w:color w:val="auto"/>
        </w:rPr>
        <w:t>3、质保期内免费提供零部件和及时有效的服务。质保期内因货物本身缺陷造成的各种故障，投标方应负责免费维修和服务。</w:t>
      </w:r>
    </w:p>
    <w:p>
      <w:pPr>
        <w:spacing w:line="480" w:lineRule="exact"/>
        <w:ind w:firstLine="420" w:firstLineChars="200"/>
        <w:jc w:val="left"/>
        <w:rPr>
          <w:rFonts w:hint="eastAsia" w:ascii="宋体" w:hAnsi="宋体"/>
          <w:color w:val="auto"/>
        </w:rPr>
      </w:pPr>
      <w:r>
        <w:rPr>
          <w:rFonts w:hint="eastAsia" w:ascii="宋体" w:hAnsi="宋体"/>
          <w:color w:val="auto"/>
        </w:rPr>
        <w:t>4、质保期终止之日起1</w:t>
      </w:r>
      <w:r>
        <w:rPr>
          <w:rFonts w:hint="eastAsia" w:ascii="宋体" w:hAnsi="宋体"/>
          <w:color w:val="auto"/>
          <w:lang w:val="en-US" w:eastAsia="zh-CN"/>
        </w:rPr>
        <w:t>2</w:t>
      </w:r>
      <w:r>
        <w:rPr>
          <w:rFonts w:hint="eastAsia" w:ascii="宋体" w:hAnsi="宋体"/>
          <w:color w:val="auto"/>
        </w:rPr>
        <w:t>个月内重复出现的质保期之内出现的故障，仍属质保范围而且应当免费。</w:t>
      </w:r>
    </w:p>
    <w:p>
      <w:pPr>
        <w:spacing w:line="480" w:lineRule="exact"/>
        <w:ind w:firstLine="420" w:firstLineChars="200"/>
        <w:rPr>
          <w:rFonts w:hint="eastAsia" w:ascii="黑体" w:hAnsi="宋体" w:eastAsia="黑体"/>
          <w:color w:val="auto"/>
        </w:rPr>
      </w:pPr>
      <w:r>
        <w:rPr>
          <w:rFonts w:hint="eastAsia" w:ascii="黑体" w:hAnsi="宋体" w:eastAsia="黑体"/>
          <w:color w:val="auto"/>
        </w:rPr>
        <w:t>四、包装</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1、所提供设备的包装，应遵照国家标准和有关包装、包皮的技术条件，或按照最好的商业惯例进行包装。</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3、所提供设备的包装，应能防止其一般性被窃或受外力破坏；一般不得采用有大缝隙的板条包装。</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4、应对包装件做必要的加固和固定，以防止运输可能造成的损坏。</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5、每个包装件应有装箱单，并至少标明名称、型号规格、数量、净重和毛重、投标方（或供货商）名称和制造日期等相关内容。</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6、每个包装箱应有明显标志，并具有中文书写的合同号、装运标志、发货和到货地点名称、发货人和收货人名称、设备名称和项目号、箱号和外型尺寸等内容。</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7、应按照不同的装运要求在包装箱上标明“小心轻放”、“箭头向上”、“防潮”、“防磁”、“不准平放”等标志，以及其它适用的国标通用标志。</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8、包装箱应连续编号，不应出现重复编号。</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9、在不受到外界破坏情况下，包装应保证自交货日起一年内货物（或设备）完好无损。</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五、运输</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1、应负责将设备运到目的地，并必须做到设备在任何运输过程中不受损坏和遗失。</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2、同批设备应统一包装、编号运输。</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3、一般情况下，经由铁路、公路运输的包装件尺寸和重量不应超过国家所规定的尺寸限制。特殊情况应予以说明。</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4、在每批设备发出后，应立即通知招标方；通知中应指明：合同号、货运单号、件数、重量和设备发出日期等相关内容。</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5、设备运抵交货地点后，应负责货物（或设备）的卸货、搬运、保管等事宜；或按照合同约定。</w:t>
      </w:r>
    </w:p>
    <w:p>
      <w:pPr>
        <w:pStyle w:val="2"/>
        <w:spacing w:before="120" w:after="120" w:line="480" w:lineRule="exact"/>
        <w:jc w:val="center"/>
        <w:rPr>
          <w:rFonts w:hint="eastAsia" w:ascii="黑体" w:eastAsia="黑体"/>
          <w:b w:val="0"/>
          <w:color w:val="auto"/>
          <w:sz w:val="24"/>
          <w:szCs w:val="24"/>
        </w:rPr>
      </w:pPr>
      <w:r>
        <w:rPr>
          <w:rFonts w:ascii="宋体" w:hAnsi="宋体"/>
          <w:color w:val="auto"/>
        </w:rPr>
        <w:br w:type="page"/>
      </w:r>
      <w:bookmarkStart w:id="137" w:name="_Toc2931"/>
      <w:bookmarkStart w:id="138" w:name="_Toc30960"/>
      <w:bookmarkStart w:id="139" w:name="_Toc9796"/>
      <w:bookmarkStart w:id="140" w:name="_Toc137705872"/>
      <w:bookmarkStart w:id="141" w:name="_Toc28593"/>
      <w:r>
        <w:rPr>
          <w:rFonts w:hint="eastAsia" w:ascii="黑体" w:eastAsia="黑体"/>
          <w:b w:val="0"/>
          <w:bCs w:val="0"/>
          <w:color w:val="auto"/>
          <w:sz w:val="24"/>
          <w:szCs w:val="24"/>
        </w:rPr>
        <w:t>第四章  售中售后服务</w:t>
      </w:r>
      <w:bookmarkEnd w:id="137"/>
      <w:bookmarkEnd w:id="138"/>
      <w:bookmarkEnd w:id="139"/>
      <w:bookmarkEnd w:id="140"/>
      <w:bookmarkEnd w:id="141"/>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一、技术及培训服务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1、应负责对招标方</w:t>
      </w:r>
      <w:r>
        <w:rPr>
          <w:rFonts w:hint="eastAsia" w:ascii="宋体" w:hAnsi="宋体"/>
          <w:color w:val="auto"/>
          <w:u w:val="single"/>
          <w:shd w:val="pct10" w:color="auto" w:fill="FFFFFF"/>
        </w:rPr>
        <w:t xml:space="preserve">  </w:t>
      </w:r>
      <w:r>
        <w:rPr>
          <w:rFonts w:hint="eastAsia" w:ascii="宋体" w:hAnsi="宋体"/>
          <w:color w:val="auto"/>
          <w:u w:val="single"/>
          <w:shd w:val="pct10" w:color="auto" w:fill="FFFFFF"/>
          <w:lang w:val="en-US" w:eastAsia="zh-CN"/>
        </w:rPr>
        <w:t>2</w:t>
      </w:r>
      <w:r>
        <w:rPr>
          <w:rFonts w:hint="eastAsia" w:ascii="宋体" w:hAnsi="宋体"/>
          <w:color w:val="auto"/>
          <w:u w:val="single"/>
          <w:shd w:val="pct10" w:color="auto" w:fill="FFFFFF"/>
        </w:rPr>
        <w:t xml:space="preserve">  </w:t>
      </w:r>
      <w:r>
        <w:rPr>
          <w:rFonts w:hint="eastAsia" w:ascii="宋体" w:hAnsi="宋体"/>
          <w:color w:val="auto"/>
        </w:rPr>
        <w:t>名及以上技术、维修和操作人员提供不少于</w:t>
      </w:r>
      <w:r>
        <w:rPr>
          <w:rFonts w:hint="eastAsia" w:ascii="宋体" w:hAnsi="宋体"/>
          <w:color w:val="auto"/>
          <w:u w:val="single"/>
          <w:shd w:val="pct10" w:color="auto" w:fill="FFFFFF"/>
        </w:rPr>
        <w:t xml:space="preserve">   2  </w:t>
      </w:r>
      <w:r>
        <w:rPr>
          <w:rFonts w:hint="eastAsia" w:ascii="宋体" w:hAnsi="宋体"/>
          <w:color w:val="auto"/>
        </w:rPr>
        <w:t>个日历日的免费的、招标方生产制造现场的理论、技术和操作、维修等方面的技术指导和培训,提供免费的2人在机器人工厂的标准培训，培训内容包括</w:t>
      </w:r>
      <w:r>
        <w:rPr>
          <w:rFonts w:hint="eastAsia"/>
          <w:color w:val="auto"/>
          <w:lang w:val="zh-CN"/>
        </w:rPr>
        <w:t>机器人编程及简单维护培训、电气培训。</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2、应负责在招标方设备使用现场，进行1～2次免费的技术指导和培训，并接受招标方有关人员的技术咨询。</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3、应免费提供一定数量的培训资料。</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4、应按要求免费积极协助和提供招标方以及招标方所委托的工程设计单位有关人员所需要的、与设备有关的工程设计资料、技术咨询等。</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5、若投标方提供的设备涉及到外购外协货物、而且该货物的技术质量等较为关键时，投标方应能保证得到配套厂家的技术支持，并免费为招标方提供技术服务。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6、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二、安装调试及验收服务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2、若投标方提供的设备涉及到外购外协货物、而且该货物的技术质量等较为关键时，应保证能得到供应商的技术支持，并免费为招标方提供安装使用现场的指导与培训。</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根据设备的要求，调试及验收可分空载和负载两个阶段进行；招标方将积极协助投标方达到设备的各项技术指标和性能要求。投标方在招标方现场进行的货物的安装、调试和试运行，招标方有权参与，投标方应无条件向招标方提供现场记录和试运行数据及报告。</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4、在投标方所提供设备需要得到招标方建设项目所在地政府或行业主管部门的查验、试验、验收时，投标方应当免费完成或协助招标方完成所需要的工作、材料和服务等。协助完成的，应当在投标文件报价内容中予以说明，否则视同免费。</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5、投标方应当向招标方提供货物试验、验收的有关标准、规范和方法，同时提供货物涉及并使用的软件合法性证明。</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6、服务缺陷视同货物缺陷和履约延期。</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三、售后服务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1、投标方提供的设备涉及的所有售后服务均由投标方负责。如果发生问题并且收到通知，投标方应当在2小时内予以答复。</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2、如发现所提供的设备存在问题，需要投标方解决或配合解决时：在质保期之内，应在接到通知后</w:t>
      </w:r>
      <w:r>
        <w:rPr>
          <w:rFonts w:hint="eastAsia" w:ascii="宋体" w:hAnsi="宋体"/>
          <w:color w:val="auto"/>
          <w:u w:val="single"/>
          <w:shd w:val="pct10" w:color="auto" w:fill="FFFFFF"/>
        </w:rPr>
        <w:t xml:space="preserve">  24    </w:t>
      </w:r>
      <w:r>
        <w:rPr>
          <w:rFonts w:hint="eastAsia" w:ascii="宋体" w:hAnsi="宋体"/>
          <w:color w:val="auto"/>
        </w:rPr>
        <w:t>小时内派有关人员到达现场；在质保期之外，应在接到通知后</w:t>
      </w:r>
      <w:r>
        <w:rPr>
          <w:rFonts w:hint="eastAsia" w:ascii="宋体" w:hAnsi="宋体"/>
          <w:color w:val="auto"/>
          <w:u w:val="single"/>
          <w:shd w:val="pct10" w:color="auto" w:fill="FFFFFF"/>
        </w:rPr>
        <w:t xml:space="preserve">  24   </w:t>
      </w:r>
      <w:r>
        <w:rPr>
          <w:rFonts w:hint="eastAsia" w:ascii="宋体" w:hAnsi="宋体"/>
          <w:color w:val="auto"/>
        </w:rPr>
        <w:t>小时内派有关人员到达现场。</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3、投标方派往招标方使用现场的人员，应具有较高的业务素质；现场解决问题时，不得无故拖延或推迟，应为招标方提供最佳的服务。</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四、其它服务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1、若投标方所提供设备有需要进口的，投标方一般应自行、自费办理；必要时，买卖双方共同办理。</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2、除招标文件、投标文件、答疑文件、技术协议、合同等约定之外，投标方应免费负责必要的或强制性的设备的检验、试验、化验等直接费用。</w:t>
      </w:r>
    </w:p>
    <w:p>
      <w:pPr>
        <w:spacing w:line="520" w:lineRule="exact"/>
        <w:ind w:firstLine="420" w:firstLineChars="200"/>
        <w:rPr>
          <w:rFonts w:hint="eastAsia"/>
          <w:color w:val="auto"/>
        </w:rPr>
      </w:pPr>
      <w:r>
        <w:rPr>
          <w:rFonts w:hint="eastAsia" w:ascii="宋体" w:hAnsi="宋体"/>
          <w:color w:val="auto"/>
        </w:rPr>
        <w:t>3、本章节条款所列“免费”，并非指定不可收费，而是指招标文件、投标文件、</w:t>
      </w:r>
      <w:r>
        <w:rPr>
          <w:rFonts w:hint="eastAsia"/>
          <w:color w:val="auto"/>
        </w:rPr>
        <w:t>答疑文件、技术交流文件、技术协议书和合同等范围之外，投标方不可另行收取的费用。</w:t>
      </w:r>
    </w:p>
    <w:p>
      <w:pPr>
        <w:spacing w:line="480" w:lineRule="exact"/>
        <w:ind w:firstLine="420" w:firstLineChars="200"/>
        <w:rPr>
          <w:rFonts w:hint="eastAsia" w:ascii="宋体" w:hAnsi="宋体"/>
          <w:color w:val="auto"/>
        </w:rPr>
      </w:pPr>
    </w:p>
    <w:p>
      <w:pPr>
        <w:pStyle w:val="2"/>
        <w:spacing w:before="120" w:after="120" w:line="480" w:lineRule="exact"/>
        <w:jc w:val="center"/>
        <w:rPr>
          <w:rFonts w:hint="eastAsia" w:ascii="黑体" w:eastAsia="黑体"/>
          <w:b w:val="0"/>
          <w:color w:val="auto"/>
          <w:sz w:val="24"/>
          <w:szCs w:val="24"/>
        </w:rPr>
      </w:pPr>
      <w:r>
        <w:rPr>
          <w:rFonts w:ascii="宋体" w:hAnsi="宋体"/>
          <w:color w:val="auto"/>
        </w:rPr>
        <w:br w:type="page"/>
      </w:r>
      <w:bookmarkStart w:id="142" w:name="_Toc23200"/>
      <w:bookmarkStart w:id="143" w:name="_Toc21539"/>
      <w:bookmarkStart w:id="144" w:name="_Toc9060"/>
      <w:bookmarkStart w:id="145" w:name="_Toc137705873"/>
      <w:bookmarkStart w:id="146" w:name="_Toc19419"/>
      <w:r>
        <w:rPr>
          <w:rFonts w:hint="eastAsia" w:ascii="黑体" w:eastAsia="黑体"/>
          <w:b w:val="0"/>
          <w:color w:val="auto"/>
          <w:sz w:val="24"/>
          <w:szCs w:val="24"/>
        </w:rPr>
        <w:t>第五章  预验收和终验收</w:t>
      </w:r>
      <w:bookmarkEnd w:id="142"/>
      <w:bookmarkEnd w:id="143"/>
      <w:bookmarkEnd w:id="144"/>
      <w:bookmarkEnd w:id="145"/>
      <w:bookmarkEnd w:id="146"/>
    </w:p>
    <w:p>
      <w:pPr>
        <w:spacing w:line="480" w:lineRule="exact"/>
        <w:ind w:firstLine="420" w:firstLineChars="200"/>
        <w:rPr>
          <w:rFonts w:hint="eastAsia" w:ascii="黑体" w:hAnsi="宋体" w:eastAsia="黑体"/>
          <w:color w:val="auto"/>
        </w:rPr>
      </w:pPr>
      <w:r>
        <w:rPr>
          <w:rFonts w:hint="eastAsia" w:ascii="黑体" w:hAnsi="宋体" w:eastAsia="黑体"/>
          <w:color w:val="auto"/>
        </w:rPr>
        <w:t>一、验收的一般约定</w:t>
      </w:r>
    </w:p>
    <w:p>
      <w:pPr>
        <w:spacing w:line="480" w:lineRule="exact"/>
        <w:ind w:firstLine="420" w:firstLineChars="200"/>
        <w:rPr>
          <w:rFonts w:hint="eastAsia" w:ascii="宋体" w:hAnsi="宋体"/>
          <w:color w:val="auto"/>
        </w:rPr>
      </w:pPr>
      <w:r>
        <w:rPr>
          <w:rFonts w:hint="eastAsia" w:ascii="宋体" w:hAnsi="宋体"/>
          <w:color w:val="auto"/>
        </w:rPr>
        <w:t>1、验收标准一般以技术协议书和合同规定验收。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2、如果验收过程中，发现招标文件、投标文件、答疑文件、技术交流文件等与技术协议书、合同存在差异，原则上以涉及条款中对招标方最有利条款为验收依据。</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二、检验</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1、国产货物的检验由买卖双方按照合同要求或在制造现场进行。</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2、进口货物的检验，投标方需要按照下述要求进行：</w:t>
      </w:r>
    </w:p>
    <w:p>
      <w:pPr>
        <w:adjustRightInd w:val="0"/>
        <w:snapToGrid w:val="0"/>
        <w:spacing w:line="460" w:lineRule="exact"/>
        <w:ind w:firstLine="420" w:firstLineChars="200"/>
        <w:rPr>
          <w:rFonts w:ascii="宋体" w:hAnsi="宋体"/>
          <w:color w:val="auto"/>
        </w:rPr>
      </w:pPr>
      <w:r>
        <w:rPr>
          <w:rFonts w:hint="eastAsia" w:ascii="宋体" w:hAnsi="宋体"/>
          <w:color w:val="auto"/>
        </w:rPr>
        <w:t>2.1  进口货物发货前，应对货物的质量、型号、规格、性能和数量/重量作精密、全面的检验，并出具证明书，证明所供货物符合合同规定。</w:t>
      </w:r>
    </w:p>
    <w:p>
      <w:pPr>
        <w:adjustRightInd w:val="0"/>
        <w:snapToGrid w:val="0"/>
        <w:spacing w:line="460" w:lineRule="exact"/>
        <w:ind w:firstLine="420" w:firstLineChars="200"/>
        <w:rPr>
          <w:rFonts w:ascii="宋体" w:hAnsi="宋体"/>
          <w:color w:val="auto"/>
        </w:rPr>
      </w:pPr>
      <w:r>
        <w:rPr>
          <w:rFonts w:hint="eastAsia" w:ascii="宋体" w:hAnsi="宋体"/>
          <w:color w:val="auto"/>
        </w:rPr>
        <w:t>2.2  应依据合同规定的要求，提供买卖双方达成一致的货物的验收标准和装箱单，作为招标方检验的依据。</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2.3  进口货物到达目的地后，招标方有权申请中国商品检验检疫局进行检验，如发现货物的品质及规格与合同或发票不符，除招标方的责任外，招标方有权在货物到达卸货目的地后18</w:t>
      </w:r>
      <w:r>
        <w:rPr>
          <w:rFonts w:ascii="宋体" w:hAnsi="宋体"/>
          <w:color w:val="auto"/>
        </w:rPr>
        <w:t>0</w:t>
      </w:r>
      <w:r>
        <w:rPr>
          <w:rFonts w:hint="eastAsia" w:ascii="宋体" w:hAnsi="宋体"/>
          <w:color w:val="auto"/>
        </w:rPr>
        <w:t>个日历日内，根据中国商品检验检疫局出具的证明书向投标方提出索赔，因索赔所发生的一切费用</w:t>
      </w:r>
      <w:r>
        <w:rPr>
          <w:rFonts w:ascii="宋体" w:hAnsi="宋体"/>
          <w:color w:val="auto"/>
        </w:rPr>
        <w:t>(</w:t>
      </w:r>
      <w:r>
        <w:rPr>
          <w:rFonts w:hint="eastAsia" w:ascii="宋体" w:hAnsi="宋体"/>
          <w:color w:val="auto"/>
        </w:rPr>
        <w:t>包括检验检疫费等</w:t>
      </w:r>
      <w:r>
        <w:rPr>
          <w:rFonts w:ascii="宋体" w:hAnsi="宋体"/>
          <w:color w:val="auto"/>
        </w:rPr>
        <w:t>)</w:t>
      </w:r>
      <w:r>
        <w:rPr>
          <w:rFonts w:hint="eastAsia" w:ascii="宋体" w:hAnsi="宋体"/>
          <w:color w:val="auto"/>
        </w:rPr>
        <w:t>均由投标方承担。</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三、验收基本条件</w:t>
      </w:r>
    </w:p>
    <w:p>
      <w:pPr>
        <w:adjustRightInd w:val="0"/>
        <w:snapToGrid w:val="0"/>
        <w:spacing w:line="460" w:lineRule="exact"/>
        <w:ind w:firstLine="420" w:firstLineChars="200"/>
        <w:rPr>
          <w:rFonts w:hint="eastAsia" w:ascii="宋体" w:hAnsi="宋体"/>
          <w:color w:val="auto"/>
        </w:rPr>
      </w:pPr>
      <w:r>
        <w:rPr>
          <w:rFonts w:hint="eastAsia"/>
          <w:color w:val="auto"/>
        </w:rPr>
        <w:t>验收一般分预验收和终验收两部分。预验收一般在投标方现场进行，终验收在安装调试完成及试运行后的招标方现场进行。但是所有的项目，包括不能预验收的项目和预验收通过的项目都在终验收</w:t>
      </w:r>
      <w:r>
        <w:rPr>
          <w:rFonts w:hint="eastAsia" w:ascii="宋体" w:hAnsi="宋体"/>
          <w:color w:val="auto"/>
        </w:rPr>
        <w:t>时重新检验，最终只以终验收为准。</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买卖双方按照合同约定执行了合同，同时设备完成了试运行并经检验合格，则具备验收条件。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1、预验收一般条件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1.1  投标方已经按照“供货范围”要求提供了预验收资料，并且资料齐全、完整和有效。</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1.2  设备应完整且所有的零部件应该安装牢固，外观无损伤，所有的焊缝饱满、无残渣等缺陷。</w:t>
      </w:r>
    </w:p>
    <w:p>
      <w:pPr>
        <w:adjustRightInd w:val="0"/>
        <w:snapToGrid w:val="0"/>
        <w:spacing w:line="460" w:lineRule="exact"/>
        <w:ind w:firstLine="420" w:firstLineChars="200"/>
        <w:rPr>
          <w:rFonts w:ascii="宋体" w:hAnsi="宋体"/>
          <w:color w:val="auto"/>
        </w:rPr>
      </w:pPr>
      <w:r>
        <w:rPr>
          <w:rFonts w:hint="eastAsia" w:ascii="宋体" w:hAnsi="宋体"/>
          <w:color w:val="auto"/>
        </w:rPr>
        <w:t>1.3  一般情况下，所有的管路和线缆等，接头应完全正确、可靠地联接；应排列有序（正确、牢固、整齐），有必要的防护，无皱褶、收缩和裂缝等不良现象。</w:t>
      </w:r>
    </w:p>
    <w:p>
      <w:pPr>
        <w:adjustRightInd w:val="0"/>
        <w:snapToGrid w:val="0"/>
        <w:spacing w:line="460" w:lineRule="exact"/>
        <w:ind w:firstLine="420" w:firstLineChars="200"/>
        <w:rPr>
          <w:rFonts w:ascii="宋体" w:hAnsi="宋体"/>
          <w:color w:val="auto"/>
        </w:rPr>
      </w:pPr>
      <w:r>
        <w:rPr>
          <w:rFonts w:hint="eastAsia" w:ascii="宋体" w:hAnsi="宋体"/>
          <w:color w:val="auto"/>
        </w:rPr>
        <w:t>1.4  设备的润滑系统工作正常、可靠，润滑点易于到达。</w:t>
      </w:r>
    </w:p>
    <w:p>
      <w:pPr>
        <w:adjustRightInd w:val="0"/>
        <w:snapToGrid w:val="0"/>
        <w:spacing w:line="460" w:lineRule="exact"/>
        <w:ind w:firstLine="420" w:firstLineChars="200"/>
        <w:rPr>
          <w:rFonts w:ascii="宋体" w:hAnsi="宋体"/>
          <w:color w:val="auto"/>
        </w:rPr>
      </w:pPr>
      <w:r>
        <w:rPr>
          <w:rFonts w:hint="eastAsia" w:ascii="宋体" w:hAnsi="宋体"/>
          <w:color w:val="auto"/>
        </w:rPr>
        <w:t>1.5  使用的压力容器、电气等应具备合格证（如果有压力容器）。</w:t>
      </w:r>
    </w:p>
    <w:p>
      <w:pPr>
        <w:adjustRightInd w:val="0"/>
        <w:snapToGrid w:val="0"/>
        <w:spacing w:line="460" w:lineRule="exact"/>
        <w:ind w:firstLine="420" w:firstLineChars="200"/>
        <w:rPr>
          <w:rFonts w:ascii="宋体" w:hAnsi="宋体"/>
          <w:color w:val="auto"/>
        </w:rPr>
      </w:pPr>
      <w:r>
        <w:rPr>
          <w:rFonts w:hint="eastAsia" w:ascii="宋体" w:hAnsi="宋体"/>
          <w:color w:val="auto"/>
        </w:rPr>
        <w:t>1.6 设备的油漆质量应饱满、有光泽，无掉漆、无色差、无“桔皮”等不良现象（特殊标志除外）。</w:t>
      </w:r>
    </w:p>
    <w:p>
      <w:pPr>
        <w:adjustRightInd w:val="0"/>
        <w:snapToGrid w:val="0"/>
        <w:spacing w:line="460" w:lineRule="exact"/>
        <w:ind w:firstLine="420" w:firstLineChars="200"/>
        <w:rPr>
          <w:rFonts w:ascii="宋体" w:hAnsi="宋体"/>
          <w:color w:val="auto"/>
        </w:rPr>
      </w:pPr>
      <w:r>
        <w:rPr>
          <w:rFonts w:hint="eastAsia" w:ascii="宋体" w:hAnsi="宋体"/>
          <w:color w:val="auto"/>
        </w:rPr>
        <w:t>1.7 设备标牌完整、清晰、明确。</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1.8  地线联接和地极符合国际（</w:t>
      </w:r>
      <w:r>
        <w:rPr>
          <w:rFonts w:ascii="宋体" w:hAnsi="宋体"/>
          <w:color w:val="auto"/>
        </w:rPr>
        <w:t>ISO</w:t>
      </w:r>
      <w:r>
        <w:rPr>
          <w:rFonts w:hint="eastAsia" w:ascii="宋体" w:hAnsi="宋体"/>
          <w:color w:val="auto"/>
        </w:rPr>
        <w:t>/</w:t>
      </w:r>
      <w:r>
        <w:rPr>
          <w:rFonts w:ascii="宋体" w:hAnsi="宋体"/>
          <w:color w:val="auto"/>
        </w:rPr>
        <w:t>IEC</w:t>
      </w:r>
      <w:r>
        <w:rPr>
          <w:rFonts w:hint="eastAsia" w:ascii="宋体" w:hAnsi="宋体"/>
          <w:color w:val="auto"/>
        </w:rPr>
        <w:t>）标准规范。</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1.9  设备的安全要求符合中国最新的相关法律、法规、标准和规范以及合同要求。</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2、终验收一般条件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2.1  经过预验收而且没有出现新的质量问题，或者满足预验收条款。</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2.2  设备安装调试完毕，并至少经过了验收要求的负荷试运行。</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2.3  设备正常运行时，噪声等环境影响因素满足国家和当地环保主管部门规定，安全措施落实、有效。</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2.4  计量仪器、仪表配套合理，采用中国的法定计量单位，计量准确、灵敏可靠。保证设计指标和仪器说明书的参数的实现。</w:t>
      </w:r>
    </w:p>
    <w:p>
      <w:pPr>
        <w:adjustRightInd w:val="0"/>
        <w:snapToGrid w:val="0"/>
        <w:spacing w:line="460" w:lineRule="exact"/>
        <w:ind w:firstLine="420" w:firstLineChars="200"/>
        <w:rPr>
          <w:rFonts w:ascii="宋体" w:hAnsi="宋体"/>
          <w:color w:val="auto"/>
        </w:rPr>
      </w:pPr>
      <w:r>
        <w:rPr>
          <w:rFonts w:hint="eastAsia" w:ascii="宋体" w:hAnsi="宋体"/>
          <w:color w:val="auto"/>
        </w:rPr>
        <w:t>2.5  试运行期间或之后无维修、调整等行为（特殊情况除外）。</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2.6 设备质量、技术性能等，达到签定的技术协议书和合同规定的终验收标准。</w:t>
      </w:r>
    </w:p>
    <w:p>
      <w:pPr>
        <w:spacing w:line="480" w:lineRule="exact"/>
        <w:ind w:firstLine="420" w:firstLineChars="200"/>
        <w:rPr>
          <w:rFonts w:hint="eastAsia" w:ascii="宋体" w:hAnsi="宋体"/>
          <w:color w:val="auto"/>
        </w:rPr>
      </w:pPr>
      <w:r>
        <w:rPr>
          <w:rFonts w:hint="eastAsia" w:ascii="宋体" w:hAnsi="宋体"/>
          <w:color w:val="auto"/>
        </w:rPr>
        <w:t>3、终验收基本要求</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3.1  允许情况下，一般先连续空运转</w:t>
      </w:r>
      <w:r>
        <w:rPr>
          <w:rFonts w:hint="eastAsia" w:ascii="宋体" w:hAnsi="宋体"/>
          <w:color w:val="auto"/>
          <w:u w:val="single"/>
          <w:shd w:val="pct10" w:color="auto" w:fill="FFFFFF"/>
        </w:rPr>
        <w:t xml:space="preserve">  24    </w:t>
      </w:r>
      <w:r>
        <w:rPr>
          <w:rFonts w:hint="eastAsia" w:ascii="宋体" w:hAnsi="宋体"/>
          <w:color w:val="auto"/>
        </w:rPr>
        <w:t>小时，然后再进行负荷运行（无需进行空载运行的除外）。</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3.2  负荷运行时，应连续运行</w:t>
      </w:r>
      <w:r>
        <w:rPr>
          <w:rFonts w:hint="eastAsia" w:ascii="宋体" w:hAnsi="宋体"/>
          <w:color w:val="auto"/>
          <w:u w:val="single"/>
          <w:shd w:val="pct10" w:color="auto" w:fill="FFFFFF"/>
        </w:rPr>
        <w:t xml:space="preserve">   7   </w:t>
      </w:r>
      <w:r>
        <w:rPr>
          <w:rFonts w:hint="eastAsia" w:ascii="宋体" w:hAnsi="宋体"/>
          <w:color w:val="auto"/>
        </w:rPr>
        <w:t>天，每天连续运行</w:t>
      </w:r>
      <w:r>
        <w:rPr>
          <w:rFonts w:hint="eastAsia" w:ascii="宋体" w:hAnsi="宋体"/>
          <w:color w:val="auto"/>
          <w:u w:val="single"/>
          <w:shd w:val="pct10" w:color="auto" w:fill="FFFFFF"/>
        </w:rPr>
        <w:t xml:space="preserve">   1</w:t>
      </w:r>
      <w:r>
        <w:rPr>
          <w:rFonts w:hint="eastAsia" w:ascii="宋体" w:hAnsi="宋体"/>
          <w:color w:val="auto"/>
          <w:u w:val="single"/>
          <w:shd w:val="pct10" w:color="auto" w:fill="FFFFFF"/>
          <w:lang w:val="en-US" w:eastAsia="zh-CN"/>
        </w:rPr>
        <w:t>0</w:t>
      </w:r>
      <w:r>
        <w:rPr>
          <w:rFonts w:hint="eastAsia" w:ascii="宋体" w:hAnsi="宋体"/>
          <w:color w:val="auto"/>
          <w:u w:val="single"/>
          <w:shd w:val="pct10" w:color="auto" w:fill="FFFFFF"/>
        </w:rPr>
        <w:t xml:space="preserve">  </w:t>
      </w:r>
      <w:r>
        <w:rPr>
          <w:rFonts w:hint="eastAsia" w:ascii="宋体" w:hAnsi="宋体"/>
          <w:color w:val="auto"/>
        </w:rPr>
        <w:t>小时。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3.3  出现下列问题之一，视作验收失败：</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3.3.1  在整个验收过程中发生关键零部件损坏或重大故障；</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3.3.2  一般性故障超过</w:t>
      </w:r>
      <w:r>
        <w:rPr>
          <w:rFonts w:hint="eastAsia" w:ascii="宋体" w:hAnsi="宋体"/>
          <w:color w:val="auto"/>
          <w:u w:val="single"/>
          <w:shd w:val="pct10" w:color="auto" w:fill="FFFFFF"/>
        </w:rPr>
        <w:t xml:space="preserve">   3    </w:t>
      </w:r>
      <w:r>
        <w:rPr>
          <w:rFonts w:hint="eastAsia" w:ascii="宋体" w:hAnsi="宋体"/>
          <w:color w:val="auto"/>
        </w:rPr>
        <w:t>次；</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3.3.3  所有出现的维修调整，每次时间均不超过</w:t>
      </w:r>
      <w:r>
        <w:rPr>
          <w:rFonts w:hint="eastAsia" w:ascii="宋体" w:hAnsi="宋体"/>
          <w:color w:val="auto"/>
          <w:u w:val="single"/>
          <w:shd w:val="pct10" w:color="auto" w:fill="FFFFFF"/>
        </w:rPr>
        <w:t xml:space="preserve">   30    </w:t>
      </w:r>
      <w:r>
        <w:rPr>
          <w:rFonts w:hint="eastAsia" w:ascii="宋体" w:hAnsi="宋体"/>
          <w:color w:val="auto"/>
        </w:rPr>
        <w:t>分钟；所有维修调整时间的总和不超过总运行时间的</w:t>
      </w:r>
      <w:r>
        <w:rPr>
          <w:rFonts w:hint="eastAsia" w:ascii="宋体" w:hAnsi="宋体"/>
          <w:color w:val="auto"/>
          <w:u w:val="single"/>
          <w:shd w:val="pct10" w:color="auto" w:fill="FFFFFF"/>
        </w:rPr>
        <w:t xml:space="preserve">   2    </w:t>
      </w:r>
      <w:r>
        <w:rPr>
          <w:rFonts w:hint="eastAsia" w:ascii="宋体" w:hAnsi="宋体"/>
          <w:color w:val="auto"/>
        </w:rPr>
        <w:t>%；</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3.3.4  更换的零部件货值不超过总货值的</w:t>
      </w:r>
      <w:r>
        <w:rPr>
          <w:rFonts w:hint="eastAsia" w:ascii="宋体" w:hAnsi="宋体"/>
          <w:color w:val="auto"/>
          <w:u w:val="single"/>
          <w:shd w:val="pct10" w:color="auto" w:fill="FFFFFF"/>
        </w:rPr>
        <w:t xml:space="preserve">   2  </w:t>
      </w:r>
      <w:r>
        <w:rPr>
          <w:rFonts w:hint="eastAsia" w:ascii="宋体" w:hAnsi="宋体"/>
          <w:color w:val="auto"/>
        </w:rPr>
        <w:t>%；</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3.4  累计负载运行实际性能达到合同规定；</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3.5  终验收内容包括以下内容：</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3.5.1终验收在招标方车间进行，验收内容包括但不限于设备资料、培训、设备配置、生产节拍、工期、重复定位精度。</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3.5.2 投标方在终验收时需提交一份预验收时发现的缺陷和设备故障确认完成整改的汇总表，列入终验收报告。</w:t>
      </w:r>
    </w:p>
    <w:p>
      <w:pPr>
        <w:tabs>
          <w:tab w:val="left" w:pos="1260"/>
        </w:tabs>
        <w:adjustRightInd w:val="0"/>
        <w:snapToGrid w:val="0"/>
        <w:spacing w:line="460" w:lineRule="exact"/>
        <w:ind w:firstLine="420" w:firstLineChars="200"/>
        <w:rPr>
          <w:rFonts w:hint="eastAsia" w:ascii="宋体" w:hAnsi="宋体"/>
          <w:color w:val="auto"/>
        </w:rPr>
      </w:pPr>
      <w:r>
        <w:rPr>
          <w:rFonts w:hint="eastAsia" w:ascii="宋体" w:hAnsi="宋体"/>
          <w:color w:val="auto"/>
        </w:rPr>
        <w:t>3.5.3存在影响节拍、装配质量、安全的缺陷，投标方应及时整改，整改合格后验收和移交。当由于招标方原因影响终验收进度时，则移交日期相应顺延。</w:t>
      </w:r>
    </w:p>
    <w:p>
      <w:pPr>
        <w:adjustRightInd w:val="0"/>
        <w:snapToGrid w:val="0"/>
        <w:spacing w:line="460" w:lineRule="exact"/>
        <w:ind w:firstLine="420" w:firstLineChars="200"/>
        <w:rPr>
          <w:rFonts w:ascii="宋体" w:hAnsi="宋体"/>
          <w:color w:val="auto"/>
        </w:rPr>
      </w:pPr>
      <w:r>
        <w:rPr>
          <w:rFonts w:hint="eastAsia" w:ascii="宋体" w:hAnsi="宋体"/>
          <w:color w:val="auto"/>
        </w:rPr>
        <w:t>3.6  终验收原则上要求一次完成。若一次验收不成功，最多允许两次；如果出现第三次验收失败，重新作价或退货；</w:t>
      </w:r>
    </w:p>
    <w:p>
      <w:pPr>
        <w:adjustRightInd w:val="0"/>
        <w:snapToGrid w:val="0"/>
        <w:spacing w:line="460" w:lineRule="exact"/>
        <w:ind w:firstLine="420" w:firstLineChars="200"/>
        <w:rPr>
          <w:rFonts w:ascii="宋体" w:hAnsi="宋体"/>
          <w:color w:val="auto"/>
        </w:rPr>
      </w:pPr>
      <w:r>
        <w:rPr>
          <w:rFonts w:hint="eastAsia" w:ascii="宋体" w:hAnsi="宋体"/>
          <w:color w:val="auto"/>
        </w:rPr>
        <w:t>3.7  终验收通过后买卖双方共同签署终验收报告，并移交、核对全部供货范围内物品。</w:t>
      </w:r>
    </w:p>
    <w:p>
      <w:pPr>
        <w:spacing w:line="480" w:lineRule="exact"/>
        <w:ind w:firstLine="420" w:firstLineChars="200"/>
        <w:rPr>
          <w:rFonts w:hint="eastAsia" w:ascii="宋体" w:hAnsi="宋体"/>
          <w:color w:val="auto"/>
        </w:rPr>
      </w:pPr>
    </w:p>
    <w:p>
      <w:pPr>
        <w:pStyle w:val="2"/>
        <w:spacing w:before="120" w:after="120" w:line="480" w:lineRule="exact"/>
        <w:jc w:val="center"/>
        <w:rPr>
          <w:rFonts w:hint="eastAsia" w:ascii="黑体" w:eastAsia="黑体"/>
          <w:b w:val="0"/>
          <w:color w:val="auto"/>
          <w:sz w:val="24"/>
          <w:szCs w:val="24"/>
        </w:rPr>
      </w:pPr>
      <w:r>
        <w:rPr>
          <w:rFonts w:ascii="宋体" w:hAnsi="宋体"/>
          <w:color w:val="auto"/>
        </w:rPr>
        <w:br w:type="page"/>
      </w:r>
      <w:bookmarkStart w:id="147" w:name="_Toc22000"/>
      <w:bookmarkStart w:id="148" w:name="_Toc137705874"/>
      <w:bookmarkStart w:id="149" w:name="_Toc12996"/>
      <w:bookmarkStart w:id="150" w:name="_Toc28978"/>
      <w:bookmarkStart w:id="151" w:name="_Toc25335"/>
      <w:r>
        <w:rPr>
          <w:rFonts w:hint="eastAsia" w:ascii="黑体" w:eastAsia="黑体"/>
          <w:b w:val="0"/>
          <w:color w:val="auto"/>
          <w:sz w:val="24"/>
          <w:szCs w:val="24"/>
        </w:rPr>
        <w:t>第六章  投标技术文件一般要求</w:t>
      </w:r>
      <w:bookmarkEnd w:id="147"/>
      <w:bookmarkEnd w:id="148"/>
      <w:bookmarkEnd w:id="149"/>
      <w:bookmarkEnd w:id="150"/>
      <w:bookmarkEnd w:id="151"/>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一、技术文件一般内容要求</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1、投标方应认真阅读招标文件和本技术标书，并按要求编写投标技术文件。</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2、投标技术文件至少应对投标设备的功能用途、技术性能、质量标准、技术参数等作出详细说明。</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3、投标技术文件至少应根据投标设备的关键设备、总成、零部件或系统作出优越性说明。</w:t>
      </w:r>
    </w:p>
    <w:p>
      <w:pPr>
        <w:spacing w:line="480" w:lineRule="exact"/>
        <w:ind w:firstLine="420" w:firstLineChars="200"/>
        <w:rPr>
          <w:rFonts w:hint="eastAsia" w:ascii="宋体" w:hAnsi="宋体"/>
          <w:color w:val="auto"/>
        </w:rPr>
      </w:pPr>
      <w:r>
        <w:rPr>
          <w:rFonts w:hint="eastAsia" w:ascii="宋体" w:hAnsi="宋体"/>
          <w:color w:val="auto"/>
        </w:rPr>
        <w:t>4、投标技术文件至少应按照招标文件要求（或投标方建议）列明备品备件、易损件和专用耗材明细。</w:t>
      </w:r>
    </w:p>
    <w:p>
      <w:pPr>
        <w:spacing w:line="480" w:lineRule="exact"/>
        <w:ind w:firstLine="420" w:firstLineChars="200"/>
        <w:rPr>
          <w:rFonts w:hint="eastAsia" w:ascii="宋体" w:hAnsi="宋体"/>
          <w:color w:val="auto"/>
        </w:rPr>
      </w:pPr>
      <w:r>
        <w:rPr>
          <w:rFonts w:hint="eastAsia" w:ascii="宋体" w:hAnsi="宋体"/>
          <w:color w:val="auto"/>
        </w:rPr>
        <w:t>5、投标方应当而且必须分别说明所列备品备件、易损件和专用耗材的使用寿命（以有效工作小时数说明）。</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6、投标的设备，应当根据其配置和备品备件、易损件、专用耗材情况，尽可能详细且分类填入下表：</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6.1  投标设备配置一览表：</w:t>
      </w:r>
    </w:p>
    <w:p>
      <w:pPr>
        <w:adjustRightInd w:val="0"/>
        <w:snapToGrid w:val="0"/>
        <w:spacing w:line="460" w:lineRule="exact"/>
        <w:ind w:firstLine="1890" w:firstLineChars="900"/>
        <w:rPr>
          <w:rFonts w:hint="eastAsia" w:ascii="宋体" w:hAnsi="宋体"/>
          <w:color w:val="auto"/>
        </w:rPr>
      </w:pPr>
      <w:r>
        <w:rPr>
          <w:rFonts w:hint="eastAsia" w:ascii="宋体" w:hAnsi="宋体"/>
          <w:color w:val="auto"/>
        </w:rPr>
        <w:t xml:space="preserve">投标货物配置一览表          </w:t>
      </w:r>
      <w:r>
        <w:rPr>
          <w:rFonts w:hint="eastAsia" w:ascii="宋体" w:hAnsi="宋体"/>
          <w:color w:val="auto"/>
          <w:sz w:val="21"/>
        </w:rPr>
        <w:t>单位：元</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序号</w:t>
            </w:r>
          </w:p>
        </w:tc>
        <w:tc>
          <w:tcPr>
            <w:tcW w:w="1924"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名称</w:t>
            </w:r>
          </w:p>
        </w:tc>
        <w:tc>
          <w:tcPr>
            <w:tcW w:w="1236"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型号规格</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单位</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数量</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单价</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总价</w:t>
            </w:r>
          </w:p>
        </w:tc>
        <w:tc>
          <w:tcPr>
            <w:tcW w:w="2235"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bl>
    <w:p>
      <w:pPr>
        <w:adjustRightInd w:val="0"/>
        <w:snapToGrid w:val="0"/>
        <w:spacing w:line="460" w:lineRule="exact"/>
        <w:ind w:firstLine="420" w:firstLineChars="200"/>
        <w:rPr>
          <w:rFonts w:hint="eastAsia" w:ascii="宋体" w:hAnsi="宋体"/>
          <w:color w:val="auto"/>
        </w:rPr>
      </w:pPr>
      <w:r>
        <w:rPr>
          <w:rFonts w:hint="eastAsia" w:ascii="宋体" w:hAnsi="宋体"/>
          <w:color w:val="auto"/>
        </w:rPr>
        <w:t>6.2  备品备件、易损件和专用耗材明细表：</w:t>
      </w:r>
    </w:p>
    <w:p>
      <w:pPr>
        <w:adjustRightInd w:val="0"/>
        <w:snapToGrid w:val="0"/>
        <w:spacing w:line="460" w:lineRule="exact"/>
        <w:ind w:firstLine="1890" w:firstLineChars="900"/>
        <w:rPr>
          <w:rFonts w:hint="eastAsia" w:ascii="宋体" w:hAnsi="宋体"/>
          <w:color w:val="auto"/>
        </w:rPr>
      </w:pPr>
      <w:r>
        <w:rPr>
          <w:rFonts w:hint="eastAsia" w:ascii="宋体" w:hAnsi="宋体"/>
          <w:color w:val="auto"/>
        </w:rPr>
        <w:t xml:space="preserve">备品备件、易损件和专用耗材明细表             </w:t>
      </w:r>
      <w:r>
        <w:rPr>
          <w:rFonts w:hint="eastAsia" w:ascii="宋体" w:hAnsi="宋体"/>
          <w:color w:val="auto"/>
          <w:sz w:val="21"/>
        </w:rPr>
        <w:t>单位：元</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序号</w:t>
            </w:r>
          </w:p>
        </w:tc>
        <w:tc>
          <w:tcPr>
            <w:tcW w:w="1924"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名称</w:t>
            </w:r>
          </w:p>
        </w:tc>
        <w:tc>
          <w:tcPr>
            <w:tcW w:w="1236"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型号规格</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单位</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数量</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单价</w:t>
            </w:r>
          </w:p>
        </w:tc>
        <w:tc>
          <w:tcPr>
            <w:tcW w:w="720"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总价</w:t>
            </w:r>
          </w:p>
        </w:tc>
        <w:tc>
          <w:tcPr>
            <w:tcW w:w="2235" w:type="dxa"/>
            <w:noWrap w:val="0"/>
            <w:vAlign w:val="top"/>
          </w:tcPr>
          <w:p>
            <w:pPr>
              <w:adjustRightInd w:val="0"/>
              <w:snapToGrid w:val="0"/>
              <w:spacing w:line="360" w:lineRule="exact"/>
              <w:jc w:val="center"/>
              <w:rPr>
                <w:rFonts w:hint="eastAsia" w:ascii="宋体" w:hAnsi="宋体"/>
                <w:color w:val="auto"/>
                <w:sz w:val="21"/>
              </w:rPr>
            </w:pPr>
            <w:r>
              <w:rPr>
                <w:rFonts w:hint="eastAsia" w:ascii="宋体" w:hAnsi="宋体"/>
                <w:color w:val="auto"/>
                <w:sz w:val="21"/>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rPr>
            </w:pPr>
          </w:p>
        </w:tc>
        <w:tc>
          <w:tcPr>
            <w:tcW w:w="1924" w:type="dxa"/>
            <w:noWrap w:val="0"/>
            <w:vAlign w:val="top"/>
          </w:tcPr>
          <w:p>
            <w:pPr>
              <w:adjustRightInd w:val="0"/>
              <w:snapToGrid w:val="0"/>
              <w:spacing w:line="360" w:lineRule="exact"/>
              <w:rPr>
                <w:rFonts w:hint="eastAsia" w:ascii="宋体" w:hAnsi="宋体"/>
                <w:color w:val="auto"/>
                <w:sz w:val="21"/>
              </w:rPr>
            </w:pPr>
          </w:p>
        </w:tc>
        <w:tc>
          <w:tcPr>
            <w:tcW w:w="1236" w:type="dxa"/>
            <w:noWrap w:val="0"/>
            <w:vAlign w:val="top"/>
          </w:tcPr>
          <w:p>
            <w:pPr>
              <w:adjustRightInd w:val="0"/>
              <w:snapToGrid w:val="0"/>
              <w:spacing w:line="360" w:lineRule="exact"/>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720" w:type="dxa"/>
            <w:noWrap w:val="0"/>
            <w:vAlign w:val="top"/>
          </w:tcPr>
          <w:p>
            <w:pPr>
              <w:adjustRightInd w:val="0"/>
              <w:snapToGrid w:val="0"/>
              <w:spacing w:line="360" w:lineRule="exact"/>
              <w:jc w:val="center"/>
              <w:rPr>
                <w:rFonts w:hint="eastAsia" w:ascii="宋体" w:hAnsi="宋体"/>
                <w:color w:val="auto"/>
                <w:sz w:val="21"/>
              </w:rPr>
            </w:pPr>
          </w:p>
        </w:tc>
        <w:tc>
          <w:tcPr>
            <w:tcW w:w="2235" w:type="dxa"/>
            <w:noWrap w:val="0"/>
            <w:vAlign w:val="top"/>
          </w:tcPr>
          <w:p>
            <w:pPr>
              <w:adjustRightInd w:val="0"/>
              <w:snapToGrid w:val="0"/>
              <w:spacing w:line="360" w:lineRule="exact"/>
              <w:rPr>
                <w:rFonts w:hint="eastAsia" w:ascii="宋体" w:hAnsi="宋体"/>
                <w:color w:val="auto"/>
                <w:sz w:val="21"/>
              </w:rPr>
            </w:pPr>
          </w:p>
        </w:tc>
      </w:tr>
    </w:tbl>
    <w:p>
      <w:pPr>
        <w:adjustRightInd w:val="0"/>
        <w:snapToGrid w:val="0"/>
        <w:spacing w:line="360" w:lineRule="exact"/>
        <w:ind w:firstLine="420" w:firstLineChars="200"/>
        <w:rPr>
          <w:rFonts w:hint="eastAsia" w:ascii="宋体" w:hAnsi="宋体"/>
          <w:color w:val="auto"/>
          <w:sz w:val="21"/>
        </w:rPr>
      </w:pPr>
    </w:p>
    <w:p>
      <w:pPr>
        <w:spacing w:line="480" w:lineRule="exact"/>
        <w:ind w:firstLine="420" w:firstLineChars="200"/>
        <w:rPr>
          <w:rFonts w:hint="eastAsia" w:ascii="宋体" w:hAnsi="宋体"/>
          <w:color w:val="auto"/>
        </w:rPr>
      </w:pPr>
      <w:r>
        <w:rPr>
          <w:rFonts w:hint="eastAsia" w:ascii="宋体" w:hAnsi="宋体"/>
          <w:color w:val="auto"/>
        </w:rPr>
        <w:t>6.3  “一览表”和“明细表”仅作为投标方编制投标技术文件的一般格式。其中序号编写应当便于招标方了解分类或分项货物之间的所属关系，如1、1.1、1.2。</w:t>
      </w:r>
    </w:p>
    <w:p>
      <w:pPr>
        <w:spacing w:line="480" w:lineRule="exact"/>
        <w:ind w:firstLine="420" w:firstLineChars="200"/>
        <w:rPr>
          <w:rFonts w:hint="eastAsia" w:ascii="宋体" w:hAnsi="宋体"/>
          <w:color w:val="auto"/>
        </w:rPr>
      </w:pPr>
      <w:r>
        <w:rPr>
          <w:rFonts w:hint="eastAsia" w:ascii="宋体" w:hAnsi="宋体"/>
          <w:color w:val="auto"/>
        </w:rPr>
        <w:t>6.4  应当尽可能将设备的配置列全、列细，这将有助于投标方胜出。</w:t>
      </w:r>
    </w:p>
    <w:p>
      <w:pPr>
        <w:spacing w:line="480" w:lineRule="exact"/>
        <w:ind w:firstLine="420" w:firstLineChars="200"/>
        <w:rPr>
          <w:rFonts w:hint="eastAsia" w:ascii="宋体" w:hAnsi="宋体"/>
          <w:color w:val="auto"/>
        </w:rPr>
      </w:pPr>
      <w:r>
        <w:rPr>
          <w:rFonts w:hint="eastAsia" w:ascii="宋体" w:hAnsi="宋体"/>
          <w:color w:val="auto"/>
        </w:rPr>
        <w:t>6.5  单价与总价之间、总价与分类小计价之间、分类小计价与合计价之间数据应当齐全而且准确。</w:t>
      </w:r>
    </w:p>
    <w:p>
      <w:pPr>
        <w:spacing w:line="480" w:lineRule="exact"/>
        <w:ind w:firstLine="420" w:firstLineChars="200"/>
        <w:rPr>
          <w:rFonts w:hint="eastAsia" w:ascii="宋体" w:hAnsi="宋体"/>
          <w:color w:val="auto"/>
        </w:rPr>
      </w:pPr>
      <w:r>
        <w:rPr>
          <w:rFonts w:hint="eastAsia" w:ascii="宋体" w:hAnsi="宋体"/>
          <w:color w:val="auto"/>
        </w:rPr>
        <w:t>6.6  本条款表格中的制造商，应当为全称或公认的简称。</w:t>
      </w:r>
    </w:p>
    <w:p>
      <w:pPr>
        <w:spacing w:line="480" w:lineRule="exact"/>
        <w:ind w:firstLine="420" w:firstLineChars="200"/>
        <w:rPr>
          <w:rFonts w:hint="eastAsia" w:ascii="黑体" w:hAnsi="宋体" w:eastAsia="黑体"/>
          <w:color w:val="auto"/>
        </w:rPr>
      </w:pPr>
      <w:r>
        <w:rPr>
          <w:rFonts w:hint="eastAsia" w:ascii="黑体" w:hAnsi="宋体" w:eastAsia="黑体"/>
          <w:color w:val="auto"/>
        </w:rPr>
        <w:t>二、技术文件中设备报价格式要求</w:t>
      </w:r>
    </w:p>
    <w:p>
      <w:pPr>
        <w:spacing w:line="480" w:lineRule="exact"/>
        <w:ind w:firstLine="420" w:firstLineChars="200"/>
        <w:rPr>
          <w:rFonts w:hint="eastAsia" w:ascii="宋体" w:hAnsi="宋体"/>
          <w:color w:val="auto"/>
        </w:rPr>
      </w:pPr>
      <w:r>
        <w:rPr>
          <w:rFonts w:hint="eastAsia" w:ascii="宋体" w:hAnsi="宋体"/>
          <w:color w:val="auto"/>
        </w:rPr>
        <w:t>1、设备配置一览表合计价以及备品备件、易损件和专用耗材明细表合计价应当在投标总报价内对应重现而且应当数据准确。其中，质保期之内需要的备品备件、易损件和专用耗材，需要在配置一览表内单独分类列出并计入设备配置一览表合计价。</w:t>
      </w:r>
    </w:p>
    <w:p>
      <w:pPr>
        <w:spacing w:line="480" w:lineRule="exact"/>
        <w:ind w:firstLine="420" w:firstLineChars="200"/>
        <w:rPr>
          <w:rFonts w:hint="eastAsia" w:ascii="宋体" w:hAnsi="宋体"/>
          <w:color w:val="auto"/>
        </w:rPr>
      </w:pPr>
      <w:r>
        <w:rPr>
          <w:rFonts w:hint="eastAsia" w:ascii="宋体" w:hAnsi="宋体"/>
          <w:color w:val="auto"/>
        </w:rPr>
        <w:t>2、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pPr>
        <w:spacing w:line="480" w:lineRule="exact"/>
        <w:ind w:firstLine="420" w:firstLineChars="200"/>
        <w:rPr>
          <w:rFonts w:hint="eastAsia" w:ascii="宋体" w:hAnsi="宋体"/>
          <w:color w:val="auto"/>
        </w:rPr>
      </w:pPr>
      <w:r>
        <w:rPr>
          <w:rFonts w:hint="eastAsia" w:ascii="宋体" w:hAnsi="宋体"/>
          <w:color w:val="auto"/>
        </w:rPr>
        <w:t>3、如果投标总报价与其它价格出现错误或不一致，将有可能导致废标。</w:t>
      </w:r>
    </w:p>
    <w:p>
      <w:pPr>
        <w:spacing w:line="480" w:lineRule="exact"/>
        <w:ind w:firstLine="420" w:firstLineChars="200"/>
        <w:rPr>
          <w:rFonts w:hint="eastAsia" w:ascii="宋体" w:hAnsi="宋体"/>
          <w:color w:val="auto"/>
        </w:rPr>
      </w:pPr>
      <w:r>
        <w:rPr>
          <w:rFonts w:hint="eastAsia" w:ascii="宋体" w:hAnsi="宋体"/>
          <w:color w:val="auto"/>
        </w:rPr>
        <w:t>4、投标总报价为自合同签定生效至合同无异议执行完毕涉及的招标方需要支付的全部费用。如投标方认为本招标及投标设备涉及专门的设计，应当列明设计费。</w:t>
      </w:r>
    </w:p>
    <w:p>
      <w:pPr>
        <w:spacing w:line="480" w:lineRule="exact"/>
        <w:ind w:firstLine="420" w:firstLineChars="200"/>
        <w:rPr>
          <w:rFonts w:hint="eastAsia" w:ascii="宋体" w:hAnsi="宋体"/>
          <w:color w:val="auto"/>
        </w:rPr>
      </w:pPr>
      <w:r>
        <w:rPr>
          <w:rFonts w:hint="eastAsia" w:ascii="宋体" w:hAnsi="宋体"/>
          <w:color w:val="auto"/>
        </w:rPr>
        <w:t>5、备品备件、易损件和专用耗材，招标方将可能与投标方按照投标价格另行签署供货合同。</w:t>
      </w:r>
    </w:p>
    <w:p>
      <w:pPr>
        <w:spacing w:line="480" w:lineRule="exact"/>
        <w:ind w:firstLine="420" w:firstLineChars="200"/>
        <w:rPr>
          <w:rFonts w:hint="eastAsia" w:ascii="宋体" w:hAnsi="宋体"/>
          <w:color w:val="auto"/>
        </w:rPr>
      </w:pPr>
      <w:r>
        <w:rPr>
          <w:rFonts w:hint="eastAsia" w:ascii="宋体" w:hAnsi="宋体"/>
          <w:color w:val="auto"/>
        </w:rPr>
        <w:t>6、要求投标总报价、分项报价、明细报价之间应当具有相互间对应关系以及填报分项和明细报价，仅为便于评标而不妨碍投标人以最合适的形式签署合同。</w:t>
      </w:r>
    </w:p>
    <w:p>
      <w:pPr>
        <w:adjustRightInd w:val="0"/>
        <w:snapToGrid w:val="0"/>
        <w:spacing w:line="460" w:lineRule="exact"/>
        <w:ind w:firstLine="420" w:firstLineChars="200"/>
        <w:rPr>
          <w:rFonts w:hint="eastAsia" w:ascii="黑体" w:hAnsi="宋体" w:eastAsia="黑体"/>
          <w:color w:val="auto"/>
        </w:rPr>
      </w:pPr>
      <w:r>
        <w:rPr>
          <w:rFonts w:hint="eastAsia" w:ascii="黑体" w:hAnsi="宋体" w:eastAsia="黑体"/>
          <w:color w:val="auto"/>
        </w:rPr>
        <w:t>三、验收标准及内容要求</w:t>
      </w:r>
    </w:p>
    <w:p>
      <w:pPr>
        <w:adjustRightInd w:val="0"/>
        <w:snapToGrid w:val="0"/>
        <w:spacing w:line="460" w:lineRule="exact"/>
        <w:ind w:firstLine="420" w:firstLineChars="200"/>
        <w:rPr>
          <w:rFonts w:hint="eastAsia" w:ascii="宋体" w:hAnsi="宋体"/>
          <w:color w:val="auto"/>
        </w:rPr>
      </w:pPr>
      <w:r>
        <w:rPr>
          <w:rFonts w:hint="eastAsia" w:ascii="宋体" w:hAnsi="宋体"/>
          <w:color w:val="auto"/>
        </w:rPr>
        <w:t>除招标文件明确的验收标准或内容之外，投标方应当在投标文件中提供预验收（必要时）和终验收的标准以及规程；在合同签定之前，经投标方和招标方双方洽谈确认并签署，以作为验收标准执行。</w:t>
      </w:r>
    </w:p>
    <w:p>
      <w:pPr>
        <w:pStyle w:val="2"/>
        <w:spacing w:before="120" w:after="120" w:line="480" w:lineRule="exact"/>
        <w:jc w:val="center"/>
        <w:rPr>
          <w:rFonts w:hint="eastAsia" w:ascii="黑体" w:eastAsia="黑体"/>
          <w:b w:val="0"/>
          <w:color w:val="auto"/>
          <w:sz w:val="24"/>
          <w:szCs w:val="24"/>
        </w:rPr>
      </w:pPr>
      <w:r>
        <w:rPr>
          <w:rFonts w:ascii="宋体" w:hAnsi="宋体"/>
          <w:color w:val="auto"/>
        </w:rPr>
        <w:br w:type="page"/>
      </w:r>
      <w:bookmarkStart w:id="152" w:name="_Toc15099"/>
      <w:bookmarkStart w:id="153" w:name="_Toc6037"/>
      <w:bookmarkStart w:id="154" w:name="_Toc137705875"/>
      <w:bookmarkStart w:id="155" w:name="_Toc5388"/>
      <w:bookmarkStart w:id="156" w:name="_Toc31849"/>
      <w:r>
        <w:rPr>
          <w:rFonts w:hint="eastAsia" w:ascii="黑体" w:eastAsia="黑体"/>
          <w:b w:val="0"/>
          <w:color w:val="auto"/>
          <w:sz w:val="24"/>
          <w:szCs w:val="24"/>
        </w:rPr>
        <w:t>第七章  其它要求及说明</w:t>
      </w:r>
      <w:bookmarkEnd w:id="152"/>
      <w:bookmarkEnd w:id="153"/>
      <w:bookmarkEnd w:id="154"/>
      <w:bookmarkEnd w:id="155"/>
      <w:bookmarkEnd w:id="156"/>
    </w:p>
    <w:p>
      <w:pPr>
        <w:spacing w:line="480" w:lineRule="exact"/>
        <w:ind w:firstLine="420" w:firstLineChars="200"/>
        <w:rPr>
          <w:rFonts w:hint="eastAsia" w:ascii="黑体" w:hAnsi="宋体" w:eastAsia="黑体"/>
          <w:color w:val="auto"/>
        </w:rPr>
      </w:pPr>
      <w:r>
        <w:rPr>
          <w:rFonts w:hint="eastAsia" w:ascii="黑体" w:hAnsi="宋体" w:eastAsia="黑体"/>
          <w:color w:val="auto"/>
        </w:rPr>
        <w:t>一、要求</w:t>
      </w:r>
    </w:p>
    <w:p>
      <w:pPr>
        <w:pStyle w:val="25"/>
        <w:rPr>
          <w:rFonts w:hint="eastAsia"/>
          <w:color w:val="auto"/>
        </w:rPr>
      </w:pPr>
      <w:r>
        <w:rPr>
          <w:rFonts w:hint="eastAsia"/>
          <w:color w:val="auto"/>
        </w:rPr>
        <w:t>为保证本技术标书所列采购设备的质量以及先进性、可靠性、经济性和实用性，要求投标方在投标文件中，至少应具备以下资格证明文件或资料：</w:t>
      </w:r>
    </w:p>
    <w:p>
      <w:pPr>
        <w:spacing w:line="520" w:lineRule="exact"/>
        <w:ind w:firstLine="417" w:firstLineChars="199"/>
        <w:rPr>
          <w:rFonts w:hint="eastAsia" w:ascii="宋体" w:hAnsi="宋体"/>
          <w:color w:val="auto"/>
        </w:rPr>
      </w:pPr>
      <w:r>
        <w:rPr>
          <w:rFonts w:hint="eastAsia" w:ascii="宋体" w:hAnsi="宋体"/>
          <w:color w:val="auto"/>
        </w:rPr>
        <w:t>1、投标方应是独立法人或得到法人授权的机构。应当在投标文件中提供法人营业执照（复印件）、税务登记证以及组织机构代码证（国外供应商参考该要求提供有效证明文件），并保证其真实性和有效性。</w:t>
      </w:r>
    </w:p>
    <w:p>
      <w:pPr>
        <w:spacing w:line="520" w:lineRule="exact"/>
        <w:ind w:firstLine="417" w:firstLineChars="199"/>
        <w:rPr>
          <w:rFonts w:hint="eastAsia"/>
          <w:color w:val="auto"/>
        </w:rPr>
      </w:pPr>
      <w:r>
        <w:rPr>
          <w:rFonts w:hint="eastAsia" w:ascii="宋体" w:hAnsi="宋体"/>
          <w:color w:val="auto"/>
        </w:rPr>
        <w:t>2、投标方应当是通过有关资格认证的法人。应当在投标文件中提供有效期内的资格认证证</w:t>
      </w:r>
      <w:r>
        <w:rPr>
          <w:rFonts w:hint="eastAsia"/>
          <w:color w:val="auto"/>
        </w:rPr>
        <w:t>书，如：ISO9001、VDA6.1、QS9000等。</w:t>
      </w:r>
    </w:p>
    <w:p>
      <w:pPr>
        <w:spacing w:line="520" w:lineRule="exact"/>
        <w:ind w:firstLine="417" w:firstLineChars="199"/>
        <w:rPr>
          <w:rFonts w:hint="eastAsia" w:ascii="宋体" w:hAnsi="宋体"/>
          <w:color w:val="auto"/>
        </w:rPr>
      </w:pPr>
      <w:r>
        <w:rPr>
          <w:rFonts w:hint="eastAsia" w:ascii="宋体" w:hAnsi="宋体"/>
          <w:color w:val="auto"/>
        </w:rPr>
        <w:t>3、国产设备应附有采购设备涉及的由“中国质量认证中心”颁发的《中国国家强制性产品认证证书》（CCC证书）。</w:t>
      </w:r>
    </w:p>
    <w:p>
      <w:pPr>
        <w:spacing w:line="520" w:lineRule="exact"/>
        <w:ind w:firstLine="417" w:firstLineChars="199"/>
        <w:rPr>
          <w:rFonts w:hint="eastAsia" w:ascii="宋体" w:hAnsi="宋体"/>
          <w:color w:val="auto"/>
        </w:rPr>
      </w:pPr>
      <w:r>
        <w:rPr>
          <w:rFonts w:hint="eastAsia" w:ascii="宋体" w:hAnsi="宋体"/>
          <w:color w:val="auto"/>
        </w:rPr>
        <w:t>4、应附有其它与投标单位、采购货物有关的荣誉证书或资料。</w:t>
      </w:r>
    </w:p>
    <w:p>
      <w:pPr>
        <w:spacing w:line="520" w:lineRule="exact"/>
        <w:ind w:firstLine="417" w:firstLineChars="199"/>
        <w:rPr>
          <w:rFonts w:hint="eastAsia" w:ascii="宋体" w:hAnsi="宋体"/>
          <w:color w:val="auto"/>
        </w:rPr>
      </w:pPr>
      <w:r>
        <w:rPr>
          <w:rFonts w:hint="eastAsia" w:ascii="宋体" w:hAnsi="宋体"/>
          <w:color w:val="auto"/>
        </w:rPr>
        <w:t>5、必须附有投标货物涉及产品要求的、国家或行业管理规定要求的、或者投标方认为能够体现其投标货物合法性及先进性的最高级别的证明材料（投标货物不涉及的除外）：</w:t>
      </w:r>
    </w:p>
    <w:p>
      <w:pPr>
        <w:spacing w:line="520" w:lineRule="exact"/>
        <w:ind w:firstLine="417" w:firstLineChars="199"/>
        <w:rPr>
          <w:rFonts w:hint="eastAsia" w:ascii="宋体" w:hAnsi="宋体"/>
          <w:color w:val="auto"/>
        </w:rPr>
      </w:pPr>
      <w:r>
        <w:rPr>
          <w:rFonts w:hint="eastAsia" w:ascii="宋体" w:hAnsi="宋体"/>
          <w:color w:val="auto"/>
        </w:rPr>
        <w:t>5.1  国家相关机构颁发的有效期之内所必需的《生产许可证》。</w:t>
      </w:r>
    </w:p>
    <w:p>
      <w:pPr>
        <w:spacing w:line="520" w:lineRule="exact"/>
        <w:ind w:firstLine="417" w:firstLineChars="199"/>
        <w:rPr>
          <w:rFonts w:hint="eastAsia" w:ascii="宋体" w:hAnsi="宋体"/>
          <w:color w:val="auto"/>
        </w:rPr>
      </w:pPr>
      <w:r>
        <w:rPr>
          <w:rFonts w:hint="eastAsia" w:ascii="宋体" w:hAnsi="宋体"/>
          <w:color w:val="auto"/>
        </w:rPr>
        <w:t>5.2  产品（或技术）鉴定报告/证书、专利证书或专利许可证书、新技术成果证书等。</w:t>
      </w:r>
    </w:p>
    <w:p>
      <w:pPr>
        <w:spacing w:line="520" w:lineRule="exact"/>
        <w:ind w:firstLine="417" w:firstLineChars="199"/>
        <w:rPr>
          <w:rFonts w:hint="eastAsia" w:ascii="宋体" w:hAnsi="宋体"/>
          <w:color w:val="auto"/>
        </w:rPr>
      </w:pPr>
      <w:r>
        <w:rPr>
          <w:rFonts w:hint="eastAsia" w:ascii="宋体" w:hAnsi="宋体"/>
          <w:color w:val="auto"/>
        </w:rPr>
        <w:t>5.3  产品相关检验、试验报告，如：型式试验检验报告、安全试验检验报告、电弧效应试验报告、噪声检测报告等</w:t>
      </w:r>
    </w:p>
    <w:p>
      <w:pPr>
        <w:spacing w:line="520" w:lineRule="exact"/>
        <w:ind w:firstLine="417" w:firstLineChars="199"/>
        <w:rPr>
          <w:rFonts w:hint="eastAsia" w:ascii="宋体" w:hAnsi="宋体"/>
          <w:color w:val="auto"/>
        </w:rPr>
      </w:pPr>
      <w:r>
        <w:rPr>
          <w:rFonts w:hint="eastAsia" w:ascii="宋体" w:hAnsi="宋体"/>
          <w:color w:val="auto"/>
        </w:rPr>
        <w:t>5.4  其它能够证明所供设备的质量水平、技术水平、安全性水平、节能性水平、环保性水平等相关的其它证明文件或资料、报告等。</w:t>
      </w:r>
    </w:p>
    <w:p>
      <w:pPr>
        <w:spacing w:line="520" w:lineRule="exact"/>
        <w:ind w:firstLine="417" w:firstLineChars="199"/>
        <w:rPr>
          <w:rFonts w:hint="eastAsia" w:ascii="宋体" w:hAnsi="宋体"/>
          <w:color w:val="auto"/>
        </w:rPr>
      </w:pPr>
      <w:r>
        <w:rPr>
          <w:rFonts w:hint="eastAsia" w:ascii="宋体" w:hAnsi="宋体"/>
          <w:color w:val="auto"/>
        </w:rPr>
        <w:t>5.5  该类报告或证明材料对于投标方胜出乃至中标极为重要！</w:t>
      </w:r>
    </w:p>
    <w:p>
      <w:pPr>
        <w:spacing w:line="520" w:lineRule="exact"/>
        <w:ind w:firstLine="417" w:firstLineChars="199"/>
        <w:rPr>
          <w:rFonts w:hint="eastAsia" w:ascii="宋体" w:hAnsi="宋体"/>
          <w:color w:val="auto"/>
        </w:rPr>
      </w:pPr>
      <w:r>
        <w:rPr>
          <w:rFonts w:hint="eastAsia" w:ascii="宋体" w:hAnsi="宋体"/>
          <w:color w:val="auto"/>
        </w:rPr>
        <w:t>6、必须附有与本采购设备相同或相似技术规格、型号的而且已经正常使用或通过验收的近三年以上的设备的市场销售业绩清单，清单中应具备：招标方单位名称、销售设备的规格型号、数量、（交货）时间、联系人和联系电话（非移动通信号码）等条目内容；投标方应当保证其业绩的真实性，否则将影响投标或中标资格。</w:t>
      </w:r>
    </w:p>
    <w:p>
      <w:pPr>
        <w:spacing w:line="520" w:lineRule="exact"/>
        <w:ind w:firstLine="417" w:firstLineChars="199"/>
        <w:rPr>
          <w:rFonts w:hint="eastAsia" w:ascii="黑体" w:hAnsi="宋体" w:eastAsia="黑体"/>
          <w:color w:val="auto"/>
        </w:rPr>
      </w:pPr>
      <w:r>
        <w:rPr>
          <w:rFonts w:hint="eastAsia" w:ascii="黑体" w:hAnsi="宋体" w:eastAsia="黑体"/>
          <w:color w:val="auto"/>
        </w:rPr>
        <w:t>二、说明</w:t>
      </w:r>
    </w:p>
    <w:p>
      <w:pPr>
        <w:spacing w:line="480" w:lineRule="exact"/>
        <w:ind w:firstLine="420" w:firstLineChars="200"/>
        <w:rPr>
          <w:rFonts w:hint="eastAsia" w:ascii="宋体" w:hAnsi="宋体"/>
          <w:color w:val="auto"/>
        </w:rPr>
      </w:pPr>
      <w:r>
        <w:rPr>
          <w:rFonts w:hint="eastAsia" w:ascii="宋体" w:hAnsi="宋体"/>
          <w:color w:val="auto"/>
        </w:rPr>
        <w:t>1、投标方可以根据自身的技术、经验等优势以及对招标文件和本技术标书的理解，写明对招标方所采购设备的优化方案或建议意见。投标方的这些努力，招标方表示感谢，并将有助于投标方优先胜出。</w:t>
      </w:r>
    </w:p>
    <w:p>
      <w:pPr>
        <w:spacing w:line="480" w:lineRule="exact"/>
        <w:ind w:firstLine="420" w:firstLineChars="200"/>
        <w:rPr>
          <w:rFonts w:hint="eastAsia" w:ascii="宋体" w:hAnsi="宋体"/>
          <w:color w:val="auto"/>
        </w:rPr>
      </w:pPr>
      <w:r>
        <w:rPr>
          <w:rFonts w:hint="eastAsia" w:ascii="宋体" w:hAnsi="宋体"/>
          <w:color w:val="auto"/>
        </w:rPr>
        <w:t>2、即使有建议意见或建议方案，仍应依据招标文件和本技术标书要求，编写符合要求的投标文件。建议方案或建议意见，应以单独篇章或文件，予以说明。</w:t>
      </w:r>
    </w:p>
    <w:p>
      <w:pPr>
        <w:spacing w:line="480" w:lineRule="exact"/>
        <w:ind w:firstLine="420" w:firstLineChars="200"/>
        <w:rPr>
          <w:rFonts w:hint="eastAsia" w:ascii="宋体" w:hAnsi="宋体"/>
          <w:color w:val="auto"/>
        </w:rPr>
      </w:pPr>
      <w:r>
        <w:rPr>
          <w:rFonts w:hint="eastAsia" w:ascii="宋体" w:hAnsi="宋体"/>
          <w:color w:val="auto"/>
        </w:rPr>
        <w:t>3、请投标方仔细阅读“采购货物概况”章节内说明，针对允许分投分中的设备，招标方有权利选择其中优秀设备或服务，作为投标方合同供货范围中的指定选用设备或服务（替代投标方分投而未中标部分）。</w:t>
      </w:r>
    </w:p>
    <w:p>
      <w:pPr>
        <w:spacing w:line="480" w:lineRule="exact"/>
        <w:ind w:firstLine="420" w:firstLineChars="200"/>
        <w:rPr>
          <w:rFonts w:hint="eastAsia" w:ascii="宋体" w:hAnsi="宋体"/>
          <w:color w:val="auto"/>
        </w:rPr>
      </w:pPr>
      <w:r>
        <w:rPr>
          <w:rFonts w:hint="eastAsia" w:ascii="宋体" w:hAnsi="宋体"/>
          <w:color w:val="auto"/>
        </w:rPr>
        <w:t>4、招标文件、投标文件、答疑文件、技术交流文件、技术协议书等，在采购过程全部为有效文件，如有差异，以对招标方最有利的条款为准。</w:t>
      </w:r>
    </w:p>
    <w:p>
      <w:pPr>
        <w:spacing w:line="480" w:lineRule="exact"/>
        <w:ind w:firstLine="420" w:firstLineChars="200"/>
        <w:rPr>
          <w:rFonts w:hint="eastAsia" w:ascii="宋体" w:hAnsi="宋体"/>
          <w:color w:val="auto"/>
        </w:rPr>
      </w:pPr>
      <w:r>
        <w:rPr>
          <w:rFonts w:hint="eastAsia" w:ascii="宋体" w:hAnsi="宋体"/>
          <w:color w:val="auto"/>
        </w:rPr>
        <w:t>5、为避免歧异，本技术标书涉及招投标环节的条款，均将潜在的卖方称为投标方、将买方称为招标方；定标后合同签署环节以及后续的合同执行环节条款，招标方称为买方、投标方中的中标方称为卖方。</w:t>
      </w:r>
    </w:p>
    <w:p>
      <w:pPr>
        <w:spacing w:line="480" w:lineRule="exact"/>
        <w:rPr>
          <w:rFonts w:hint="eastAsia" w:ascii="宋体" w:hAnsi="宋体"/>
          <w:color w:val="auto"/>
        </w:rPr>
      </w:pPr>
    </w:p>
    <w:p>
      <w:pPr>
        <w:spacing w:line="480" w:lineRule="exact"/>
        <w:ind w:firstLine="420" w:firstLineChars="200"/>
        <w:rPr>
          <w:rFonts w:hint="default" w:ascii="宋体" w:hAnsi="宋体" w:eastAsia="宋体"/>
          <w:color w:val="auto"/>
          <w:lang w:val="en-US" w:eastAsia="zh-CN"/>
        </w:rPr>
      </w:pPr>
      <w:r>
        <w:rPr>
          <w:rFonts w:hint="eastAsia" w:ascii="宋体" w:hAnsi="宋体"/>
          <w:b/>
          <w:color w:val="auto"/>
        </w:rPr>
        <w:t xml:space="preserve">技术部分答疑人： </w:t>
      </w:r>
      <w:r>
        <w:rPr>
          <w:rFonts w:hint="eastAsia" w:ascii="宋体" w:hAnsi="宋体"/>
          <w:b/>
          <w:color w:val="auto"/>
          <w:lang w:val="en-US" w:eastAsia="zh-CN"/>
        </w:rPr>
        <w:t>孙立君：19588970535    何文亮</w:t>
      </w:r>
      <w:r>
        <w:rPr>
          <w:rFonts w:hint="eastAsia" w:ascii="宋体" w:hAnsi="宋体"/>
          <w:b/>
          <w:color w:val="auto"/>
        </w:rPr>
        <w:t xml:space="preserve"> </w:t>
      </w:r>
      <w:r>
        <w:rPr>
          <w:rFonts w:hint="eastAsia" w:ascii="宋体" w:hAnsi="宋体"/>
          <w:b/>
          <w:color w:val="auto"/>
          <w:lang w:val="en-US" w:eastAsia="zh-CN"/>
        </w:rPr>
        <w:t>15066696050</w:t>
      </w:r>
    </w:p>
    <w:p>
      <w:pPr>
        <w:rPr>
          <w:color w:val="auto"/>
        </w:rPr>
      </w:pPr>
    </w:p>
    <w:p>
      <w:pPr>
        <w:rPr>
          <w:color w:val="auto"/>
        </w:rPr>
      </w:pPr>
    </w:p>
    <w:p>
      <w:pPr>
        <w:rPr>
          <w:rFonts w:ascii="宋体" w:hAnsi="宋体" w:eastAsia="宋体" w:cs="Times New Roman"/>
          <w:b/>
          <w:color w:val="auto"/>
          <w:sz w:val="36"/>
          <w:szCs w:val="36"/>
        </w:rPr>
      </w:pPr>
    </w:p>
    <w:p>
      <w:pPr>
        <w:rPr>
          <w:rFonts w:ascii="宋体" w:hAnsi="宋体" w:eastAsia="宋体" w:cs="Times New Roman"/>
          <w:b/>
          <w:color w:val="auto"/>
          <w:sz w:val="36"/>
          <w:szCs w:val="36"/>
        </w:rPr>
      </w:pPr>
    </w:p>
    <w:p>
      <w:pPr>
        <w:rPr>
          <w:rFonts w:ascii="宋体" w:hAnsi="宋体" w:eastAsia="宋体" w:cs="Times New Roman"/>
          <w:b/>
          <w:color w:val="auto"/>
          <w:sz w:val="36"/>
          <w:szCs w:val="36"/>
        </w:rPr>
      </w:pPr>
    </w:p>
    <w:p>
      <w:pPr>
        <w:rPr>
          <w:rFonts w:hint="eastAsia" w:ascii="仿宋_GB2312" w:hAnsi="仿宋_GB2312" w:eastAsia="仿宋_GB2312" w:cs="仿宋_GB2312"/>
          <w:sz w:val="44"/>
          <w:highlight w:val="green"/>
        </w:rPr>
        <w:sectPr>
          <w:pgSz w:w="11907" w:h="16840"/>
          <w:pgMar w:top="1304" w:right="1418" w:bottom="1304" w:left="1418" w:header="724" w:footer="851" w:gutter="0"/>
          <w:cols w:space="720" w:num="1"/>
          <w:docGrid w:linePitch="290" w:charSpace="-3931"/>
        </w:sectPr>
      </w:pPr>
    </w:p>
    <w:p/>
    <w:p>
      <w:pPr>
        <w:pStyle w:val="22"/>
      </w:pPr>
    </w:p>
    <w:p>
      <w:pPr>
        <w:spacing w:line="360" w:lineRule="auto"/>
        <w:jc w:val="center"/>
        <w:outlineLvl w:val="0"/>
        <w:rPr>
          <w:rFonts w:ascii="宋体" w:hAnsi="Calibri" w:eastAsia="宋体" w:cs="Times New Roman"/>
          <w:b/>
          <w:sz w:val="36"/>
          <w:szCs w:val="36"/>
        </w:rPr>
      </w:pPr>
      <w:bookmarkStart w:id="157"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57"/>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3" w:type="default"/>
          <w:footerReference r:id="rId14"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58" w:name="_Toc20872"/>
      <w:bookmarkStart w:id="159" w:name="_Toc15851"/>
      <w:bookmarkStart w:id="160" w:name="_Toc8509"/>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58"/>
      <w:bookmarkEnd w:id="159"/>
      <w:bookmarkEnd w:id="160"/>
    </w:p>
    <w:p>
      <w:pPr>
        <w:keepNext/>
        <w:keepLines/>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2"/>
        <w:rPr>
          <w:rFonts w:ascii="Times New Roman" w:hAnsi="Times New Roman" w:eastAsia="宋体" w:cs="Times New Roman"/>
          <w:b/>
          <w:bCs/>
          <w:color w:val="000000"/>
          <w:sz w:val="24"/>
          <w:szCs w:val="24"/>
        </w:rPr>
        <w:sectPr>
          <w:footerReference r:id="rId16" w:type="first"/>
          <w:footerReference r:id="rId15"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w:t>
      </w:r>
      <w:r>
        <w:rPr>
          <w:rFonts w:hint="eastAsia" w:ascii="宋体" w:hAnsi="宋体" w:eastAsia="宋体" w:cs="Times New Roman"/>
          <w:color w:val="000000"/>
          <w:sz w:val="24"/>
          <w:szCs w:val="24"/>
          <w:highlight w:val="none"/>
          <w:lang w:val="en-US" w:eastAsia="zh-CN"/>
        </w:rPr>
        <w:t>特种车</w:t>
      </w:r>
      <w:r>
        <w:rPr>
          <w:rFonts w:hint="eastAsia" w:ascii="宋体" w:hAnsi="宋体" w:eastAsia="宋体" w:cs="Times New Roman"/>
          <w:color w:val="000000"/>
          <w:sz w:val="24"/>
          <w:szCs w:val="24"/>
          <w:highlight w:val="none"/>
        </w:rPr>
        <w:t>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w:t>
      </w:r>
      <w:r>
        <w:rPr>
          <w:rFonts w:hint="eastAsia" w:ascii="宋体" w:hAnsi="宋体" w:eastAsia="宋体" w:cs="Times New Roman"/>
          <w:b/>
          <w:bCs/>
          <w:sz w:val="24"/>
          <w:szCs w:val="20"/>
          <w:highlight w:val="none"/>
          <w:lang w:val="en-US" w:eastAsia="zh-CN"/>
        </w:rPr>
        <w:t>特种车</w:t>
      </w:r>
      <w:r>
        <w:rPr>
          <w:rFonts w:hint="eastAsia" w:ascii="宋体" w:hAnsi="宋体" w:eastAsia="宋体" w:cs="Times New Roman"/>
          <w:b/>
          <w:bCs/>
          <w:sz w:val="24"/>
          <w:szCs w:val="20"/>
          <w:highlight w:val="none"/>
        </w:rPr>
        <w:t>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 w:val="21"/>
                <w:szCs w:val="21"/>
              </w:rPr>
            </w:pPr>
            <w:r>
              <w:rPr>
                <w:rFonts w:hint="eastAsia" w:ascii="宋体" w:hAnsi="宋体" w:eastAsia="宋体" w:cs="宋体"/>
                <w:b/>
                <w:sz w:val="21"/>
                <w:szCs w:val="21"/>
              </w:rPr>
              <w:t>序号</w:t>
            </w:r>
          </w:p>
        </w:tc>
        <w:tc>
          <w:tcPr>
            <w:tcW w:w="3190" w:type="dxa"/>
            <w:vAlign w:val="center"/>
          </w:tcPr>
          <w:p>
            <w:pPr>
              <w:jc w:val="center"/>
              <w:rPr>
                <w:rFonts w:ascii="Times New Roman" w:hAnsi="Times New Roman" w:eastAsia="宋体" w:cs="Times New Roman"/>
                <w:b/>
                <w:sz w:val="21"/>
                <w:szCs w:val="21"/>
              </w:rPr>
            </w:pPr>
            <w:r>
              <w:rPr>
                <w:rFonts w:hint="eastAsia" w:ascii="宋体" w:hAnsi="宋体" w:eastAsia="宋体" w:cs="宋体"/>
                <w:b/>
                <w:sz w:val="21"/>
                <w:szCs w:val="21"/>
              </w:rPr>
              <w:t>招标要求</w:t>
            </w:r>
          </w:p>
        </w:tc>
        <w:tc>
          <w:tcPr>
            <w:tcW w:w="2540" w:type="dxa"/>
            <w:vAlign w:val="center"/>
          </w:tcPr>
          <w:p>
            <w:pPr>
              <w:jc w:val="center"/>
              <w:rPr>
                <w:rFonts w:ascii="Times New Roman" w:hAnsi="Times New Roman" w:eastAsia="宋体" w:cs="Times New Roman"/>
                <w:b/>
                <w:sz w:val="21"/>
                <w:szCs w:val="21"/>
              </w:rPr>
            </w:pPr>
            <w:r>
              <w:rPr>
                <w:rFonts w:hint="eastAsia" w:ascii="宋体" w:hAnsi="宋体" w:eastAsia="宋体" w:cs="宋体"/>
                <w:b/>
                <w:sz w:val="21"/>
                <w:szCs w:val="21"/>
              </w:rPr>
              <w:t>响应规格</w:t>
            </w:r>
          </w:p>
        </w:tc>
        <w:tc>
          <w:tcPr>
            <w:tcW w:w="1292" w:type="dxa"/>
            <w:vAlign w:val="center"/>
          </w:tcPr>
          <w:p>
            <w:pPr>
              <w:jc w:val="center"/>
              <w:rPr>
                <w:rFonts w:ascii="Times New Roman" w:hAnsi="Times New Roman" w:eastAsia="宋体" w:cs="Times New Roman"/>
                <w:b/>
                <w:sz w:val="21"/>
                <w:szCs w:val="21"/>
              </w:rPr>
            </w:pPr>
            <w:r>
              <w:rPr>
                <w:rFonts w:hint="eastAsia" w:ascii="宋体" w:hAnsi="宋体" w:eastAsia="宋体" w:cs="宋体"/>
                <w:b/>
                <w:sz w:val="21"/>
                <w:szCs w:val="21"/>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keepNext w:val="0"/>
              <w:keepLines w:val="0"/>
              <w:widowControl/>
              <w:suppressLineNumbers w:val="0"/>
              <w:jc w:val="center"/>
              <w:textAlignment w:val="center"/>
              <w:rPr>
                <w:rFonts w:ascii="Times New Roman" w:hAnsi="Times New Roman" w:eastAsia="宋体" w:cs="Times New Roman"/>
                <w:b/>
                <w:sz w:val="21"/>
                <w:szCs w:val="21"/>
              </w:rPr>
            </w:pPr>
            <w:r>
              <w:rPr>
                <w:rFonts w:hint="eastAsia" w:ascii="宋体" w:hAnsi="宋体" w:eastAsia="宋体" w:cs="宋体"/>
                <w:b/>
                <w:bCs/>
                <w:i w:val="0"/>
                <w:iCs w:val="0"/>
                <w:color w:val="000000"/>
                <w:kern w:val="0"/>
                <w:sz w:val="21"/>
                <w:szCs w:val="21"/>
                <w:u w:val="none"/>
                <w:lang w:val="en-US" w:eastAsia="zh-CN" w:bidi="ar"/>
              </w:rPr>
              <w:t>直行定位仪</w:t>
            </w: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1"/>
                <w:szCs w:val="21"/>
              </w:rPr>
            </w:pPr>
          </w:p>
        </w:tc>
        <w:tc>
          <w:tcPr>
            <w:tcW w:w="2540" w:type="dxa"/>
          </w:tcPr>
          <w:p>
            <w:pPr>
              <w:jc w:val="center"/>
              <w:rPr>
                <w:rFonts w:ascii="Times New Roman" w:hAnsi="Times New Roman" w:eastAsia="宋体" w:cs="Times New Roman"/>
                <w:b/>
                <w:sz w:val="21"/>
                <w:szCs w:val="21"/>
              </w:rPr>
            </w:pPr>
          </w:p>
        </w:tc>
        <w:tc>
          <w:tcPr>
            <w:tcW w:w="1292" w:type="dxa"/>
          </w:tcPr>
          <w:p>
            <w:pPr>
              <w:jc w:val="center"/>
              <w:rPr>
                <w:rFonts w:ascii="Times New Roman" w:hAnsi="Times New Roman" w:eastAsia="宋体" w:cs="Times New Roman"/>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keepNext w:val="0"/>
              <w:keepLines w:val="0"/>
              <w:widowControl/>
              <w:suppressLineNumbers w:val="0"/>
              <w:jc w:val="center"/>
              <w:textAlignment w:val="center"/>
              <w:rPr>
                <w:rFonts w:ascii="Times New Roman" w:hAnsi="Times New Roman" w:eastAsia="宋体" w:cs="Times New Roman"/>
                <w:b/>
                <w:sz w:val="21"/>
                <w:szCs w:val="21"/>
              </w:rPr>
            </w:pPr>
            <w:r>
              <w:rPr>
                <w:rFonts w:hint="eastAsia" w:ascii="宋体" w:hAnsi="宋体" w:eastAsia="宋体" w:cs="宋体"/>
                <w:i w:val="0"/>
                <w:iCs w:val="0"/>
                <w:color w:val="000000"/>
                <w:kern w:val="0"/>
                <w:sz w:val="21"/>
                <w:szCs w:val="21"/>
                <w:u w:val="none"/>
                <w:lang w:val="en-US" w:eastAsia="zh-CN" w:bidi="ar"/>
              </w:rPr>
              <w:t>1.磁性夹具</w:t>
            </w: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1"/>
                <w:szCs w:val="21"/>
              </w:rPr>
            </w:pPr>
            <w:r>
              <w:rPr>
                <w:rFonts w:hint="eastAsia" w:ascii="宋体" w:hAnsi="宋体" w:eastAsia="宋体" w:cs="宋体"/>
                <w:i w:val="0"/>
                <w:iCs w:val="0"/>
                <w:color w:val="000000"/>
                <w:kern w:val="0"/>
                <w:sz w:val="21"/>
                <w:szCs w:val="21"/>
                <w:u w:val="none"/>
                <w:lang w:val="en-US" w:eastAsia="zh-CN" w:bidi="ar"/>
              </w:rPr>
              <w:t>测量时安装与轮毂端面（分度圆Φ335mm</w:t>
            </w:r>
          </w:p>
        </w:tc>
        <w:tc>
          <w:tcPr>
            <w:tcW w:w="2540" w:type="dxa"/>
          </w:tcPr>
          <w:p>
            <w:pPr>
              <w:jc w:val="center"/>
              <w:rPr>
                <w:rFonts w:ascii="Times New Roman" w:hAnsi="Times New Roman" w:eastAsia="宋体" w:cs="Times New Roman"/>
                <w:b/>
                <w:sz w:val="21"/>
                <w:szCs w:val="21"/>
              </w:rPr>
            </w:pPr>
          </w:p>
        </w:tc>
        <w:tc>
          <w:tcPr>
            <w:tcW w:w="1292" w:type="dxa"/>
          </w:tcPr>
          <w:p>
            <w:pPr>
              <w:jc w:val="center"/>
              <w:rPr>
                <w:rFonts w:ascii="Times New Roman" w:hAnsi="Times New Roman" w:eastAsia="宋体" w:cs="Times New Roman"/>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keepNext w:val="0"/>
              <w:keepLines w:val="0"/>
              <w:widowControl/>
              <w:suppressLineNumbers w:val="0"/>
              <w:jc w:val="center"/>
              <w:textAlignment w:val="center"/>
              <w:rPr>
                <w:rFonts w:ascii="Times New Roman" w:hAnsi="Times New Roman" w:eastAsia="宋体" w:cs="Times New Roman"/>
                <w:b/>
                <w:sz w:val="21"/>
                <w:szCs w:val="21"/>
              </w:rPr>
            </w:pPr>
            <w:r>
              <w:rPr>
                <w:rFonts w:hint="eastAsia" w:ascii="宋体" w:hAnsi="宋体" w:eastAsia="宋体" w:cs="宋体"/>
                <w:i w:val="0"/>
                <w:iCs w:val="0"/>
                <w:color w:val="000000"/>
                <w:kern w:val="0"/>
                <w:sz w:val="21"/>
                <w:szCs w:val="21"/>
                <w:u w:val="none"/>
                <w:lang w:val="en-US" w:eastAsia="zh-CN" w:bidi="ar"/>
              </w:rPr>
              <w:t>2.激光发射器</w:t>
            </w: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1"/>
                <w:szCs w:val="21"/>
              </w:rPr>
            </w:pPr>
            <w:r>
              <w:rPr>
                <w:rFonts w:hint="eastAsia" w:ascii="宋体" w:hAnsi="宋体" w:eastAsia="宋体" w:cs="宋体"/>
                <w:i w:val="0"/>
                <w:iCs w:val="0"/>
                <w:color w:val="000000"/>
                <w:kern w:val="0"/>
                <w:sz w:val="21"/>
                <w:szCs w:val="21"/>
                <w:u w:val="none"/>
                <w:lang w:val="en-US" w:eastAsia="zh-CN" w:bidi="ar"/>
              </w:rPr>
              <w:t>安装在磁性夹具上用于测量</w:t>
            </w:r>
          </w:p>
        </w:tc>
        <w:tc>
          <w:tcPr>
            <w:tcW w:w="2540" w:type="dxa"/>
          </w:tcPr>
          <w:p>
            <w:pPr>
              <w:jc w:val="center"/>
              <w:rPr>
                <w:rFonts w:ascii="Times New Roman" w:hAnsi="Times New Roman" w:eastAsia="宋体" w:cs="Times New Roman"/>
                <w:b/>
                <w:sz w:val="21"/>
                <w:szCs w:val="21"/>
              </w:rPr>
            </w:pPr>
          </w:p>
        </w:tc>
        <w:tc>
          <w:tcPr>
            <w:tcW w:w="1292" w:type="dxa"/>
          </w:tcPr>
          <w:p>
            <w:pPr>
              <w:jc w:val="center"/>
              <w:rPr>
                <w:rFonts w:ascii="Times New Roman" w:hAnsi="Times New Roman" w:eastAsia="宋体" w:cs="Times New Roman"/>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vAlign w:val="center"/>
          </w:tcPr>
          <w:p>
            <w:pPr>
              <w:keepNext w:val="0"/>
              <w:keepLines w:val="0"/>
              <w:widowControl/>
              <w:suppressLineNumbers w:val="0"/>
              <w:jc w:val="center"/>
              <w:textAlignment w:val="center"/>
              <w:rPr>
                <w:rFonts w:ascii="Times New Roman" w:hAnsi="Times New Roman" w:eastAsia="宋体" w:cs="Times New Roman"/>
                <w:b/>
                <w:sz w:val="21"/>
                <w:szCs w:val="21"/>
              </w:rPr>
            </w:pPr>
            <w:r>
              <w:rPr>
                <w:rFonts w:hint="eastAsia" w:ascii="宋体" w:hAnsi="宋体" w:eastAsia="宋体" w:cs="宋体"/>
                <w:i w:val="0"/>
                <w:iCs w:val="0"/>
                <w:color w:val="000000"/>
                <w:kern w:val="0"/>
                <w:sz w:val="21"/>
                <w:szCs w:val="21"/>
                <w:u w:val="none"/>
                <w:lang w:val="en-US" w:eastAsia="zh-CN" w:bidi="ar"/>
              </w:rPr>
              <w:t>3.接收标靶</w:t>
            </w:r>
          </w:p>
        </w:tc>
        <w:tc>
          <w:tcPr>
            <w:tcW w:w="3190" w:type="dxa"/>
            <w:vAlign w:val="center"/>
          </w:tcPr>
          <w:p>
            <w:pPr>
              <w:keepNext w:val="0"/>
              <w:keepLines w:val="0"/>
              <w:widowControl/>
              <w:suppressLineNumbers w:val="0"/>
              <w:jc w:val="center"/>
              <w:textAlignment w:val="center"/>
              <w:rPr>
                <w:rFonts w:hint="default" w:ascii="Times New Roman" w:hAnsi="Times New Roman" w:eastAsia="宋体" w:cs="Times New Roman"/>
                <w:b/>
                <w:sz w:val="21"/>
                <w:szCs w:val="21"/>
                <w:lang w:val="en-US"/>
              </w:rPr>
            </w:pPr>
            <w:r>
              <w:rPr>
                <w:rFonts w:hint="eastAsia" w:ascii="宋体" w:hAnsi="宋体" w:eastAsia="宋体" w:cs="宋体"/>
                <w:i w:val="0"/>
                <w:iCs w:val="0"/>
                <w:color w:val="000000"/>
                <w:kern w:val="0"/>
                <w:sz w:val="21"/>
                <w:szCs w:val="21"/>
                <w:u w:val="none"/>
                <w:lang w:val="en-US" w:eastAsia="zh-CN" w:bidi="ar"/>
              </w:rPr>
              <w:t>与激光发射器为配套使用</w:t>
            </w:r>
          </w:p>
        </w:tc>
        <w:tc>
          <w:tcPr>
            <w:tcW w:w="2540" w:type="dxa"/>
          </w:tcPr>
          <w:p>
            <w:pPr>
              <w:jc w:val="center"/>
              <w:rPr>
                <w:rFonts w:ascii="Times New Roman" w:hAnsi="Times New Roman" w:eastAsia="宋体" w:cs="Times New Roman"/>
                <w:b/>
                <w:sz w:val="21"/>
                <w:szCs w:val="21"/>
              </w:rPr>
            </w:pPr>
          </w:p>
        </w:tc>
        <w:tc>
          <w:tcPr>
            <w:tcW w:w="1292" w:type="dxa"/>
          </w:tcPr>
          <w:p>
            <w:pPr>
              <w:jc w:val="center"/>
              <w:rPr>
                <w:rFonts w:ascii="Times New Roman" w:hAnsi="Times New Roman" w:eastAsia="宋体" w:cs="Times New Roman"/>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keepNext w:val="0"/>
              <w:keepLines w:val="0"/>
              <w:widowControl/>
              <w:suppressLineNumbers w:val="0"/>
              <w:jc w:val="center"/>
              <w:textAlignment w:val="center"/>
              <w:rPr>
                <w:rFonts w:ascii="Times New Roman" w:hAnsi="Times New Roman" w:eastAsia="宋体" w:cs="Times New Roman"/>
                <w:b/>
                <w:sz w:val="21"/>
                <w:szCs w:val="21"/>
              </w:rPr>
            </w:pPr>
            <w:r>
              <w:rPr>
                <w:rFonts w:hint="eastAsia" w:ascii="宋体" w:hAnsi="宋体" w:eastAsia="宋体" w:cs="宋体"/>
                <w:i w:val="0"/>
                <w:iCs w:val="0"/>
                <w:color w:val="000000"/>
                <w:kern w:val="0"/>
                <w:sz w:val="21"/>
                <w:szCs w:val="21"/>
                <w:u w:val="none"/>
                <w:lang w:val="en-US" w:eastAsia="zh-CN" w:bidi="ar"/>
              </w:rPr>
              <w:t>4.校准标靶</w:t>
            </w: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1"/>
                <w:szCs w:val="21"/>
              </w:rPr>
            </w:pPr>
            <w:r>
              <w:rPr>
                <w:rFonts w:hint="eastAsia" w:ascii="宋体" w:hAnsi="宋体" w:eastAsia="宋体" w:cs="宋体"/>
                <w:i w:val="0"/>
                <w:iCs w:val="0"/>
                <w:color w:val="000000"/>
                <w:kern w:val="0"/>
                <w:sz w:val="21"/>
                <w:szCs w:val="21"/>
                <w:u w:val="none"/>
                <w:lang w:val="en-US" w:eastAsia="zh-CN" w:bidi="ar"/>
              </w:rPr>
              <w:t>用于校准激光发射器</w:t>
            </w:r>
          </w:p>
        </w:tc>
        <w:tc>
          <w:tcPr>
            <w:tcW w:w="2540" w:type="dxa"/>
          </w:tcPr>
          <w:p>
            <w:pPr>
              <w:jc w:val="center"/>
              <w:rPr>
                <w:rFonts w:ascii="Times New Roman" w:hAnsi="Times New Roman" w:eastAsia="宋体" w:cs="Times New Roman"/>
                <w:b/>
                <w:sz w:val="21"/>
                <w:szCs w:val="21"/>
              </w:rPr>
            </w:pPr>
          </w:p>
        </w:tc>
        <w:tc>
          <w:tcPr>
            <w:tcW w:w="1292" w:type="dxa"/>
          </w:tcPr>
          <w:p>
            <w:pPr>
              <w:jc w:val="center"/>
              <w:rPr>
                <w:rFonts w:ascii="Times New Roman" w:hAnsi="Times New Roman" w:eastAsia="宋体" w:cs="Times New Roman"/>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keepNext w:val="0"/>
              <w:keepLines w:val="0"/>
              <w:widowControl/>
              <w:suppressLineNumbers w:val="0"/>
              <w:jc w:val="center"/>
              <w:textAlignment w:val="center"/>
              <w:rPr>
                <w:rFonts w:ascii="Times New Roman" w:hAnsi="Times New Roman" w:eastAsia="宋体" w:cs="Times New Roman"/>
                <w:b/>
                <w:sz w:val="21"/>
                <w:szCs w:val="21"/>
              </w:rPr>
            </w:pP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1"/>
                <w:szCs w:val="21"/>
              </w:rPr>
            </w:pPr>
          </w:p>
        </w:tc>
        <w:tc>
          <w:tcPr>
            <w:tcW w:w="2540" w:type="dxa"/>
          </w:tcPr>
          <w:p>
            <w:pPr>
              <w:jc w:val="center"/>
              <w:rPr>
                <w:rFonts w:ascii="Times New Roman" w:hAnsi="Times New Roman" w:eastAsia="宋体" w:cs="Times New Roman"/>
                <w:b/>
                <w:sz w:val="21"/>
                <w:szCs w:val="21"/>
              </w:rPr>
            </w:pPr>
          </w:p>
        </w:tc>
        <w:tc>
          <w:tcPr>
            <w:tcW w:w="1292" w:type="dxa"/>
          </w:tcPr>
          <w:p>
            <w:pPr>
              <w:jc w:val="center"/>
              <w:rPr>
                <w:rFonts w:ascii="Times New Roman" w:hAnsi="Times New Roman" w:eastAsia="宋体" w:cs="Times New Roman"/>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keepNext w:val="0"/>
              <w:keepLines w:val="0"/>
              <w:widowControl/>
              <w:suppressLineNumbers w:val="0"/>
              <w:jc w:val="center"/>
              <w:textAlignment w:val="center"/>
              <w:rPr>
                <w:rFonts w:hint="eastAsia" w:ascii="宋体" w:hAnsi="宋体" w:cs="宋体"/>
                <w:sz w:val="21"/>
                <w:szCs w:val="21"/>
              </w:rPr>
            </w:pPr>
            <w:r>
              <w:rPr>
                <w:rFonts w:hint="eastAsia" w:ascii="宋体" w:hAnsi="宋体" w:eastAsia="宋体" w:cs="宋体"/>
                <w:b/>
                <w:bCs/>
                <w:i w:val="0"/>
                <w:iCs w:val="0"/>
                <w:color w:val="000000"/>
                <w:kern w:val="0"/>
                <w:sz w:val="21"/>
                <w:szCs w:val="21"/>
                <w:u w:val="none"/>
                <w:lang w:val="en-US" w:eastAsia="zh-CN" w:bidi="ar"/>
              </w:rPr>
              <w:t>一</w:t>
            </w:r>
          </w:p>
        </w:tc>
        <w:tc>
          <w:tcPr>
            <w:tcW w:w="1500" w:type="dxa"/>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bidi="ar"/>
              </w:rPr>
            </w:pPr>
            <w:r>
              <w:rPr>
                <w:rFonts w:hint="eastAsia" w:ascii="宋体" w:hAnsi="宋体" w:eastAsia="宋体" w:cs="宋体"/>
                <w:b/>
                <w:bCs/>
                <w:i w:val="0"/>
                <w:iCs w:val="0"/>
                <w:color w:val="000000"/>
                <w:kern w:val="0"/>
                <w:sz w:val="21"/>
                <w:szCs w:val="21"/>
                <w:u w:val="none"/>
                <w:lang w:val="en-US" w:eastAsia="zh-CN" w:bidi="ar"/>
              </w:rPr>
              <w:t>直行定位仪</w:t>
            </w:r>
          </w:p>
        </w:tc>
        <w:tc>
          <w:tcPr>
            <w:tcW w:w="3150" w:type="dxa"/>
            <w:vAlign w:val="center"/>
          </w:tcPr>
          <w:p>
            <w:pPr>
              <w:widowControl/>
              <w:jc w:val="center"/>
              <w:textAlignment w:val="center"/>
              <w:rPr>
                <w:rFonts w:hint="eastAsia" w:ascii="宋体" w:hAnsi="宋体" w:eastAsia="宋体" w:cs="宋体"/>
                <w:sz w:val="21"/>
                <w:szCs w:val="21"/>
              </w:rPr>
            </w:pPr>
          </w:p>
        </w:tc>
        <w:tc>
          <w:tcPr>
            <w:tcW w:w="630" w:type="dxa"/>
            <w:vAlign w:val="center"/>
          </w:tcPr>
          <w:p>
            <w:pPr>
              <w:widowControl/>
              <w:jc w:val="center"/>
              <w:textAlignment w:val="center"/>
              <w:rPr>
                <w:rFonts w:hint="eastAsia" w:ascii="宋体" w:hAnsi="宋体" w:eastAsia="宋体" w:cs="宋体"/>
                <w:sz w:val="21"/>
                <w:szCs w:val="21"/>
              </w:rPr>
            </w:pPr>
          </w:p>
        </w:tc>
        <w:tc>
          <w:tcPr>
            <w:tcW w:w="645" w:type="dxa"/>
            <w:vAlign w:val="center"/>
          </w:tcPr>
          <w:p>
            <w:pPr>
              <w:widowControl/>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1320" w:type="dxa"/>
            <w:tcBorders>
              <w:right w:val="single" w:color="000000" w:sz="4" w:space="0"/>
            </w:tcBorders>
          </w:tcPr>
          <w:p>
            <w:pPr>
              <w:jc w:val="left"/>
              <w:rPr>
                <w:rFonts w:hint="eastAsia" w:ascii="Arial"/>
                <w:sz w:val="21"/>
                <w:szCs w:val="21"/>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pPr>
              <w:keepNext w:val="0"/>
              <w:keepLines w:val="0"/>
              <w:widowControl/>
              <w:suppressLineNumbers w:val="0"/>
              <w:jc w:val="center"/>
              <w:textAlignment w:val="center"/>
              <w:rPr>
                <w:rFonts w:hint="eastAsia" w:ascii="宋体" w:hAnsi="宋体" w:cs="宋体"/>
                <w:sz w:val="21"/>
                <w:szCs w:val="21"/>
              </w:rPr>
            </w:pPr>
            <w:r>
              <w:rPr>
                <w:rFonts w:hint="eastAsia" w:ascii="宋体" w:hAnsi="宋体" w:eastAsia="宋体" w:cs="宋体"/>
                <w:b/>
                <w:bCs/>
                <w:i w:val="0"/>
                <w:iCs w:val="0"/>
                <w:color w:val="000000"/>
                <w:kern w:val="0"/>
                <w:sz w:val="21"/>
                <w:szCs w:val="21"/>
                <w:u w:val="none"/>
                <w:lang w:val="en-US" w:eastAsia="zh-CN" w:bidi="ar"/>
              </w:rPr>
              <w:t>1.1</w:t>
            </w:r>
          </w:p>
        </w:tc>
        <w:tc>
          <w:tcPr>
            <w:tcW w:w="1500" w:type="dxa"/>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bidi="ar"/>
              </w:rPr>
            </w:pPr>
            <w:r>
              <w:rPr>
                <w:rFonts w:hint="eastAsia" w:ascii="宋体" w:hAnsi="宋体" w:eastAsia="宋体" w:cs="宋体"/>
                <w:i w:val="0"/>
                <w:iCs w:val="0"/>
                <w:color w:val="000000"/>
                <w:kern w:val="0"/>
                <w:sz w:val="21"/>
                <w:szCs w:val="21"/>
                <w:u w:val="none"/>
                <w:lang w:val="en-US" w:eastAsia="zh-CN" w:bidi="ar"/>
              </w:rPr>
              <w:t>磁性夹具</w:t>
            </w:r>
          </w:p>
        </w:tc>
        <w:tc>
          <w:tcPr>
            <w:tcW w:w="31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Times New Roman"/>
                <w:b/>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测量时安装与轮毂端面（分度圆Φ335mm</w:t>
            </w:r>
          </w:p>
        </w:tc>
        <w:tc>
          <w:tcPr>
            <w:tcW w:w="630" w:type="dxa"/>
            <w:vAlign w:val="center"/>
          </w:tcPr>
          <w:p>
            <w:pPr>
              <w:widowControl/>
              <w:jc w:val="center"/>
              <w:textAlignment w:val="center"/>
              <w:rPr>
                <w:rFonts w:hint="eastAsia" w:ascii="宋体" w:hAnsi="宋体" w:eastAsia="宋体"/>
                <w:sz w:val="21"/>
                <w:szCs w:val="21"/>
              </w:rPr>
            </w:pPr>
          </w:p>
        </w:tc>
        <w:tc>
          <w:tcPr>
            <w:tcW w:w="645" w:type="dxa"/>
            <w:vAlign w:val="center"/>
          </w:tcPr>
          <w:p>
            <w:pPr>
              <w:widowControl/>
              <w:jc w:val="center"/>
              <w:textAlignment w:val="center"/>
              <w:rPr>
                <w:rFonts w:hint="eastAsia" w:ascii="宋体" w:hAnsi="宋体" w:eastAsia="宋体"/>
                <w:sz w:val="21"/>
                <w:szCs w:val="21"/>
                <w:lang w:val="en-US" w:eastAsia="zh-CN"/>
              </w:rPr>
            </w:pPr>
            <w:r>
              <w:rPr>
                <w:rFonts w:hint="eastAsia" w:ascii="宋体" w:hAnsi="宋体" w:eastAsia="宋体"/>
                <w:sz w:val="21"/>
                <w:szCs w:val="21"/>
                <w:lang w:val="en-US" w:eastAsia="zh-CN"/>
              </w:rPr>
              <w:t>2</w:t>
            </w:r>
          </w:p>
        </w:tc>
        <w:tc>
          <w:tcPr>
            <w:tcW w:w="1320" w:type="dxa"/>
            <w:tcBorders>
              <w:right w:val="single" w:color="000000" w:sz="4" w:space="0"/>
            </w:tcBorders>
            <w:vAlign w:val="center"/>
          </w:tcPr>
          <w:p>
            <w:pPr>
              <w:keepNext w:val="0"/>
              <w:keepLines w:val="0"/>
              <w:widowControl/>
              <w:suppressLineNumbers w:val="0"/>
              <w:jc w:val="center"/>
              <w:textAlignment w:val="center"/>
              <w:rPr>
                <w:rFonts w:hint="eastAsia" w:ascii="Arial"/>
                <w:sz w:val="21"/>
                <w:szCs w:val="21"/>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pPr>
              <w:keepNext w:val="0"/>
              <w:keepLines w:val="0"/>
              <w:widowControl/>
              <w:suppressLineNumbers w:val="0"/>
              <w:jc w:val="center"/>
              <w:textAlignment w:val="center"/>
              <w:rPr>
                <w:rFonts w:hint="eastAsia" w:ascii="宋体" w:hAnsi="宋体" w:cs="宋体"/>
                <w:sz w:val="21"/>
                <w:szCs w:val="21"/>
              </w:rPr>
            </w:pPr>
            <w:r>
              <w:rPr>
                <w:rFonts w:hint="eastAsia" w:ascii="宋体" w:hAnsi="宋体" w:eastAsia="宋体" w:cs="宋体"/>
                <w:b/>
                <w:bCs/>
                <w:i w:val="0"/>
                <w:iCs w:val="0"/>
                <w:color w:val="000000"/>
                <w:kern w:val="0"/>
                <w:sz w:val="21"/>
                <w:szCs w:val="21"/>
                <w:u w:val="none"/>
                <w:lang w:val="en-US" w:eastAsia="zh-CN" w:bidi="ar"/>
              </w:rPr>
              <w:t>1.2</w:t>
            </w:r>
          </w:p>
        </w:tc>
        <w:tc>
          <w:tcPr>
            <w:tcW w:w="1500" w:type="dxa"/>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bidi="ar"/>
              </w:rPr>
            </w:pPr>
            <w:r>
              <w:rPr>
                <w:rFonts w:hint="eastAsia" w:ascii="宋体" w:hAnsi="宋体" w:eastAsia="宋体" w:cs="宋体"/>
                <w:i w:val="0"/>
                <w:iCs w:val="0"/>
                <w:color w:val="000000"/>
                <w:kern w:val="0"/>
                <w:sz w:val="21"/>
                <w:szCs w:val="21"/>
                <w:u w:val="none"/>
                <w:lang w:val="en-US" w:eastAsia="zh-CN" w:bidi="ar"/>
              </w:rPr>
              <w:t>激光发射器</w:t>
            </w:r>
          </w:p>
        </w:tc>
        <w:tc>
          <w:tcPr>
            <w:tcW w:w="31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Times New Roman"/>
                <w:b/>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安装在磁性夹具上用于测量</w:t>
            </w:r>
          </w:p>
        </w:tc>
        <w:tc>
          <w:tcPr>
            <w:tcW w:w="630" w:type="dxa"/>
            <w:vAlign w:val="center"/>
          </w:tcPr>
          <w:p>
            <w:pPr>
              <w:widowControl/>
              <w:jc w:val="center"/>
              <w:textAlignment w:val="center"/>
              <w:rPr>
                <w:rFonts w:hint="eastAsia" w:ascii="宋体" w:hAnsi="宋体" w:eastAsia="宋体"/>
                <w:sz w:val="21"/>
                <w:szCs w:val="21"/>
              </w:rPr>
            </w:pPr>
          </w:p>
        </w:tc>
        <w:tc>
          <w:tcPr>
            <w:tcW w:w="645" w:type="dxa"/>
            <w:vAlign w:val="center"/>
          </w:tcPr>
          <w:p>
            <w:pPr>
              <w:widowControl/>
              <w:jc w:val="center"/>
              <w:textAlignment w:val="center"/>
              <w:rPr>
                <w:rFonts w:hint="eastAsia" w:ascii="宋体" w:hAnsi="宋体" w:eastAsia="宋体"/>
                <w:sz w:val="21"/>
                <w:szCs w:val="21"/>
                <w:lang w:val="en-US" w:eastAsia="zh-CN"/>
              </w:rPr>
            </w:pPr>
            <w:r>
              <w:rPr>
                <w:rFonts w:hint="eastAsia" w:ascii="宋体" w:hAnsi="宋体" w:eastAsia="宋体"/>
                <w:sz w:val="21"/>
                <w:szCs w:val="21"/>
                <w:lang w:val="en-US" w:eastAsia="zh-CN"/>
              </w:rPr>
              <w:t>2</w:t>
            </w:r>
          </w:p>
        </w:tc>
        <w:tc>
          <w:tcPr>
            <w:tcW w:w="1320" w:type="dxa"/>
            <w:tcBorders>
              <w:right w:val="single" w:color="000000" w:sz="4" w:space="0"/>
            </w:tcBorders>
            <w:vAlign w:val="center"/>
          </w:tcPr>
          <w:p>
            <w:pPr>
              <w:keepNext w:val="0"/>
              <w:keepLines w:val="0"/>
              <w:widowControl/>
              <w:suppressLineNumbers w:val="0"/>
              <w:jc w:val="center"/>
              <w:textAlignment w:val="center"/>
              <w:rPr>
                <w:rFonts w:hint="eastAsia" w:ascii="Arial"/>
                <w:sz w:val="21"/>
                <w:szCs w:val="21"/>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keepNext w:val="0"/>
              <w:keepLines w:val="0"/>
              <w:widowControl/>
              <w:suppressLineNumbers w:val="0"/>
              <w:jc w:val="center"/>
              <w:textAlignment w:val="center"/>
              <w:rPr>
                <w:rFonts w:hint="eastAsia" w:ascii="宋体" w:hAnsi="宋体" w:cs="宋体"/>
                <w:sz w:val="21"/>
                <w:szCs w:val="21"/>
              </w:rPr>
            </w:pPr>
            <w:r>
              <w:rPr>
                <w:rFonts w:hint="eastAsia" w:ascii="宋体" w:hAnsi="宋体" w:eastAsia="宋体" w:cs="宋体"/>
                <w:b/>
                <w:bCs/>
                <w:i w:val="0"/>
                <w:iCs w:val="0"/>
                <w:color w:val="000000"/>
                <w:kern w:val="0"/>
                <w:sz w:val="21"/>
                <w:szCs w:val="21"/>
                <w:u w:val="none"/>
                <w:lang w:val="en-US" w:eastAsia="zh-CN" w:bidi="ar"/>
              </w:rPr>
              <w:t>1.3</w:t>
            </w:r>
          </w:p>
        </w:tc>
        <w:tc>
          <w:tcPr>
            <w:tcW w:w="1500" w:type="dxa"/>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bidi="ar"/>
              </w:rPr>
            </w:pPr>
            <w:r>
              <w:rPr>
                <w:rFonts w:hint="eastAsia" w:ascii="宋体" w:hAnsi="宋体" w:eastAsia="宋体" w:cs="宋体"/>
                <w:i w:val="0"/>
                <w:iCs w:val="0"/>
                <w:color w:val="000000"/>
                <w:kern w:val="0"/>
                <w:sz w:val="21"/>
                <w:szCs w:val="21"/>
                <w:u w:val="none"/>
                <w:lang w:val="en-US" w:eastAsia="zh-CN" w:bidi="ar"/>
              </w:rPr>
              <w:t>接收标靶</w:t>
            </w:r>
          </w:p>
        </w:tc>
        <w:tc>
          <w:tcPr>
            <w:tcW w:w="31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Times New Roman"/>
                <w:b/>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与激光发射器为配套使用</w:t>
            </w:r>
          </w:p>
        </w:tc>
        <w:tc>
          <w:tcPr>
            <w:tcW w:w="630" w:type="dxa"/>
            <w:vAlign w:val="center"/>
          </w:tcPr>
          <w:p>
            <w:pPr>
              <w:widowControl/>
              <w:jc w:val="center"/>
              <w:textAlignment w:val="center"/>
              <w:rPr>
                <w:rFonts w:hint="eastAsia" w:ascii="宋体" w:hAnsi="宋体" w:eastAsia="宋体"/>
                <w:sz w:val="21"/>
                <w:szCs w:val="21"/>
              </w:rPr>
            </w:pPr>
          </w:p>
        </w:tc>
        <w:tc>
          <w:tcPr>
            <w:tcW w:w="645" w:type="dxa"/>
            <w:vAlign w:val="center"/>
          </w:tcPr>
          <w:p>
            <w:pPr>
              <w:widowControl/>
              <w:jc w:val="center"/>
              <w:textAlignment w:val="center"/>
              <w:rPr>
                <w:rFonts w:hint="eastAsia" w:ascii="宋体" w:hAnsi="宋体" w:eastAsia="宋体"/>
                <w:sz w:val="21"/>
                <w:szCs w:val="21"/>
                <w:lang w:val="en-US" w:eastAsia="zh-CN"/>
              </w:rPr>
            </w:pPr>
            <w:r>
              <w:rPr>
                <w:rFonts w:hint="eastAsia" w:ascii="宋体" w:hAnsi="宋体" w:eastAsia="宋体"/>
                <w:sz w:val="21"/>
                <w:szCs w:val="21"/>
                <w:lang w:val="en-US" w:eastAsia="zh-CN"/>
              </w:rPr>
              <w:t>2</w:t>
            </w:r>
          </w:p>
        </w:tc>
        <w:tc>
          <w:tcPr>
            <w:tcW w:w="1320" w:type="dxa"/>
            <w:tcBorders>
              <w:right w:val="single" w:color="000000" w:sz="4" w:space="0"/>
            </w:tcBorders>
            <w:vAlign w:val="center"/>
          </w:tcPr>
          <w:p>
            <w:pPr>
              <w:keepNext w:val="0"/>
              <w:keepLines w:val="0"/>
              <w:widowControl/>
              <w:suppressLineNumbers w:val="0"/>
              <w:jc w:val="center"/>
              <w:textAlignment w:val="center"/>
              <w:rPr>
                <w:rFonts w:hint="eastAsia" w:ascii="Arial"/>
                <w:sz w:val="21"/>
                <w:szCs w:val="21"/>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keepNext w:val="0"/>
              <w:keepLines w:val="0"/>
              <w:widowControl/>
              <w:suppressLineNumbers w:val="0"/>
              <w:jc w:val="center"/>
              <w:textAlignment w:val="center"/>
              <w:rPr>
                <w:rFonts w:hint="eastAsia" w:ascii="宋体" w:hAnsi="宋体" w:cs="宋体"/>
                <w:sz w:val="21"/>
                <w:szCs w:val="21"/>
              </w:rPr>
            </w:pPr>
            <w:r>
              <w:rPr>
                <w:rFonts w:hint="eastAsia" w:ascii="宋体" w:hAnsi="宋体" w:eastAsia="宋体" w:cs="宋体"/>
                <w:b/>
                <w:bCs/>
                <w:i w:val="0"/>
                <w:iCs w:val="0"/>
                <w:color w:val="000000"/>
                <w:kern w:val="0"/>
                <w:sz w:val="21"/>
                <w:szCs w:val="21"/>
                <w:u w:val="none"/>
                <w:lang w:val="en-US" w:eastAsia="zh-CN" w:bidi="ar"/>
              </w:rPr>
              <w:t>1.4</w:t>
            </w:r>
          </w:p>
        </w:tc>
        <w:tc>
          <w:tcPr>
            <w:tcW w:w="1500" w:type="dxa"/>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bidi="ar"/>
              </w:rPr>
            </w:pPr>
            <w:r>
              <w:rPr>
                <w:rFonts w:hint="eastAsia" w:ascii="宋体" w:hAnsi="宋体" w:eastAsia="宋体" w:cs="宋体"/>
                <w:i w:val="0"/>
                <w:iCs w:val="0"/>
                <w:color w:val="000000"/>
                <w:kern w:val="0"/>
                <w:sz w:val="21"/>
                <w:szCs w:val="21"/>
                <w:u w:val="none"/>
                <w:lang w:val="en-US" w:eastAsia="zh-CN" w:bidi="ar"/>
              </w:rPr>
              <w:t>校准标靶</w:t>
            </w:r>
          </w:p>
        </w:tc>
        <w:tc>
          <w:tcPr>
            <w:tcW w:w="31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Times New Roman"/>
                <w:b/>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用于校准激光发射器</w:t>
            </w:r>
          </w:p>
        </w:tc>
        <w:tc>
          <w:tcPr>
            <w:tcW w:w="630" w:type="dxa"/>
            <w:vAlign w:val="center"/>
          </w:tcPr>
          <w:p>
            <w:pPr>
              <w:widowControl/>
              <w:jc w:val="center"/>
              <w:textAlignment w:val="center"/>
              <w:rPr>
                <w:rFonts w:hint="eastAsia" w:ascii="宋体" w:hAnsi="宋体" w:eastAsia="宋体"/>
                <w:sz w:val="21"/>
                <w:szCs w:val="21"/>
              </w:rPr>
            </w:pPr>
          </w:p>
        </w:tc>
        <w:tc>
          <w:tcPr>
            <w:tcW w:w="645" w:type="dxa"/>
            <w:vAlign w:val="center"/>
          </w:tcPr>
          <w:p>
            <w:pPr>
              <w:widowControl/>
              <w:jc w:val="center"/>
              <w:textAlignment w:val="center"/>
              <w:rPr>
                <w:rFonts w:hint="eastAsia" w:ascii="宋体" w:hAnsi="宋体" w:eastAsia="宋体"/>
                <w:sz w:val="21"/>
                <w:szCs w:val="21"/>
                <w:lang w:val="en-US" w:eastAsia="zh-CN"/>
              </w:rPr>
            </w:pPr>
            <w:r>
              <w:rPr>
                <w:rFonts w:hint="eastAsia" w:ascii="宋体" w:hAnsi="宋体" w:eastAsia="宋体"/>
                <w:sz w:val="21"/>
                <w:szCs w:val="21"/>
                <w:lang w:val="en-US" w:eastAsia="zh-CN"/>
              </w:rPr>
              <w:t>1</w:t>
            </w:r>
          </w:p>
        </w:tc>
        <w:tc>
          <w:tcPr>
            <w:tcW w:w="1320" w:type="dxa"/>
            <w:tcBorders>
              <w:right w:val="single" w:color="000000" w:sz="4" w:space="0"/>
            </w:tcBorders>
            <w:vAlign w:val="center"/>
          </w:tcPr>
          <w:p>
            <w:pPr>
              <w:keepNext w:val="0"/>
              <w:keepLines w:val="0"/>
              <w:widowControl/>
              <w:suppressLineNumbers w:val="0"/>
              <w:jc w:val="center"/>
              <w:textAlignment w:val="center"/>
              <w:rPr>
                <w:rFonts w:hint="eastAsia" w:ascii="Arial"/>
                <w:sz w:val="21"/>
                <w:szCs w:val="21"/>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w:t>
      </w:r>
      <w:r>
        <w:rPr>
          <w:rFonts w:hint="eastAsia" w:ascii="宋体" w:hAnsi="宋体" w:eastAsia="宋体" w:cs="Times New Roman"/>
          <w:b/>
          <w:bCs/>
          <w:sz w:val="24"/>
          <w:szCs w:val="20"/>
          <w:highlight w:val="none"/>
          <w:lang w:val="en-US" w:eastAsia="zh-CN"/>
        </w:rPr>
        <w:t>特种车</w:t>
      </w:r>
      <w:r>
        <w:rPr>
          <w:rFonts w:hint="eastAsia" w:ascii="宋体" w:hAnsi="宋体" w:eastAsia="宋体" w:cs="Times New Roman"/>
          <w:b/>
          <w:bCs/>
          <w:sz w:val="24"/>
          <w:szCs w:val="20"/>
          <w:highlight w:val="none"/>
        </w:rPr>
        <w:t>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2"/>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8"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36"/>
        <w:gridCol w:w="1656"/>
        <w:gridCol w:w="2422"/>
        <w:gridCol w:w="891"/>
        <w:gridCol w:w="793"/>
        <w:gridCol w:w="2029"/>
        <w:gridCol w:w="1637"/>
        <w:gridCol w:w="2971"/>
        <w:gridCol w:w="67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4"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1"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82"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0"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82"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0"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4" w:type="pct"/>
            <w:vAlign w:val="center"/>
          </w:tcPr>
          <w:p>
            <w:pPr>
              <w:keepNext w:val="0"/>
              <w:keepLines w:val="0"/>
              <w:widowControl/>
              <w:suppressLineNumbers w:val="0"/>
              <w:jc w:val="center"/>
              <w:textAlignment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b/>
                <w:bCs/>
                <w:i w:val="0"/>
                <w:iCs w:val="0"/>
                <w:color w:val="000000"/>
                <w:kern w:val="0"/>
                <w:sz w:val="24"/>
                <w:szCs w:val="24"/>
                <w:u w:val="none"/>
                <w:lang w:val="en-US" w:eastAsia="zh-CN" w:bidi="ar"/>
              </w:rPr>
              <w:t>一</w:t>
            </w:r>
          </w:p>
        </w:tc>
        <w:tc>
          <w:tcPr>
            <w:tcW w:w="591" w:type="pct"/>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b/>
                <w:bCs/>
                <w:i w:val="0"/>
                <w:iCs w:val="0"/>
                <w:color w:val="000000"/>
                <w:kern w:val="0"/>
                <w:sz w:val="24"/>
                <w:szCs w:val="24"/>
                <w:u w:val="none"/>
                <w:lang w:val="en-US" w:eastAsia="zh-CN" w:bidi="ar"/>
              </w:rPr>
              <w:t>直行定位仪</w:t>
            </w: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cs="宋体"/>
                <w:sz w:val="24"/>
                <w:szCs w:val="24"/>
              </w:rPr>
            </w:pPr>
          </w:p>
        </w:tc>
        <w:tc>
          <w:tcPr>
            <w:tcW w:w="283" w:type="pct"/>
            <w:vAlign w:val="center"/>
          </w:tcPr>
          <w:p>
            <w:pPr>
              <w:widowControl/>
              <w:jc w:val="center"/>
              <w:textAlignment w:val="center"/>
              <w:rPr>
                <w:rFonts w:hint="eastAsia" w:ascii="宋体" w:hAnsi="宋体" w:eastAsia="宋体" w:cs="宋体"/>
                <w:sz w:val="24"/>
                <w:szCs w:val="24"/>
              </w:rPr>
            </w:pPr>
          </w:p>
        </w:tc>
        <w:tc>
          <w:tcPr>
            <w:tcW w:w="724" w:type="pct"/>
          </w:tcPr>
          <w:p>
            <w:pPr>
              <w:jc w:val="center"/>
              <w:rPr>
                <w:rFonts w:hint="eastAsia" w:ascii="Arial"/>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4" w:type="pct"/>
            <w:vAlign w:val="center"/>
          </w:tcPr>
          <w:p>
            <w:pPr>
              <w:keepNext w:val="0"/>
              <w:keepLines w:val="0"/>
              <w:widowControl/>
              <w:suppressLineNumbers w:val="0"/>
              <w:jc w:val="center"/>
              <w:textAlignment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b/>
                <w:bCs/>
                <w:i w:val="0"/>
                <w:iCs w:val="0"/>
                <w:color w:val="000000"/>
                <w:kern w:val="0"/>
                <w:sz w:val="24"/>
                <w:szCs w:val="24"/>
                <w:u w:val="none"/>
                <w:lang w:val="en-US" w:eastAsia="zh-CN" w:bidi="ar"/>
              </w:rPr>
              <w:t>1.1</w:t>
            </w:r>
          </w:p>
        </w:tc>
        <w:tc>
          <w:tcPr>
            <w:tcW w:w="591" w:type="pct"/>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磁性夹具</w:t>
            </w:r>
          </w:p>
        </w:tc>
        <w:tc>
          <w:tcPr>
            <w:tcW w:w="864" w:type="pct"/>
            <w:shd w:val="clear" w:color="auto" w:fill="auto"/>
            <w:vAlign w:val="center"/>
          </w:tcPr>
          <w:p>
            <w:pPr>
              <w:keepNext w:val="0"/>
              <w:keepLines w:val="0"/>
              <w:widowControl/>
              <w:suppressLineNumbers w:val="0"/>
              <w:jc w:val="center"/>
              <w:textAlignment w:val="center"/>
              <w:rPr>
                <w:rFonts w:hint="eastAsia" w:ascii="Times New Roman" w:hAnsi="Times New Roman" w:eastAsia="宋体" w:cs="Times New Roman"/>
                <w:b/>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测量时安装与轮毂端面（分度圆Φ335mm</w:t>
            </w:r>
          </w:p>
        </w:tc>
        <w:tc>
          <w:tcPr>
            <w:tcW w:w="318" w:type="pct"/>
            <w:vAlign w:val="center"/>
          </w:tcPr>
          <w:p>
            <w:pPr>
              <w:widowControl/>
              <w:jc w:val="center"/>
              <w:textAlignment w:val="center"/>
              <w:rPr>
                <w:rFonts w:hint="eastAsia" w:ascii="宋体" w:hAnsi="宋体" w:eastAsia="宋体"/>
                <w:sz w:val="24"/>
                <w:szCs w:val="24"/>
              </w:rPr>
            </w:pPr>
          </w:p>
        </w:tc>
        <w:tc>
          <w:tcPr>
            <w:tcW w:w="283" w:type="pct"/>
            <w:vAlign w:val="center"/>
          </w:tcPr>
          <w:p>
            <w:pPr>
              <w:keepNext w:val="0"/>
              <w:keepLines w:val="0"/>
              <w:widowControl/>
              <w:suppressLineNumbers w:val="0"/>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2</w:t>
            </w:r>
          </w:p>
        </w:tc>
        <w:tc>
          <w:tcPr>
            <w:tcW w:w="724" w:type="pct"/>
          </w:tcPr>
          <w:p>
            <w:pPr>
              <w:jc w:val="center"/>
              <w:rPr>
                <w:rFonts w:hint="eastAsia" w:ascii="Arial"/>
                <w:sz w:val="24"/>
                <w:szCs w:val="24"/>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4" w:type="pct"/>
            <w:vAlign w:val="center"/>
          </w:tcPr>
          <w:p>
            <w:pPr>
              <w:keepNext w:val="0"/>
              <w:keepLines w:val="0"/>
              <w:widowControl/>
              <w:suppressLineNumbers w:val="0"/>
              <w:jc w:val="center"/>
              <w:textAlignment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b/>
                <w:bCs/>
                <w:i w:val="0"/>
                <w:iCs w:val="0"/>
                <w:color w:val="000000"/>
                <w:kern w:val="0"/>
                <w:sz w:val="24"/>
                <w:szCs w:val="24"/>
                <w:u w:val="none"/>
                <w:lang w:val="en-US" w:eastAsia="zh-CN" w:bidi="ar"/>
              </w:rPr>
              <w:t>1.2</w:t>
            </w:r>
          </w:p>
        </w:tc>
        <w:tc>
          <w:tcPr>
            <w:tcW w:w="591" w:type="pct"/>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激光发射器</w:t>
            </w:r>
          </w:p>
        </w:tc>
        <w:tc>
          <w:tcPr>
            <w:tcW w:w="864" w:type="pct"/>
            <w:shd w:val="clear" w:color="auto" w:fill="auto"/>
            <w:vAlign w:val="center"/>
          </w:tcPr>
          <w:p>
            <w:pPr>
              <w:keepNext w:val="0"/>
              <w:keepLines w:val="0"/>
              <w:widowControl/>
              <w:suppressLineNumbers w:val="0"/>
              <w:jc w:val="center"/>
              <w:textAlignment w:val="center"/>
              <w:rPr>
                <w:rFonts w:hint="eastAsia" w:ascii="Times New Roman" w:hAnsi="Times New Roman" w:eastAsia="宋体" w:cs="Times New Roman"/>
                <w:b/>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安装在磁性夹具上用于测量</w:t>
            </w:r>
          </w:p>
        </w:tc>
        <w:tc>
          <w:tcPr>
            <w:tcW w:w="318" w:type="pct"/>
            <w:vAlign w:val="center"/>
          </w:tcPr>
          <w:p>
            <w:pPr>
              <w:widowControl/>
              <w:jc w:val="center"/>
              <w:textAlignment w:val="center"/>
              <w:rPr>
                <w:rFonts w:hint="eastAsia" w:ascii="宋体" w:hAnsi="宋体" w:eastAsia="宋体"/>
                <w:sz w:val="24"/>
                <w:szCs w:val="24"/>
              </w:rPr>
            </w:pPr>
          </w:p>
        </w:tc>
        <w:tc>
          <w:tcPr>
            <w:tcW w:w="283" w:type="pct"/>
            <w:vAlign w:val="center"/>
          </w:tcPr>
          <w:p>
            <w:pPr>
              <w:keepNext w:val="0"/>
              <w:keepLines w:val="0"/>
              <w:widowControl/>
              <w:suppressLineNumbers w:val="0"/>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2</w:t>
            </w:r>
          </w:p>
        </w:tc>
        <w:tc>
          <w:tcPr>
            <w:tcW w:w="724" w:type="pct"/>
          </w:tcPr>
          <w:p>
            <w:pPr>
              <w:jc w:val="center"/>
              <w:rPr>
                <w:rFonts w:hint="eastAsia" w:ascii="Arial"/>
                <w:sz w:val="24"/>
                <w:szCs w:val="24"/>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4" w:type="pct"/>
            <w:vAlign w:val="center"/>
          </w:tcPr>
          <w:p>
            <w:pPr>
              <w:keepNext w:val="0"/>
              <w:keepLines w:val="0"/>
              <w:widowControl/>
              <w:suppressLineNumbers w:val="0"/>
              <w:jc w:val="center"/>
              <w:textAlignment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b/>
                <w:bCs/>
                <w:i w:val="0"/>
                <w:iCs w:val="0"/>
                <w:color w:val="000000"/>
                <w:kern w:val="0"/>
                <w:sz w:val="24"/>
                <w:szCs w:val="24"/>
                <w:u w:val="none"/>
                <w:lang w:val="en-US" w:eastAsia="zh-CN" w:bidi="ar"/>
              </w:rPr>
              <w:t>1.3</w:t>
            </w:r>
          </w:p>
        </w:tc>
        <w:tc>
          <w:tcPr>
            <w:tcW w:w="591" w:type="pct"/>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接收标靶</w:t>
            </w:r>
          </w:p>
        </w:tc>
        <w:tc>
          <w:tcPr>
            <w:tcW w:w="864" w:type="pct"/>
            <w:shd w:val="clear" w:color="auto" w:fill="auto"/>
            <w:vAlign w:val="center"/>
          </w:tcPr>
          <w:p>
            <w:pPr>
              <w:keepNext w:val="0"/>
              <w:keepLines w:val="0"/>
              <w:widowControl/>
              <w:suppressLineNumbers w:val="0"/>
              <w:jc w:val="center"/>
              <w:textAlignment w:val="center"/>
              <w:rPr>
                <w:rFonts w:hint="eastAsia" w:ascii="Times New Roman" w:hAnsi="Times New Roman" w:eastAsia="宋体" w:cs="Times New Roman"/>
                <w:b/>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与激光发射器为配套使用</w:t>
            </w:r>
          </w:p>
        </w:tc>
        <w:tc>
          <w:tcPr>
            <w:tcW w:w="318" w:type="pct"/>
            <w:vAlign w:val="center"/>
          </w:tcPr>
          <w:p>
            <w:pPr>
              <w:widowControl/>
              <w:jc w:val="center"/>
              <w:textAlignment w:val="center"/>
              <w:rPr>
                <w:rFonts w:hint="eastAsia" w:ascii="宋体" w:hAnsi="宋体" w:eastAsia="宋体"/>
                <w:sz w:val="24"/>
                <w:szCs w:val="24"/>
              </w:rPr>
            </w:pPr>
          </w:p>
        </w:tc>
        <w:tc>
          <w:tcPr>
            <w:tcW w:w="283" w:type="pct"/>
            <w:vAlign w:val="center"/>
          </w:tcPr>
          <w:p>
            <w:pPr>
              <w:keepNext w:val="0"/>
              <w:keepLines w:val="0"/>
              <w:widowControl/>
              <w:suppressLineNumbers w:val="0"/>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2</w:t>
            </w:r>
          </w:p>
        </w:tc>
        <w:tc>
          <w:tcPr>
            <w:tcW w:w="724" w:type="pct"/>
          </w:tcPr>
          <w:p>
            <w:pPr>
              <w:jc w:val="center"/>
              <w:rPr>
                <w:rFonts w:hint="eastAsia" w:ascii="Arial"/>
                <w:sz w:val="24"/>
                <w:szCs w:val="24"/>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4" w:type="pct"/>
            <w:vAlign w:val="center"/>
          </w:tcPr>
          <w:p>
            <w:pPr>
              <w:keepNext w:val="0"/>
              <w:keepLines w:val="0"/>
              <w:widowControl/>
              <w:suppressLineNumbers w:val="0"/>
              <w:jc w:val="center"/>
              <w:textAlignment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b/>
                <w:bCs/>
                <w:i w:val="0"/>
                <w:iCs w:val="0"/>
                <w:color w:val="000000"/>
                <w:kern w:val="0"/>
                <w:sz w:val="24"/>
                <w:szCs w:val="24"/>
                <w:u w:val="none"/>
                <w:lang w:val="en-US" w:eastAsia="zh-CN" w:bidi="ar"/>
              </w:rPr>
              <w:t>1.4</w:t>
            </w:r>
          </w:p>
        </w:tc>
        <w:tc>
          <w:tcPr>
            <w:tcW w:w="591" w:type="pct"/>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校准标靶</w:t>
            </w:r>
          </w:p>
        </w:tc>
        <w:tc>
          <w:tcPr>
            <w:tcW w:w="864" w:type="pct"/>
            <w:shd w:val="clear" w:color="auto" w:fill="auto"/>
            <w:vAlign w:val="center"/>
          </w:tcPr>
          <w:p>
            <w:pPr>
              <w:keepNext w:val="0"/>
              <w:keepLines w:val="0"/>
              <w:widowControl/>
              <w:suppressLineNumbers w:val="0"/>
              <w:jc w:val="center"/>
              <w:textAlignment w:val="center"/>
              <w:rPr>
                <w:rFonts w:hint="eastAsia" w:ascii="Times New Roman" w:hAnsi="Times New Roman" w:eastAsia="宋体" w:cs="Times New Roman"/>
                <w:b/>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用于校准激光发射器</w:t>
            </w:r>
          </w:p>
        </w:tc>
        <w:tc>
          <w:tcPr>
            <w:tcW w:w="318" w:type="pct"/>
            <w:vAlign w:val="center"/>
          </w:tcPr>
          <w:p>
            <w:pPr>
              <w:widowControl/>
              <w:jc w:val="center"/>
              <w:textAlignment w:val="center"/>
              <w:rPr>
                <w:rFonts w:hint="eastAsia" w:ascii="宋体" w:hAnsi="宋体" w:eastAsia="宋体"/>
                <w:sz w:val="24"/>
                <w:szCs w:val="24"/>
              </w:rPr>
            </w:pPr>
          </w:p>
        </w:tc>
        <w:tc>
          <w:tcPr>
            <w:tcW w:w="283" w:type="pct"/>
            <w:vAlign w:val="center"/>
          </w:tcPr>
          <w:p>
            <w:pPr>
              <w:keepNext w:val="0"/>
              <w:keepLines w:val="0"/>
              <w:widowControl/>
              <w:suppressLineNumbers w:val="0"/>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w:t>
            </w:r>
          </w:p>
        </w:tc>
        <w:tc>
          <w:tcPr>
            <w:tcW w:w="724" w:type="pct"/>
          </w:tcPr>
          <w:p>
            <w:pPr>
              <w:jc w:val="center"/>
              <w:rPr>
                <w:rFonts w:hint="eastAsia" w:ascii="Arial"/>
                <w:sz w:val="24"/>
                <w:szCs w:val="24"/>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4"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1"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4"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1"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4"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1"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4"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1"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4"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1"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4"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1"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4"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1"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4"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1"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82"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0"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0"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29"/>
        <w:rPr>
          <w:rFonts w:hint="eastAsia"/>
        </w:rPr>
        <w:sectPr>
          <w:footerReference r:id="rId25"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6"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2"/>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7"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8" w:type="default"/>
          <w:pgSz w:w="16841" w:h="11907"/>
          <w:pgMar w:top="400" w:right="1500" w:bottom="1184" w:left="1480"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2"/>
      </w:pPr>
    </w:p>
    <w:p>
      <w:pPr>
        <w:pStyle w:val="22"/>
      </w:pPr>
    </w:p>
    <w:p>
      <w:pPr>
        <w:spacing w:before="140" w:line="220" w:lineRule="auto"/>
        <w:ind w:left="2" w:firstLine="464" w:firstLineChars="200"/>
        <w:rPr>
          <w:rFonts w:hint="eastAsia" w:ascii="宋体" w:hAnsi="宋体" w:eastAsia="宋体" w:cs="宋体"/>
          <w:spacing w:val="-2"/>
          <w:szCs w:val="21"/>
        </w:rPr>
        <w:sectPr>
          <w:footerReference r:id="rId29"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30"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w:t>
      </w:r>
      <w:r>
        <w:rPr>
          <w:rFonts w:hint="eastAsia" w:ascii="宋体" w:hAnsi="宋体" w:eastAsia="宋体" w:cs="Times New Roman"/>
          <w:b/>
          <w:bCs/>
          <w:sz w:val="24"/>
          <w:szCs w:val="20"/>
          <w:highlight w:val="none"/>
          <w:lang w:val="en-US" w:eastAsia="zh-CN"/>
        </w:rPr>
        <w:t>特种车</w:t>
      </w:r>
      <w:r>
        <w:rPr>
          <w:rFonts w:hint="eastAsia" w:ascii="宋体" w:hAnsi="宋体" w:eastAsia="宋体" w:cs="Times New Roman"/>
          <w:b/>
          <w:bCs/>
          <w:sz w:val="24"/>
          <w:szCs w:val="20"/>
          <w:highlight w:val="none"/>
        </w:rPr>
        <w:t>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2"/>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2"/>
      </w:pPr>
    </w:p>
    <w:p>
      <w:pPr>
        <w:jc w:val="right"/>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rPr>
      </w:pPr>
      <w:r>
        <w:br w:type="page"/>
      </w:r>
    </w:p>
    <w:p>
      <w:pPr>
        <w:pStyle w:val="29"/>
        <w:rPr>
          <w:rFonts w:hint="eastAsia"/>
        </w:rPr>
        <w:sectPr>
          <w:headerReference r:id="rId32" w:type="first"/>
          <w:footerReference r:id="rId34" w:type="first"/>
          <w:headerReference r:id="rId31" w:type="default"/>
          <w:footerReference r:id="rId33" w:type="default"/>
          <w:pgSz w:w="11906" w:h="16838"/>
          <w:pgMar w:top="1588" w:right="1418" w:bottom="1134" w:left="1418" w:header="851" w:footer="992" w:gutter="0"/>
          <w:cols w:space="720" w:num="1"/>
          <w:titlePg/>
          <w:docGrid w:type="lines" w:linePitch="312" w:charSpace="0"/>
        </w:sectPr>
      </w:pPr>
    </w:p>
    <w:p>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40"/>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41"/>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42"/>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3"/>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2"/>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4"/>
                    <a:stretch>
                      <a:fillRect/>
                    </a:stretch>
                  </pic:blipFill>
                  <pic:spPr>
                    <a:xfrm>
                      <a:off x="0" y="0"/>
                      <a:ext cx="5760085" cy="2810122"/>
                    </a:xfrm>
                    <a:prstGeom prst="rect">
                      <a:avLst/>
                    </a:prstGeom>
                  </pic:spPr>
                </pic:pic>
              </a:graphicData>
            </a:graphic>
          </wp:inline>
        </w:drawing>
      </w:r>
    </w:p>
    <w:p>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5"/>
                    <a:stretch>
                      <a:fillRect/>
                    </a:stretch>
                  </pic:blipFill>
                  <pic:spPr>
                    <a:xfrm>
                      <a:off x="0" y="0"/>
                      <a:ext cx="5760085" cy="2820042"/>
                    </a:xfrm>
                    <a:prstGeom prst="rect">
                      <a:avLst/>
                    </a:prstGeom>
                  </pic:spPr>
                </pic:pic>
              </a:graphicData>
            </a:graphic>
          </wp:inline>
        </w:drawing>
      </w:r>
    </w:p>
    <w:p>
      <w:pPr>
        <w:pStyle w:val="2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6"/>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7"/>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8"/>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2"/>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9"/>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50"/>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51"/>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52"/>
                    <a:stretch>
                      <a:fillRect/>
                    </a:stretch>
                  </pic:blipFill>
                  <pic:spPr>
                    <a:xfrm>
                      <a:off x="0" y="0"/>
                      <a:ext cx="5760085" cy="1956600"/>
                    </a:xfrm>
                    <a:prstGeom prst="rect">
                      <a:avLst/>
                    </a:prstGeom>
                  </pic:spPr>
                </pic:pic>
              </a:graphicData>
            </a:graphic>
          </wp:inline>
        </w:drawing>
      </w:r>
    </w:p>
    <w:p>
      <w:pPr>
        <w:pStyle w:val="22"/>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pPr>
        <w:pStyle w:val="22"/>
        <w:outlineLvl w:val="2"/>
      </w:pPr>
      <w:r>
        <w:drawing>
          <wp:inline distT="0" distB="0" distL="114300" distR="114300">
            <wp:extent cx="5749290" cy="2501265"/>
            <wp:effectExtent l="0" t="0" r="3810" b="63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53"/>
                    <a:stretch>
                      <a:fillRect/>
                    </a:stretch>
                  </pic:blipFill>
                  <pic:spPr>
                    <a:xfrm>
                      <a:off x="0" y="0"/>
                      <a:ext cx="5749290" cy="2501265"/>
                    </a:xfrm>
                    <a:prstGeom prst="rect">
                      <a:avLst/>
                    </a:prstGeom>
                    <a:noFill/>
                    <a:ln>
                      <a:noFill/>
                    </a:ln>
                  </pic:spPr>
                </pic:pic>
              </a:graphicData>
            </a:graphic>
          </wp:inline>
        </w:drawing>
      </w:r>
    </w:p>
    <w:p>
      <w:pPr>
        <w:pStyle w:val="22"/>
        <w:outlineLvl w:val="2"/>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54"/>
                    <a:stretch>
                      <a:fillRect/>
                    </a:stretch>
                  </pic:blipFill>
                  <pic:spPr>
                    <a:xfrm>
                      <a:off x="0" y="0"/>
                      <a:ext cx="5746750" cy="3303270"/>
                    </a:xfrm>
                    <a:prstGeom prst="rect">
                      <a:avLst/>
                    </a:prstGeom>
                    <a:noFill/>
                    <a:ln>
                      <a:noFill/>
                    </a:ln>
                  </pic:spPr>
                </pic:pic>
              </a:graphicData>
            </a:graphic>
          </wp:inline>
        </w:drawing>
      </w:r>
    </w:p>
    <w:p>
      <w:pPr>
        <w:pStyle w:val="22"/>
        <w:outlineLvl w:val="2"/>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55"/>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56"/>
                    <a:stretch>
                      <a:fillRect/>
                    </a:stretch>
                  </pic:blipFill>
                  <pic:spPr>
                    <a:xfrm>
                      <a:off x="0" y="0"/>
                      <a:ext cx="5742940" cy="2925445"/>
                    </a:xfrm>
                    <a:prstGeom prst="rect">
                      <a:avLst/>
                    </a:prstGeom>
                    <a:noFill/>
                    <a:ln>
                      <a:noFill/>
                    </a:ln>
                  </pic:spPr>
                </pic:pic>
              </a:graphicData>
            </a:graphic>
          </wp:inline>
        </w:drawing>
      </w:r>
    </w:p>
    <w:p/>
    <w:p>
      <w:pPr>
        <w:rPr>
          <w:rFonts w:hint="eastAsia"/>
        </w:rPr>
      </w:pPr>
    </w:p>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6" w:type="first"/>
      <w:footerReference r:id="rId38" w:type="first"/>
      <w:headerReference r:id="rId35" w:type="default"/>
      <w:footerReference r:id="rId37"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华文仿宋">
    <w:altName w:val="仿宋"/>
    <w:panose1 w:val="02010600040101010101"/>
    <w:charset w:val="86"/>
    <w:family w:val="auto"/>
    <w:pitch w:val="default"/>
    <w:sig w:usb0="00000000" w:usb1="00000000" w:usb2="00000000" w:usb3="00000000" w:csb0="0004009F" w:csb1="DFD70000"/>
  </w:font>
  <w:font w:name="Cambria Math">
    <w:panose1 w:val="02040503050406030204"/>
    <w:charset w:val="00"/>
    <w:family w:val="roman"/>
    <w:pitch w:val="default"/>
    <w:sig w:usb0="E00006FF" w:usb1="420024FF" w:usb2="02000000" w:usb3="00000000" w:csb0="2000019F" w:csb1="00000000"/>
  </w:font>
  <w:font w:name="方正小标宋简体">
    <w:altName w:val="仿宋_GB2312"/>
    <w:panose1 w:val="02000000000000000000"/>
    <w:charset w:val="86"/>
    <w:family w:val="auto"/>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Wingdings">
    <w:panose1 w:val="05000000000000000000"/>
    <w:charset w:val="00"/>
    <w:family w:val="auto"/>
    <w:pitch w:val="default"/>
    <w:sig w:usb0="00000000" w:usb1="00000000" w:usb2="00000000" w:usb3="00000000" w:csb0="80000000" w:csb1="00000000"/>
  </w:font>
  <w:font w:name="楷体">
    <w:panose1 w:val="02010609060101010101"/>
    <w:charset w:val="86"/>
    <w:family w:val="auto"/>
    <w:pitch w:val="default"/>
    <w:sig w:usb0="800002BF" w:usb1="38CF7CFA" w:usb2="00000016" w:usb3="00000000" w:csb0="00040001" w:csb1="00000000"/>
  </w:font>
  <w:font w:name="Microsoft Sans Serif">
    <w:panose1 w:val="020B0604020202020204"/>
    <w:charset w:val="00"/>
    <w:family w:val="auto"/>
    <w:pitch w:val="default"/>
    <w:sig w:usb0="E5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rFonts w:hint="eastAsia"/>
      </w:rPr>
    </w:pPr>
  </w:p>
  <w:p>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73600"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27"/>
                            <w:jc w:val="right"/>
                          </w:pPr>
                          <w:r>
                            <w:rPr>
                              <w:rFonts w:hint="eastAsia"/>
                              <w:kern w:val="0"/>
                              <w:szCs w:val="21"/>
                            </w:rPr>
                            <w:t xml:space="preserve">第 </w:t>
                          </w:r>
                          <w:r>
                            <w:rPr>
                              <w:kern w:val="0"/>
                              <w:szCs w:val="21"/>
                            </w:rPr>
                            <w:fldChar w:fldCharType="begin"/>
                          </w:r>
                          <w:r>
                            <w:rPr>
                              <w:kern w:val="0"/>
                              <w:szCs w:val="21"/>
                            </w:rPr>
                            <w:instrText xml:space="preserve"> PAGE </w:instrText>
                          </w:r>
                          <w:r>
                            <w:rPr>
                              <w:kern w:val="0"/>
                              <w:szCs w:val="21"/>
                            </w:rPr>
                            <w:fldChar w:fldCharType="separate"/>
                          </w:r>
                          <w:r>
                            <w:rPr>
                              <w:kern w:val="0"/>
                              <w:szCs w:val="21"/>
                            </w:rPr>
                            <w:t>7</w:t>
                          </w:r>
                          <w:r>
                            <w:rPr>
                              <w:kern w:val="0"/>
                              <w:szCs w:val="21"/>
                            </w:rPr>
                            <w:fldChar w:fldCharType="end"/>
                          </w:r>
                          <w:r>
                            <w:rPr>
                              <w:rFonts w:hint="eastAsia"/>
                              <w:kern w:val="0"/>
                              <w:szCs w:val="21"/>
                            </w:rPr>
                            <w:t xml:space="preserve"> 页 共 28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7360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oaYJL0wAAAAUBAAAPAAAAAAAAAAEAIAAAACIAAABk&#10;cnMvZG93bnJldi54bWxQSwECFAAUAAAACACHTuJAyezdItIBAACjAwAADgAAAAAAAAABACAAAAAi&#10;AQAAZHJzL2Uyb0RvYy54bWxQSwUGAAAAAAYABgBZAQAAZgUAAAAA&#10;">
              <v:fill on="f" focussize="0,0"/>
              <v:stroke on="f" weight="1.25pt"/>
              <v:imagedata o:title=""/>
              <o:lock v:ext="edit" aspectratio="f"/>
              <v:textbox inset="0mm,0mm,0mm,0mm" style="mso-fit-shape-to-text:t;">
                <w:txbxContent>
                  <w:p>
                    <w:pPr>
                      <w:pStyle w:val="27"/>
                      <w:jc w:val="right"/>
                    </w:pPr>
                    <w:r>
                      <w:rPr>
                        <w:rFonts w:hint="eastAsia"/>
                        <w:kern w:val="0"/>
                        <w:szCs w:val="21"/>
                      </w:rPr>
                      <w:t xml:space="preserve">第 </w:t>
                    </w:r>
                    <w:r>
                      <w:rPr>
                        <w:kern w:val="0"/>
                        <w:szCs w:val="21"/>
                      </w:rPr>
                      <w:fldChar w:fldCharType="begin"/>
                    </w:r>
                    <w:r>
                      <w:rPr>
                        <w:kern w:val="0"/>
                        <w:szCs w:val="21"/>
                      </w:rPr>
                      <w:instrText xml:space="preserve"> PAGE </w:instrText>
                    </w:r>
                    <w:r>
                      <w:rPr>
                        <w:kern w:val="0"/>
                        <w:szCs w:val="21"/>
                      </w:rPr>
                      <w:fldChar w:fldCharType="separate"/>
                    </w:r>
                    <w:r>
                      <w:rPr>
                        <w:kern w:val="0"/>
                        <w:szCs w:val="21"/>
                      </w:rPr>
                      <w:t>7</w:t>
                    </w:r>
                    <w:r>
                      <w:rPr>
                        <w:kern w:val="0"/>
                        <w:szCs w:val="21"/>
                      </w:rPr>
                      <w:fldChar w:fldCharType="end"/>
                    </w:r>
                    <w:r>
                      <w:rPr>
                        <w:rFonts w:hint="eastAsia"/>
                        <w:kern w:val="0"/>
                        <w:szCs w:val="21"/>
                      </w:rPr>
                      <w:t xml:space="preserve"> 页 共 28 页</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Pr>
    <w:r>
      <w:rPr>
        <w:sz w:val="18"/>
      </w:rPr>
      <w:pict>
        <v:shape id="PowerPlusWaterMarkObject12060306" o:spid="_x0000_s3073" o:spt="136" type="#_x0000_t136" style="position:absolute;left:0pt;margin-left:481.95pt;margin-top:506.85pt;height:14pt;width:136pt;mso-position-horizontal-relative:margin;mso-position-vertical-relative:margin;rotation:-2949120f;z-index:-251615232;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11384778" o:spid="_x0000_s3074" o:spt="136" type="#_x0000_t136" style="position:absolute;left:0pt;margin-left:364.55pt;margin-top:624.25pt;height:14pt;width:136pt;mso-position-horizontal-relative:margin;mso-position-vertical-relative:margin;rotation:-2949120f;z-index:-251616256;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10850320" o:spid="_x0000_s3075" o:spt="136" type="#_x0000_t136" style="position:absolute;left:0pt;margin-left:247.15pt;margin-top:741.65pt;height:14pt;width:136pt;mso-position-horizontal-relative:margin;mso-position-vertical-relative:margin;rotation:-2949120f;z-index:-251617280;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10501356" o:spid="_x0000_s3076" o:spt="136" type="#_x0000_t136" style="position:absolute;left:0pt;margin-left:481.95pt;margin-top:301.55pt;height:14pt;width:136pt;mso-position-horizontal-relative:margin;mso-position-vertical-relative:margin;rotation:-2949120f;z-index:-251618304;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10390288" o:spid="_x0000_s3077" o:spt="136" type="#_x0000_t136" style="position:absolute;left:0pt;margin-left:364.55pt;margin-top:418.95pt;height:14pt;width:136pt;mso-position-horizontal-relative:margin;mso-position-vertical-relative:margin;rotation:-2949120f;z-index:-251619328;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10085260" o:spid="_x0000_s3078" o:spt="136" type="#_x0000_t136" style="position:absolute;left:0pt;margin-left:247.15pt;margin-top:536.3pt;height:14pt;width:136pt;mso-position-horizontal-relative:margin;mso-position-vertical-relative:margin;rotation:-2949120f;z-index:-251620352;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9563013" o:spid="_x0000_s3079" o:spt="136" type="#_x0000_t136" style="position:absolute;left:0pt;margin-left:129.8pt;margin-top:653.7pt;height:14pt;width:136pt;mso-position-horizontal-relative:margin;mso-position-vertical-relative:margin;rotation:-2949120f;z-index:-251621376;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9519789" o:spid="_x0000_s3080" o:spt="136" type="#_x0000_t136" style="position:absolute;left:0pt;margin-left:12.4pt;margin-top:771.1pt;height:14pt;width:136pt;mso-position-horizontal-relative:margin;mso-position-vertical-relative:margin;rotation:-2949120f;z-index:-251622400;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9086616" o:spid="_x0000_s3081" o:spt="136" type="#_x0000_t136" style="position:absolute;left:0pt;margin-left:481.95pt;margin-top:96.25pt;height:14pt;width:136pt;mso-position-horizontal-relative:margin;mso-position-vertical-relative:margin;rotation:-2949120f;z-index:-251623424;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8852269" o:spid="_x0000_s3082" o:spt="136" type="#_x0000_t136" style="position:absolute;left:0pt;margin-left:364.55pt;margin-top:213.65pt;height:14pt;width:136pt;mso-position-horizontal-relative:margin;mso-position-vertical-relative:margin;rotation:-2949120f;z-index:-251624448;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8306006" o:spid="_x0000_s3083" o:spt="136" type="#_x0000_t136" style="position:absolute;left:0pt;margin-left:247.15pt;margin-top:331pt;height:14pt;width:136pt;mso-position-horizontal-relative:margin;mso-position-vertical-relative:margin;rotation:-2949120f;z-index:-251625472;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8042463" o:spid="_x0000_s3084" o:spt="136" type="#_x0000_t136" style="position:absolute;left:0pt;margin-left:129.8pt;margin-top:448.4pt;height:14pt;width:136pt;mso-position-horizontal-relative:margin;mso-position-vertical-relative:margin;rotation:-2949120f;z-index:-251626496;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7058493" o:spid="_x0000_s3085" o:spt="136" type="#_x0000_t136" style="position:absolute;left:0pt;margin-left:12.4pt;margin-top:565.75pt;height:14pt;width:136pt;mso-position-horizontal-relative:margin;mso-position-vertical-relative:margin;rotation:-2949120f;z-index:-251627520;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6978964" o:spid="_x0000_s3086" o:spt="136" type="#_x0000_t136" style="position:absolute;left:0pt;margin-left:-104.95pt;margin-top:683.15pt;height:14pt;width:136pt;mso-position-horizontal-relative:margin;mso-position-vertical-relative:margin;rotation:-2949120f;z-index:-251628544;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6448944" o:spid="_x0000_s3087" o:spt="136" type="#_x0000_t136" style="position:absolute;left:0pt;margin-left:481.95pt;margin-top:-109.05pt;height:14pt;width:136pt;mso-position-horizontal-relative:margin;mso-position-vertical-relative:margin;rotation:-2949120f;z-index:-251629568;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6144035" o:spid="_x0000_s3088" o:spt="136" type="#_x0000_t136" style="position:absolute;left:0pt;margin-left:364.55pt;margin-top:8.3pt;height:14pt;width:136pt;mso-position-horizontal-relative:margin;mso-position-vertical-relative:margin;rotation:-2949120f;z-index:-251630592;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5570966" o:spid="_x0000_s3089" o:spt="136" type="#_x0000_t136" style="position:absolute;left:0pt;margin-left:247.15pt;margin-top:125.7pt;height:14pt;width:136pt;mso-position-horizontal-relative:margin;mso-position-vertical-relative:margin;rotation:-2949120f;z-index:-251631616;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5355952" o:spid="_x0000_s3090" o:spt="136" type="#_x0000_t136" style="position:absolute;left:0pt;margin-left:129.8pt;margin-top:243.05pt;height:14pt;width:136pt;mso-position-horizontal-relative:margin;mso-position-vertical-relative:margin;rotation:-2949120f;z-index:-251632640;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5005673" o:spid="_x0000_s3091" o:spt="136" type="#_x0000_t136" style="position:absolute;left:0pt;margin-left:12.4pt;margin-top:360.45pt;height:14pt;width:136pt;mso-position-horizontal-relative:margin;mso-position-vertical-relative:margin;rotation:-2949120f;z-index:-251633664;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4897376" o:spid="_x0000_s3092" o:spt="136" type="#_x0000_t136" style="position:absolute;left:0pt;margin-left:-104.95pt;margin-top:477.85pt;height:14pt;width:136pt;mso-position-horizontal-relative:margin;mso-position-vertical-relative:margin;rotation:-2949120f;z-index:-251634688;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4384983" o:spid="_x0000_s3093" o:spt="136" type="#_x0000_t136" style="position:absolute;left:0pt;margin-left:247.15pt;margin-top:-79.6pt;height:14pt;width:136pt;mso-position-horizontal-relative:margin;mso-position-vertical-relative:margin;rotation:-2949120f;z-index:-251635712;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3526856" o:spid="_x0000_s3094" o:spt="136" type="#_x0000_t136" style="position:absolute;left:0pt;margin-left:129.8pt;margin-top:37.75pt;height:14pt;width:136pt;mso-position-horizontal-relative:margin;mso-position-vertical-relative:margin;rotation:-2949120f;z-index:-251636736;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3136526" o:spid="_x0000_s3095" o:spt="136" type="#_x0000_t136" style="position:absolute;left:0pt;margin-left:12.4pt;margin-top:155.15pt;height:14pt;width:136pt;mso-position-horizontal-relative:margin;mso-position-vertical-relative:margin;rotation:-2949120f;z-index:-251637760;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2140031" o:spid="_x0000_s3096" o:spt="136" type="#_x0000_t136" style="position:absolute;left:0pt;margin-left:-104.95pt;margin-top:272.5pt;height:14pt;width:136pt;mso-position-horizontal-relative:margin;mso-position-vertical-relative:margin;rotation:-2949120f;z-index:-251638784;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1212167" o:spid="_x0000_s3097" o:spt="136" type="#_x0000_t136" style="position:absolute;left:0pt;margin-left:12.4pt;margin-top:-50.2pt;height:14pt;width:136pt;mso-position-horizontal-relative:margin;mso-position-vertical-relative:margin;rotation:-2949120f;z-index:-251639808;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r>
      <w:rPr>
        <w:sz w:val="18"/>
      </w:rPr>
      <w:pict>
        <v:shape id="PowerPlusWaterMarkObject427381" o:spid="_x0000_s3098" o:spt="136" type="#_x0000_t136" style="position:absolute;left:0pt;margin-left:-104.95pt;margin-top:67.2pt;height:14pt;width:136pt;mso-position-horizontal-relative:margin;mso-position-vertical-relative:margin;rotation:-2949120f;z-index:-251640832;mso-width-relative:page;mso-height-relative:page;" fillcolor="#CCCCCC" filled="t" stroked="f" coordsize="21600,21600" adj="10800">
          <v:path/>
          <v:fill on="t" opacity="26214f" focussize="0,0"/>
          <v:stroke on="f"/>
          <v:imagedata o:title=""/>
          <o:lock v:ext="edit" aspectratio="t"/>
          <v:textpath on="t" fitshape="t" fitpath="t" trim="t" xscale="f" string="孙立君0803252025-11-24" style="font-family:汉仪旗黑KW 55S;font-size:14pt;v-same-letter-heights:f;v-text-align:center;"/>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1"/>
      </w:pBdr>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0B3318"/>
    <w:multiLevelType w:val="singleLevel"/>
    <w:tmpl w:val="820B3318"/>
    <w:lvl w:ilvl="0" w:tentative="0">
      <w:start w:val="1"/>
      <w:numFmt w:val="decimalEnclosedCircleChinese"/>
      <w:suff w:val="nothing"/>
      <w:lvlText w:val="%1　"/>
      <w:lvlJc w:val="left"/>
      <w:pPr>
        <w:ind w:left="0" w:firstLine="400"/>
      </w:pPr>
      <w:rPr>
        <w:rFonts w:hint="eastAsia"/>
      </w:rPr>
    </w:lvl>
  </w:abstractNum>
  <w:abstractNum w:abstractNumId="1">
    <w:nsid w:val="B4A85688"/>
    <w:multiLevelType w:val="singleLevel"/>
    <w:tmpl w:val="B4A85688"/>
    <w:lvl w:ilvl="0" w:tentative="0">
      <w:start w:val="1"/>
      <w:numFmt w:val="decimalEnclosedCircleChinese"/>
      <w:suff w:val="nothing"/>
      <w:lvlText w:val="%1　"/>
      <w:lvlJc w:val="left"/>
      <w:pPr>
        <w:ind w:left="0" w:firstLine="400"/>
      </w:pPr>
      <w:rPr>
        <w:rFonts w:hint="eastAsia"/>
      </w:rPr>
    </w:lvl>
  </w:abstractNum>
  <w:abstractNum w:abstractNumId="2">
    <w:nsid w:val="D146FCA9"/>
    <w:multiLevelType w:val="singleLevel"/>
    <w:tmpl w:val="D146FCA9"/>
    <w:lvl w:ilvl="0" w:tentative="0">
      <w:start w:val="4"/>
      <w:numFmt w:val="chineseCounting"/>
      <w:suff w:val="space"/>
      <w:lvlText w:val="第%1部分"/>
      <w:lvlJc w:val="left"/>
      <w:rPr>
        <w:rFonts w:hint="eastAsia"/>
      </w:rPr>
    </w:lvl>
  </w:abstractNum>
  <w:abstractNum w:abstractNumId="3">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033D9017"/>
    <w:multiLevelType w:val="singleLevel"/>
    <w:tmpl w:val="033D9017"/>
    <w:lvl w:ilvl="0" w:tentative="0">
      <w:start w:val="1"/>
      <w:numFmt w:val="decimal"/>
      <w:suff w:val="nothing"/>
      <w:lvlText w:val="%1）"/>
      <w:lvlJc w:val="left"/>
    </w:lvl>
  </w:abstractNum>
  <w:abstractNum w:abstractNumId="6">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7">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8">
    <w:nsid w:val="3106FFC6"/>
    <w:multiLevelType w:val="singleLevel"/>
    <w:tmpl w:val="3106FFC6"/>
    <w:lvl w:ilvl="0" w:tentative="0">
      <w:start w:val="1"/>
      <w:numFmt w:val="decimalEnclosedCircleChinese"/>
      <w:suff w:val="nothing"/>
      <w:lvlText w:val="%1　"/>
      <w:lvlJc w:val="left"/>
      <w:pPr>
        <w:ind w:left="0" w:firstLine="400"/>
      </w:pPr>
      <w:rPr>
        <w:rFonts w:hint="eastAsia"/>
      </w:rPr>
    </w:lvl>
  </w:abstractNum>
  <w:abstractNum w:abstractNumId="9">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0">
    <w:nsid w:val="4FD4438F"/>
    <w:multiLevelType w:val="multilevel"/>
    <w:tmpl w:val="4FD4438F"/>
    <w:lvl w:ilvl="0" w:tentative="0">
      <w:start w:val="1"/>
      <w:numFmt w:val="chineseCountingThousand"/>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1">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2">
    <w:nsid w:val="6E8C6948"/>
    <w:multiLevelType w:val="singleLevel"/>
    <w:tmpl w:val="6E8C6948"/>
    <w:lvl w:ilvl="0" w:tentative="0">
      <w:start w:val="1"/>
      <w:numFmt w:val="chineseCounting"/>
      <w:suff w:val="space"/>
      <w:lvlText w:val="第%1部分"/>
      <w:lvlJc w:val="left"/>
      <w:rPr>
        <w:rFonts w:hint="eastAsia"/>
      </w:rPr>
    </w:lvl>
  </w:abstractNum>
  <w:abstractNum w:abstractNumId="13">
    <w:nsid w:val="7A612DE2"/>
    <w:multiLevelType w:val="singleLevel"/>
    <w:tmpl w:val="7A612DE2"/>
    <w:lvl w:ilvl="0" w:tentative="0">
      <w:start w:val="2"/>
      <w:numFmt w:val="decimal"/>
      <w:lvlText w:val="%1."/>
      <w:lvlJc w:val="left"/>
      <w:pPr>
        <w:tabs>
          <w:tab w:val="left" w:pos="312"/>
        </w:tabs>
      </w:pPr>
    </w:lvl>
  </w:abstractNum>
  <w:num w:numId="1">
    <w:abstractNumId w:val="11"/>
  </w:num>
  <w:num w:numId="2">
    <w:abstractNumId w:val="10"/>
  </w:num>
  <w:num w:numId="3">
    <w:abstractNumId w:val="12"/>
  </w:num>
  <w:num w:numId="4">
    <w:abstractNumId w:val="13"/>
  </w:num>
  <w:num w:numId="5">
    <w:abstractNumId w:val="6"/>
  </w:num>
  <w:num w:numId="6">
    <w:abstractNumId w:val="4"/>
  </w:num>
  <w:num w:numId="7">
    <w:abstractNumId w:val="9"/>
  </w:num>
  <w:num w:numId="8">
    <w:abstractNumId w:val="3"/>
  </w:num>
  <w:num w:numId="9">
    <w:abstractNumId w:val="7"/>
  </w:num>
  <w:num w:numId="10">
    <w:abstractNumId w:val="2"/>
  </w:num>
  <w:num w:numId="11">
    <w:abstractNumId w:val="5"/>
  </w:num>
  <w:num w:numId="12">
    <w:abstractNumId w:val="8"/>
  </w:num>
  <w:num w:numId="13">
    <w:abstractNumId w:val="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8260BF"/>
    <w:rsid w:val="04AD02B8"/>
    <w:rsid w:val="04B75DD4"/>
    <w:rsid w:val="04BE2E08"/>
    <w:rsid w:val="04DF17D4"/>
    <w:rsid w:val="04E80A94"/>
    <w:rsid w:val="053056EC"/>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49693B"/>
    <w:rsid w:val="0D542EEE"/>
    <w:rsid w:val="0D9308F8"/>
    <w:rsid w:val="0DA319DC"/>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EF02B3"/>
    <w:rsid w:val="10270545"/>
    <w:rsid w:val="102E461D"/>
    <w:rsid w:val="103819AC"/>
    <w:rsid w:val="104B7348"/>
    <w:rsid w:val="106E6B1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27C1C"/>
    <w:rsid w:val="14092DB2"/>
    <w:rsid w:val="143E3DC5"/>
    <w:rsid w:val="145A6A37"/>
    <w:rsid w:val="1467440F"/>
    <w:rsid w:val="14D7277E"/>
    <w:rsid w:val="14E21050"/>
    <w:rsid w:val="14F461C1"/>
    <w:rsid w:val="14F5646A"/>
    <w:rsid w:val="14F73019"/>
    <w:rsid w:val="15044722"/>
    <w:rsid w:val="15080C95"/>
    <w:rsid w:val="152B7F51"/>
    <w:rsid w:val="15433A9B"/>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43C7A"/>
    <w:rsid w:val="18A70482"/>
    <w:rsid w:val="18CA3EB9"/>
    <w:rsid w:val="18E815ED"/>
    <w:rsid w:val="192F3CC4"/>
    <w:rsid w:val="192F795A"/>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710889"/>
    <w:rsid w:val="1D803B43"/>
    <w:rsid w:val="1D85395E"/>
    <w:rsid w:val="1D865D14"/>
    <w:rsid w:val="1D8705EC"/>
    <w:rsid w:val="1DC823F7"/>
    <w:rsid w:val="1DE83924"/>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1EE2D68"/>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6F71881"/>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514925"/>
    <w:rsid w:val="298E421D"/>
    <w:rsid w:val="299E147F"/>
    <w:rsid w:val="29C32A87"/>
    <w:rsid w:val="29CF070E"/>
    <w:rsid w:val="29CF26DC"/>
    <w:rsid w:val="2A1C5DA0"/>
    <w:rsid w:val="2A200D39"/>
    <w:rsid w:val="2A507EFF"/>
    <w:rsid w:val="2A9248E5"/>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8B5894"/>
    <w:rsid w:val="30A7194D"/>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50B22"/>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41612"/>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B70D36"/>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2F60E9"/>
    <w:rsid w:val="4B3E6D0C"/>
    <w:rsid w:val="4B8F44A9"/>
    <w:rsid w:val="4B9A1456"/>
    <w:rsid w:val="4BA32C82"/>
    <w:rsid w:val="4BAD1567"/>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A0CAF"/>
    <w:rsid w:val="4E1F4862"/>
    <w:rsid w:val="4E2B0F4A"/>
    <w:rsid w:val="4E2E4393"/>
    <w:rsid w:val="4E34765B"/>
    <w:rsid w:val="4E535EF2"/>
    <w:rsid w:val="4E56234E"/>
    <w:rsid w:val="4E7F7C36"/>
    <w:rsid w:val="4EF11A75"/>
    <w:rsid w:val="4F08773C"/>
    <w:rsid w:val="4F31409F"/>
    <w:rsid w:val="4F4437CC"/>
    <w:rsid w:val="4F5C0D3C"/>
    <w:rsid w:val="4F5E670E"/>
    <w:rsid w:val="4F830A4B"/>
    <w:rsid w:val="4F846A83"/>
    <w:rsid w:val="4F9F566B"/>
    <w:rsid w:val="4FE52410"/>
    <w:rsid w:val="50070E2C"/>
    <w:rsid w:val="500E01E6"/>
    <w:rsid w:val="502F619C"/>
    <w:rsid w:val="504B57F2"/>
    <w:rsid w:val="505C5D66"/>
    <w:rsid w:val="50631D77"/>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DE4B4B"/>
    <w:rsid w:val="58E30CDD"/>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993D39"/>
    <w:rsid w:val="6CBD2D82"/>
    <w:rsid w:val="6CC60283"/>
    <w:rsid w:val="6CCD388D"/>
    <w:rsid w:val="6CD62D03"/>
    <w:rsid w:val="6CD97FB6"/>
    <w:rsid w:val="6CDA233C"/>
    <w:rsid w:val="6D170809"/>
    <w:rsid w:val="6D4B22B8"/>
    <w:rsid w:val="6D663E0B"/>
    <w:rsid w:val="6D930013"/>
    <w:rsid w:val="6DA828B1"/>
    <w:rsid w:val="6E1374F8"/>
    <w:rsid w:val="6E1A1656"/>
    <w:rsid w:val="6E1C6A73"/>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9265A2"/>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6D54B3"/>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05147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3"/>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39"/>
    <w:pPr>
      <w:ind w:left="480"/>
      <w:jc w:val="left"/>
    </w:pPr>
    <w:rPr>
      <w:rFonts w:ascii="Calibri" w:hAnsi="Calibri" w:eastAsia="宋体" w:cs="Times New Roman"/>
      <w:i/>
      <w:iCs/>
      <w:sz w:val="20"/>
      <w:szCs w:val="20"/>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next w:val="13"/>
    <w:qFormat/>
    <w:uiPriority w:val="0"/>
    <w:pPr>
      <w:ind w:firstLine="420"/>
    </w:pPr>
    <w:rPr>
      <w:rFonts w:ascii="Times New Roman" w:hAnsi="Times New Roman"/>
      <w:kern w:val="0"/>
      <w:sz w:val="20"/>
      <w:szCs w:val="20"/>
    </w:rPr>
  </w:style>
  <w:style w:type="paragraph" w:styleId="13">
    <w:name w:val="Body Text"/>
    <w:basedOn w:val="1"/>
    <w:next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4"/>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5"/>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960"/>
      <w:jc w:val="left"/>
    </w:pPr>
    <w:rPr>
      <w:rFonts w:ascii="Calibri" w:hAnsi="Calibri" w:eastAsia="宋体" w:cs="Times New Roman"/>
      <w:sz w:val="18"/>
      <w:szCs w:val="18"/>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7"/>
    <w:next w:val="17"/>
    <w:link w:val="56"/>
    <w:qFormat/>
    <w:uiPriority w:val="0"/>
    <w:rPr>
      <w:b/>
    </w:rPr>
  </w:style>
  <w:style w:type="paragraph" w:styleId="40">
    <w:name w:val="Body Text First Indent 2"/>
    <w:basedOn w:val="19"/>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2"/>
    <w:qFormat/>
    <w:uiPriority w:val="9"/>
    <w:rPr>
      <w:rFonts w:ascii="Calibri" w:hAnsi="Calibri" w:eastAsia="宋体" w:cs="Times New Roman"/>
      <w:b/>
      <w:bCs/>
      <w:kern w:val="44"/>
      <w:sz w:val="36"/>
      <w:szCs w:val="44"/>
    </w:rPr>
  </w:style>
  <w:style w:type="character" w:customStyle="1" w:styleId="52">
    <w:name w:val="标题 2 字符"/>
    <w:basedOn w:val="43"/>
    <w:link w:val="4"/>
    <w:qFormat/>
    <w:uiPriority w:val="9"/>
    <w:rPr>
      <w:rFonts w:ascii="Arial" w:hAnsi="Arial" w:eastAsia="宋体" w:cs="Times New Roman"/>
      <w:b/>
      <w:bCs/>
      <w:sz w:val="24"/>
      <w:szCs w:val="32"/>
    </w:rPr>
  </w:style>
  <w:style w:type="character" w:customStyle="1" w:styleId="53">
    <w:name w:val="标题 3 字符"/>
    <w:basedOn w:val="43"/>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7"/>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5"/>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9"/>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3"/>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8"/>
    <w:qFormat/>
    <w:uiPriority w:val="9"/>
    <w:rPr>
      <w:rFonts w:ascii="Arial" w:hAnsi="Arial" w:eastAsia="黑体" w:cstheme="minorBidi"/>
      <w:b/>
      <w:kern w:val="2"/>
      <w:sz w:val="24"/>
      <w:szCs w:val="22"/>
    </w:rPr>
  </w:style>
  <w:style w:type="character" w:customStyle="1" w:styleId="150">
    <w:name w:val="标题 7 字符"/>
    <w:basedOn w:val="43"/>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0"/>
    <w:semiHidden/>
    <w:qFormat/>
    <w:uiPriority w:val="9"/>
    <w:rPr>
      <w:rFonts w:ascii="Arial" w:hAnsi="Arial" w:eastAsia="黑体" w:cstheme="minorBidi"/>
      <w:kern w:val="2"/>
      <w:sz w:val="21"/>
      <w:szCs w:val="22"/>
    </w:rPr>
  </w:style>
  <w:style w:type="paragraph" w:customStyle="1" w:styleId="152">
    <w:name w:val="_Style 4"/>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6"/>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 w:type="paragraph" w:customStyle="1" w:styleId="171">
    <w:name w:val="章节"/>
    <w:basedOn w:val="22"/>
    <w:qFormat/>
    <w:uiPriority w:val="0"/>
    <w:pPr>
      <w:spacing w:line="360" w:lineRule="auto"/>
      <w:jc w:val="center"/>
      <w:outlineLvl w:val="0"/>
    </w:pPr>
    <w:rPr>
      <w:rFonts w:ascii="黑体" w:eastAsia="黑体"/>
      <w:b/>
      <w:bCs/>
      <w:sz w:val="36"/>
      <w:szCs w:val="36"/>
    </w:rPr>
  </w:style>
  <w:style w:type="paragraph" w:customStyle="1" w:styleId="172">
    <w:name w:val="1正文段落"/>
    <w:basedOn w:val="1"/>
    <w:qFormat/>
    <w:uiPriority w:val="0"/>
    <w:pPr>
      <w:spacing w:line="360" w:lineRule="auto"/>
      <w:ind w:firstLine="480" w:firstLineChars="200"/>
      <w:jc w:val="left"/>
    </w:pPr>
    <w:rPr>
      <w:snapToGrid w:val="0"/>
      <w:kern w:val="0"/>
      <w:sz w:val="24"/>
      <w:szCs w:val="24"/>
    </w:rPr>
  </w:style>
  <w:style w:type="paragraph" w:customStyle="1" w:styleId="173">
    <w:name w:val="标书正文"/>
    <w:basedOn w:val="22"/>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9" Type="http://schemas.openxmlformats.org/officeDocument/2006/relationships/fontTable" Target="fontTable.xml"/><Relationship Id="rId58" Type="http://schemas.openxmlformats.org/officeDocument/2006/relationships/numbering" Target="numbering.xml"/><Relationship Id="rId57" Type="http://schemas.openxmlformats.org/officeDocument/2006/relationships/customXml" Target="../customXml/item1.xml"/><Relationship Id="rId56" Type="http://schemas.openxmlformats.org/officeDocument/2006/relationships/image" Target="media/image18.png"/><Relationship Id="rId55" Type="http://schemas.openxmlformats.org/officeDocument/2006/relationships/image" Target="media/image17.png"/><Relationship Id="rId54" Type="http://schemas.openxmlformats.org/officeDocument/2006/relationships/image" Target="media/image16.png"/><Relationship Id="rId53" Type="http://schemas.openxmlformats.org/officeDocument/2006/relationships/image" Target="media/image15.png"/><Relationship Id="rId52" Type="http://schemas.openxmlformats.org/officeDocument/2006/relationships/image" Target="media/image14.png"/><Relationship Id="rId51" Type="http://schemas.openxmlformats.org/officeDocument/2006/relationships/image" Target="media/image13.png"/><Relationship Id="rId50" Type="http://schemas.openxmlformats.org/officeDocument/2006/relationships/image" Target="media/image12.png"/><Relationship Id="rId5" Type="http://schemas.openxmlformats.org/officeDocument/2006/relationships/footer" Target="footer2.xml"/><Relationship Id="rId49" Type="http://schemas.openxmlformats.org/officeDocument/2006/relationships/image" Target="media/image11.png"/><Relationship Id="rId48" Type="http://schemas.openxmlformats.org/officeDocument/2006/relationships/image" Target="media/image10.png"/><Relationship Id="rId47" Type="http://schemas.openxmlformats.org/officeDocument/2006/relationships/image" Target="media/image9.png"/><Relationship Id="rId46" Type="http://schemas.openxmlformats.org/officeDocument/2006/relationships/image" Target="media/image8.png"/><Relationship Id="rId45" Type="http://schemas.openxmlformats.org/officeDocument/2006/relationships/image" Target="media/image7.png"/><Relationship Id="rId44" Type="http://schemas.openxmlformats.org/officeDocument/2006/relationships/image" Target="media/image6.png"/><Relationship Id="rId43" Type="http://schemas.openxmlformats.org/officeDocument/2006/relationships/image" Target="media/image5.png"/><Relationship Id="rId42" Type="http://schemas.openxmlformats.org/officeDocument/2006/relationships/image" Target="media/image4.png"/><Relationship Id="rId41" Type="http://schemas.openxmlformats.org/officeDocument/2006/relationships/image" Target="media/image3.png"/><Relationship Id="rId40" Type="http://schemas.openxmlformats.org/officeDocument/2006/relationships/image" Target="media/image2.png"/><Relationship Id="rId4" Type="http://schemas.openxmlformats.org/officeDocument/2006/relationships/footer" Target="footer1.xml"/><Relationship Id="rId39" Type="http://schemas.openxmlformats.org/officeDocument/2006/relationships/theme" Target="theme/theme1.xml"/><Relationship Id="rId38" Type="http://schemas.openxmlformats.org/officeDocument/2006/relationships/footer" Target="footer27.xml"/><Relationship Id="rId37" Type="http://schemas.openxmlformats.org/officeDocument/2006/relationships/footer" Target="footer26.xml"/><Relationship Id="rId36" Type="http://schemas.openxmlformats.org/officeDocument/2006/relationships/header" Target="header9.xml"/><Relationship Id="rId35" Type="http://schemas.openxmlformats.org/officeDocument/2006/relationships/header" Target="header8.xml"/><Relationship Id="rId34" Type="http://schemas.openxmlformats.org/officeDocument/2006/relationships/footer" Target="footer25.xml"/><Relationship Id="rId33" Type="http://schemas.openxmlformats.org/officeDocument/2006/relationships/footer" Target="footer24.xml"/><Relationship Id="rId32" Type="http://schemas.openxmlformats.org/officeDocument/2006/relationships/header" Target="header7.xml"/><Relationship Id="rId31" Type="http://schemas.openxmlformats.org/officeDocument/2006/relationships/header" Target="header6.xml"/><Relationship Id="rId30" Type="http://schemas.openxmlformats.org/officeDocument/2006/relationships/footer" Target="footer23.xml"/><Relationship Id="rId3" Type="http://schemas.openxmlformats.org/officeDocument/2006/relationships/header" Target="header1.xml"/><Relationship Id="rId29" Type="http://schemas.openxmlformats.org/officeDocument/2006/relationships/footer" Target="footer22.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footer" Target="footer18.xml"/><Relationship Id="rId24" Type="http://schemas.openxmlformats.org/officeDocument/2006/relationships/footer" Target="footer17.xml"/><Relationship Id="rId23" Type="http://schemas.openxmlformats.org/officeDocument/2006/relationships/footer" Target="footer16.xml"/><Relationship Id="rId22" Type="http://schemas.openxmlformats.org/officeDocument/2006/relationships/footer" Target="footer15.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3073"/>
    <customShpInfo spid="_x0000_s3074"/>
    <customShpInfo spid="_x0000_s3075"/>
    <customShpInfo spid="_x0000_s3076"/>
    <customShpInfo spid="_x0000_s3077"/>
    <customShpInfo spid="_x0000_s3078"/>
    <customShpInfo spid="_x0000_s3079"/>
    <customShpInfo spid="_x0000_s3080"/>
    <customShpInfo spid="_x0000_s3081"/>
    <customShpInfo spid="_x0000_s3082"/>
    <customShpInfo spid="_x0000_s3083"/>
    <customShpInfo spid="_x0000_s3084"/>
    <customShpInfo spid="_x0000_s3085"/>
    <customShpInfo spid="_x0000_s3086"/>
    <customShpInfo spid="_x0000_s3087"/>
    <customShpInfo spid="_x0000_s3088"/>
    <customShpInfo spid="_x0000_s3089"/>
    <customShpInfo spid="_x0000_s3090"/>
    <customShpInfo spid="_x0000_s3091"/>
    <customShpInfo spid="_x0000_s3092"/>
    <customShpInfo spid="_x0000_s3093"/>
    <customShpInfo spid="_x0000_s3094"/>
    <customShpInfo spid="_x0000_s3095"/>
    <customShpInfo spid="_x0000_s3096"/>
    <customShpInfo spid="_x0000_s3097"/>
    <customShpInfo spid="_x0000_s309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81</Pages>
  <Words>8698</Words>
  <Characters>9215</Characters>
  <Lines>371</Lines>
  <Paragraphs>104</Paragraphs>
  <TotalTime>0</TotalTime>
  <ScaleCrop>false</ScaleCrop>
  <LinksUpToDate>false</LinksUpToDate>
  <CharactersWithSpaces>9351</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2025-12-12T09:28:38Z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eyJoZGlkIjoiMmVlYTgyNzg5NWRjNGIxNjM0MTg1ZDE1ZWU2NDY4YjEiLCJ1c2VySWQiOiI0MDQ0NzEwOTgifQ==</vt:lpwstr>
  </property>
</Properties>
</file>