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360" w:firstLine="480" w:firstLineChars="200"/>
        <w:jc w:val="left"/>
        <w:rPr>
          <w:rFonts w:hint="eastAsia" w:ascii="宋体" w:hAnsi="宋体" w:cs="宋体"/>
          <w:sz w:val="24"/>
          <w:szCs w:val="24"/>
        </w:rPr>
      </w:pPr>
      <w:bookmarkStart w:id="544" w:name="_GoBack"/>
      <w:bookmarkEnd w:id="544"/>
      <w:r>
        <w:rPr>
          <w:rFonts w:hint="eastAsia" w:ascii="楷体_GB2312" w:hAnsi="宋体" w:eastAsia="楷体_GB2312"/>
          <w:sz w:val="24"/>
        </w:rPr>
        <w:drawing>
          <wp:anchor distT="0" distB="0" distL="114300" distR="114300" simplePos="0" relativeHeight="251663360" behindDoc="0" locked="0" layoutInCell="1" allowOverlap="1">
            <wp:simplePos x="0" y="0"/>
            <wp:positionH relativeFrom="column">
              <wp:posOffset>-198755</wp:posOffset>
            </wp:positionH>
            <wp:positionV relativeFrom="paragraph">
              <wp:posOffset>48895</wp:posOffset>
            </wp:positionV>
            <wp:extent cx="2548890" cy="889000"/>
            <wp:effectExtent l="0" t="0" r="3810" b="6350"/>
            <wp:wrapNone/>
            <wp:docPr id="5" name="图片 12"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timg"/>
                    <pic:cNvPicPr>
                      <a:picLocks noChangeAspect="1"/>
                    </pic:cNvPicPr>
                  </pic:nvPicPr>
                  <pic:blipFill>
                    <a:blip r:embed="rId7"/>
                    <a:stretch>
                      <a:fillRect/>
                    </a:stretch>
                  </pic:blipFill>
                  <pic:spPr>
                    <a:xfrm>
                      <a:off x="0" y="0"/>
                      <a:ext cx="2548890" cy="889000"/>
                    </a:xfrm>
                    <a:prstGeom prst="rect">
                      <a:avLst/>
                    </a:prstGeom>
                    <a:noFill/>
                    <a:ln>
                      <a:noFill/>
                    </a:ln>
                  </pic:spPr>
                </pic:pic>
              </a:graphicData>
            </a:graphic>
          </wp:anchor>
        </w:drawing>
      </w:r>
      <w:r>
        <w:rPr>
          <w:rFonts w:hint="eastAsia" w:ascii="宋体" w:hAnsi="宋体" w:cs="宋体"/>
          <w:sz w:val="24"/>
          <w:szCs w:val="24"/>
        </w:rPr>
        <w:t xml:space="preserve"> </w:t>
      </w:r>
      <w:r>
        <w:rPr>
          <w:rFonts w:ascii="宋体" w:hAnsi="宋体" w:cs="宋体"/>
          <w:sz w:val="24"/>
          <w:szCs w:val="24"/>
        </w:rPr>
        <w:t xml:space="preserve">                                                </w:t>
      </w:r>
    </w:p>
    <w:p>
      <w:pPr>
        <w:spacing w:line="360" w:lineRule="auto"/>
        <w:ind w:right="360" w:firstLine="480" w:firstLineChars="200"/>
        <w:jc w:val="left"/>
        <w:rPr>
          <w:rFonts w:hint="eastAsia" w:ascii="宋体" w:hAnsi="宋体" w:cs="宋体"/>
          <w:sz w:val="24"/>
          <w:szCs w:val="24"/>
        </w:rPr>
      </w:pPr>
    </w:p>
    <w:p>
      <w:pPr>
        <w:spacing w:line="480" w:lineRule="auto"/>
        <w:ind w:firstLine="480"/>
        <w:rPr>
          <w:rFonts w:hint="eastAsia"/>
        </w:rPr>
      </w:pPr>
    </w:p>
    <w:p>
      <w:pPr>
        <w:spacing w:line="360" w:lineRule="auto"/>
        <w:ind w:firstLine="880"/>
        <w:rPr>
          <w:rFonts w:hint="eastAsia" w:ascii="楷体_GB2312" w:hAnsi="宋体" w:eastAsia="楷体_GB2312"/>
          <w:sz w:val="44"/>
          <w:szCs w:val="44"/>
        </w:rPr>
      </w:pPr>
    </w:p>
    <w:p>
      <w:pPr>
        <w:spacing w:line="360" w:lineRule="auto"/>
        <w:jc w:val="center"/>
        <w:rPr>
          <w:rFonts w:ascii="楷体_GB2312" w:hAnsi="宋体" w:eastAsia="楷体_GB2312"/>
          <w:b/>
          <w:bCs/>
          <w:sz w:val="44"/>
          <w:szCs w:val="44"/>
        </w:rPr>
      </w:pPr>
      <w:r>
        <w:rPr>
          <w:rFonts w:hint="eastAsia" w:ascii="楷体_GB2312" w:hAnsi="宋体" w:eastAsia="楷体_GB2312"/>
          <w:b/>
          <w:bCs/>
          <w:sz w:val="36"/>
          <w:szCs w:val="36"/>
        </w:rPr>
        <w:t>中国重汽集团</w:t>
      </w:r>
      <w:r>
        <w:rPr>
          <w:rFonts w:hint="eastAsia" w:ascii="楷体_GB2312" w:hAnsi="宋体" w:eastAsia="楷体_GB2312"/>
          <w:b/>
          <w:bCs/>
          <w:sz w:val="36"/>
          <w:szCs w:val="36"/>
          <w:lang w:val="en-US" w:eastAsia="zh-CN"/>
        </w:rPr>
        <w:t>泰安五岳专用汽车</w:t>
      </w:r>
      <w:r>
        <w:rPr>
          <w:rFonts w:hint="eastAsia" w:ascii="楷体_GB2312" w:hAnsi="宋体" w:eastAsia="楷体_GB2312"/>
          <w:b/>
          <w:bCs/>
          <w:sz w:val="36"/>
          <w:szCs w:val="36"/>
        </w:rPr>
        <w:t>有限公司</w:t>
      </w:r>
    </w:p>
    <w:p>
      <w:pPr>
        <w:spacing w:line="360" w:lineRule="auto"/>
        <w:jc w:val="center"/>
        <w:rPr>
          <w:rFonts w:hint="eastAsia" w:ascii="楷体_GB2312" w:hAnsi="宋体" w:eastAsia="楷体_GB2312"/>
          <w:sz w:val="44"/>
          <w:szCs w:val="44"/>
        </w:rPr>
      </w:pPr>
      <w:r>
        <w:rPr>
          <w:rFonts w:hint="eastAsia" w:ascii="楷体_GB2312" w:hAnsi="宋体" w:eastAsia="楷体_GB2312"/>
          <w:b/>
          <w:bCs/>
          <w:sz w:val="44"/>
          <w:szCs w:val="44"/>
        </w:rPr>
        <w:t>网络安全边界防护项目</w:t>
      </w:r>
    </w:p>
    <w:p>
      <w:pPr>
        <w:spacing w:line="360" w:lineRule="auto"/>
        <w:jc w:val="center"/>
        <w:rPr>
          <w:rFonts w:hint="eastAsia" w:ascii="宋体" w:hAnsi="宋体" w:cs="宋体"/>
          <w:sz w:val="72"/>
          <w:szCs w:val="72"/>
        </w:rPr>
      </w:pPr>
      <w:r>
        <w:rPr>
          <w:rFonts w:hint="eastAsia" w:ascii="宋体" w:hAnsi="宋体" w:cs="宋体"/>
          <w:sz w:val="72"/>
          <w:szCs w:val="72"/>
        </w:rPr>
        <w:t>招标文件</w:t>
      </w:r>
    </w:p>
    <w:p>
      <w:pPr>
        <w:widowControl/>
        <w:spacing w:line="360" w:lineRule="auto"/>
        <w:ind w:firstLine="643"/>
        <w:jc w:val="center"/>
        <w:rPr>
          <w:rFonts w:hint="eastAsia" w:ascii="宋体" w:hAnsi="宋体" w:cs="宋体"/>
          <w:b/>
          <w:bCs/>
          <w:sz w:val="32"/>
          <w:szCs w:val="32"/>
        </w:rPr>
      </w:pPr>
    </w:p>
    <w:p>
      <w:pPr>
        <w:widowControl/>
        <w:spacing w:line="360" w:lineRule="auto"/>
        <w:jc w:val="center"/>
        <w:rPr>
          <w:rFonts w:hint="eastAsia" w:ascii="宋体" w:hAnsi="宋体" w:eastAsia="宋体" w:cs="宋体"/>
          <w:b/>
          <w:bCs/>
          <w:sz w:val="32"/>
          <w:szCs w:val="32"/>
          <w:highlight w:val="yellow"/>
          <w:lang w:eastAsia="zh-CN"/>
        </w:rPr>
      </w:pPr>
      <w:r>
        <w:rPr>
          <w:rFonts w:hint="eastAsia" w:ascii="宋体" w:hAnsi="宋体" w:cs="宋体"/>
          <w:b/>
          <w:bCs/>
          <w:sz w:val="32"/>
          <w:szCs w:val="32"/>
        </w:rPr>
        <w:t>项目编号：</w:t>
      </w:r>
      <w:r>
        <w:rPr>
          <w:rFonts w:hint="eastAsia" w:ascii="宋体" w:hAnsi="宋体" w:cs="宋体"/>
          <w:b/>
          <w:bCs/>
          <w:sz w:val="32"/>
          <w:szCs w:val="32"/>
          <w:highlight w:val="none"/>
          <w:lang w:eastAsia="zh-CN"/>
        </w:rPr>
        <w:t>CGZXCX-202310-1393</w:t>
      </w:r>
    </w:p>
    <w:p>
      <w:pPr>
        <w:widowControl/>
        <w:spacing w:line="360" w:lineRule="auto"/>
        <w:ind w:firstLine="643"/>
        <w:jc w:val="left"/>
        <w:rPr>
          <w:rFonts w:hint="eastAsia" w:ascii="宋体" w:hAnsi="宋体" w:cs="宋体"/>
          <w:b/>
          <w:bCs/>
          <w:kern w:val="0"/>
          <w:sz w:val="32"/>
          <w:szCs w:val="32"/>
        </w:rPr>
      </w:pPr>
    </w:p>
    <w:p>
      <w:pPr>
        <w:widowControl/>
        <w:spacing w:line="360" w:lineRule="auto"/>
        <w:ind w:firstLine="643"/>
        <w:jc w:val="left"/>
        <w:rPr>
          <w:rFonts w:hint="eastAsia" w:ascii="宋体" w:hAnsi="宋体" w:cs="宋体"/>
          <w:b/>
          <w:bCs/>
          <w:kern w:val="0"/>
          <w:sz w:val="32"/>
          <w:szCs w:val="32"/>
        </w:rPr>
      </w:pPr>
    </w:p>
    <w:p>
      <w:pPr>
        <w:widowControl/>
        <w:spacing w:line="360" w:lineRule="auto"/>
        <w:ind w:firstLine="643"/>
        <w:jc w:val="left"/>
        <w:rPr>
          <w:rFonts w:hint="eastAsia" w:ascii="宋体" w:hAnsi="宋体" w:cs="宋体"/>
          <w:b/>
          <w:bCs/>
          <w:kern w:val="0"/>
          <w:sz w:val="32"/>
          <w:szCs w:val="32"/>
        </w:rPr>
      </w:pPr>
    </w:p>
    <w:p>
      <w:pPr>
        <w:widowControl/>
        <w:spacing w:line="360" w:lineRule="auto"/>
        <w:ind w:firstLine="1590" w:firstLineChars="495"/>
        <w:rPr>
          <w:rFonts w:ascii="宋体" w:hAnsi="宋体" w:cs="宋体"/>
          <w:b/>
          <w:bCs/>
          <w:kern w:val="0"/>
          <w:sz w:val="32"/>
          <w:szCs w:val="32"/>
          <w:u w:val="single"/>
        </w:rPr>
      </w:pPr>
    </w:p>
    <w:p>
      <w:pPr>
        <w:widowControl/>
        <w:spacing w:line="360" w:lineRule="auto"/>
        <w:ind w:firstLine="643"/>
        <w:jc w:val="center"/>
        <w:rPr>
          <w:rFonts w:hint="eastAsia" w:ascii="宋体" w:hAnsi="宋体" w:cs="宋体"/>
          <w:b/>
          <w:bCs/>
          <w:kern w:val="0"/>
          <w:sz w:val="32"/>
          <w:szCs w:val="32"/>
        </w:rPr>
      </w:pPr>
    </w:p>
    <w:p>
      <w:pPr>
        <w:pStyle w:val="22"/>
        <w:ind w:firstLine="643"/>
        <w:rPr>
          <w:rFonts w:hint="eastAsia" w:ascii="宋体" w:hAnsi="宋体" w:cs="宋体"/>
          <w:b/>
          <w:bCs/>
          <w:sz w:val="32"/>
          <w:szCs w:val="32"/>
        </w:rPr>
      </w:pPr>
    </w:p>
    <w:p>
      <w:pPr>
        <w:rPr>
          <w:rFonts w:hint="eastAsia" w:ascii="宋体" w:hAnsi="宋体" w:cs="宋体"/>
          <w:b/>
          <w:bCs/>
          <w:kern w:val="0"/>
          <w:sz w:val="32"/>
          <w:szCs w:val="32"/>
        </w:rPr>
      </w:pPr>
    </w:p>
    <w:p>
      <w:pPr>
        <w:pStyle w:val="22"/>
        <w:ind w:firstLine="643"/>
        <w:rPr>
          <w:rFonts w:hint="eastAsia" w:ascii="宋体" w:hAnsi="宋体" w:cs="宋体"/>
          <w:b/>
          <w:bCs/>
          <w:sz w:val="32"/>
          <w:szCs w:val="32"/>
        </w:rPr>
      </w:pPr>
    </w:p>
    <w:p>
      <w:pPr>
        <w:rPr>
          <w:rFonts w:hint="eastAsia"/>
        </w:rPr>
      </w:pPr>
    </w:p>
    <w:p>
      <w:pPr>
        <w:pStyle w:val="22"/>
        <w:ind w:firstLine="0" w:firstLineChars="0"/>
        <w:rPr>
          <w:rFonts w:hint="eastAsia"/>
        </w:rPr>
      </w:pPr>
    </w:p>
    <w:p>
      <w:pPr>
        <w:widowControl/>
        <w:spacing w:line="360" w:lineRule="auto"/>
        <w:ind w:firstLine="482"/>
        <w:jc w:val="left"/>
        <w:rPr>
          <w:rFonts w:ascii="宋体" w:hAnsi="宋体" w:cs="宋体"/>
          <w:b/>
          <w:bCs/>
          <w:sz w:val="24"/>
        </w:rPr>
      </w:pPr>
    </w:p>
    <w:p>
      <w:pPr>
        <w:widowControl/>
        <w:spacing w:line="360" w:lineRule="auto"/>
        <w:ind w:firstLine="1494" w:firstLineChars="496"/>
        <w:rPr>
          <w:rFonts w:ascii="宋体" w:hAnsi="宋体" w:cs="宋体"/>
          <w:b/>
          <w:bCs/>
          <w:sz w:val="30"/>
          <w:szCs w:val="30"/>
        </w:rPr>
      </w:pPr>
      <w:r>
        <w:rPr>
          <w:rFonts w:hint="eastAsia" w:ascii="宋体" w:hAnsi="宋体" w:cs="宋体"/>
          <w:b/>
          <w:bCs/>
          <w:sz w:val="30"/>
          <w:szCs w:val="30"/>
        </w:rPr>
        <w:t>招 标 人：中国重汽</w:t>
      </w:r>
      <w:r>
        <w:rPr>
          <w:rFonts w:hint="eastAsia" w:ascii="宋体" w:hAnsi="宋体" w:cs="宋体"/>
          <w:b/>
          <w:bCs/>
          <w:sz w:val="30"/>
          <w:szCs w:val="30"/>
          <w:lang w:val="en-US" w:eastAsia="zh-CN"/>
        </w:rPr>
        <w:t>集团泰安五岳专用汽车</w:t>
      </w:r>
      <w:r>
        <w:rPr>
          <w:rFonts w:hint="eastAsia" w:ascii="宋体" w:hAnsi="宋体" w:cs="宋体"/>
          <w:b/>
          <w:bCs/>
          <w:sz w:val="30"/>
          <w:szCs w:val="30"/>
        </w:rPr>
        <w:t xml:space="preserve">有限公司 </w:t>
      </w:r>
    </w:p>
    <w:p>
      <w:pPr>
        <w:widowControl/>
        <w:spacing w:line="360" w:lineRule="auto"/>
        <w:ind w:firstLine="602"/>
        <w:jc w:val="center"/>
        <w:rPr>
          <w:rFonts w:hint="eastAsia" w:ascii="宋体" w:hAnsi="宋体" w:cs="宋体"/>
          <w:b/>
          <w:bCs/>
          <w:sz w:val="30"/>
          <w:szCs w:val="30"/>
        </w:rPr>
      </w:pPr>
    </w:p>
    <w:p>
      <w:pPr>
        <w:widowControl/>
        <w:spacing w:line="360" w:lineRule="auto"/>
        <w:jc w:val="center"/>
        <w:rPr>
          <w:rFonts w:hint="eastAsia" w:ascii="宋体" w:hAnsi="宋体" w:cs="宋体"/>
          <w:b/>
          <w:bCs/>
          <w:sz w:val="36"/>
          <w:szCs w:val="36"/>
        </w:rPr>
      </w:pPr>
      <w:r>
        <w:rPr>
          <w:rFonts w:hint="eastAsia" w:ascii="宋体" w:hAnsi="宋体" w:cs="宋体"/>
          <w:b/>
          <w:bCs/>
          <w:sz w:val="30"/>
          <w:szCs w:val="30"/>
        </w:rPr>
        <w:t>202</w:t>
      </w:r>
      <w:r>
        <w:rPr>
          <w:rFonts w:ascii="宋体" w:hAnsi="宋体" w:cs="宋体"/>
          <w:b/>
          <w:bCs/>
          <w:sz w:val="30"/>
          <w:szCs w:val="30"/>
        </w:rPr>
        <w:t>3</w:t>
      </w:r>
      <w:r>
        <w:rPr>
          <w:rFonts w:hint="eastAsia" w:ascii="宋体" w:hAnsi="宋体" w:cs="宋体"/>
          <w:b/>
          <w:bCs/>
          <w:sz w:val="30"/>
          <w:szCs w:val="30"/>
        </w:rPr>
        <w:t xml:space="preserve"> 年 </w:t>
      </w:r>
      <w:r>
        <w:rPr>
          <w:rFonts w:hint="eastAsia" w:ascii="宋体" w:hAnsi="宋体" w:cs="宋体"/>
          <w:b/>
          <w:bCs/>
          <w:sz w:val="30"/>
          <w:szCs w:val="30"/>
          <w:lang w:val="en-US" w:eastAsia="zh-CN"/>
        </w:rPr>
        <w:t>11</w:t>
      </w:r>
      <w:r>
        <w:rPr>
          <w:rFonts w:hint="eastAsia" w:ascii="宋体" w:hAnsi="宋体" w:cs="宋体"/>
          <w:b/>
          <w:bCs/>
          <w:sz w:val="30"/>
          <w:szCs w:val="30"/>
        </w:rPr>
        <w:t xml:space="preserve"> 月</w:t>
      </w:r>
    </w:p>
    <w:p>
      <w:pPr>
        <w:widowControl/>
        <w:spacing w:line="360" w:lineRule="auto"/>
        <w:ind w:firstLine="723"/>
        <w:jc w:val="center"/>
        <w:rPr>
          <w:rFonts w:ascii="宋体" w:hAnsi="宋体"/>
          <w:b/>
        </w:rPr>
      </w:pPr>
      <w:r>
        <w:rPr>
          <w:rFonts w:hint="eastAsia" w:ascii="宋体" w:hAnsi="宋体" w:cs="宋体"/>
          <w:b/>
          <w:bCs/>
          <w:sz w:val="36"/>
          <w:szCs w:val="36"/>
        </w:rPr>
        <w:br w:type="page"/>
      </w: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p>
    <w:p>
      <w:pPr>
        <w:pStyle w:val="54"/>
        <w:tabs>
          <w:tab w:val="right" w:leader="dot" w:pos="9071"/>
        </w:tabs>
      </w:pPr>
      <w:r>
        <w:rPr>
          <w:rFonts w:hint="eastAsia" w:ascii="宋体" w:hAnsi="宋体" w:cs="宋体"/>
          <w:i/>
          <w:caps w:val="0"/>
          <w:szCs w:val="24"/>
        </w:rPr>
        <w:fldChar w:fldCharType="begin"/>
      </w:r>
      <w:r>
        <w:rPr>
          <w:rFonts w:hint="eastAsia" w:ascii="宋体" w:hAnsi="宋体" w:cs="宋体"/>
          <w:i/>
          <w:caps w:val="0"/>
          <w:szCs w:val="24"/>
        </w:rPr>
        <w:instrText xml:space="preserve">TOC \o "1-2" \h \u </w:instrText>
      </w:r>
      <w:r>
        <w:rPr>
          <w:rFonts w:hint="eastAsia" w:ascii="宋体" w:hAnsi="宋体" w:cs="宋体"/>
          <w:i/>
          <w:caps w:val="0"/>
          <w:szCs w:val="24"/>
        </w:rPr>
        <w:fldChar w:fldCharType="separate"/>
      </w:r>
      <w:r>
        <w:rPr>
          <w:rFonts w:hint="eastAsia" w:ascii="宋体" w:hAnsi="宋体" w:cs="宋体"/>
          <w:i/>
          <w:caps w:val="0"/>
          <w:szCs w:val="24"/>
        </w:rPr>
        <w:fldChar w:fldCharType="begin"/>
      </w:r>
      <w:r>
        <w:rPr>
          <w:rFonts w:hint="eastAsia" w:ascii="宋体" w:hAnsi="宋体" w:cs="宋体"/>
          <w:i/>
          <w:caps w:val="0"/>
          <w:szCs w:val="24"/>
        </w:rPr>
        <w:instrText xml:space="preserve"> HYPERLINK \l _Toc16452 </w:instrText>
      </w:r>
      <w:r>
        <w:rPr>
          <w:rFonts w:hint="eastAsia" w:ascii="宋体" w:hAnsi="宋体" w:cs="宋体"/>
          <w:i/>
          <w:caps w:val="0"/>
          <w:szCs w:val="24"/>
        </w:rPr>
        <w:fldChar w:fldCharType="separate"/>
      </w:r>
      <w:r>
        <w:rPr>
          <w:rFonts w:hint="eastAsia"/>
        </w:rPr>
        <w:t>第1章 招标公告</w:t>
      </w:r>
      <w:r>
        <w:tab/>
      </w:r>
      <w:r>
        <w:fldChar w:fldCharType="begin"/>
      </w:r>
      <w:r>
        <w:instrText xml:space="preserve"> PAGEREF _Toc16452 \h </w:instrText>
      </w:r>
      <w:r>
        <w:fldChar w:fldCharType="separate"/>
      </w:r>
      <w:r>
        <w:t>1</w:t>
      </w:r>
      <w:r>
        <w:fldChar w:fldCharType="end"/>
      </w:r>
      <w:r>
        <w:rPr>
          <w:rFonts w:hint="eastAsia" w:ascii="宋体" w:hAnsi="宋体" w:cs="宋体"/>
          <w:i/>
          <w:caps w:val="0"/>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_Toc6900 </w:instrText>
      </w:r>
      <w:r>
        <w:rPr>
          <w:rFonts w:hint="eastAsia" w:ascii="宋体" w:hAnsi="宋体" w:cs="宋体"/>
          <w:i/>
          <w:caps/>
          <w:szCs w:val="24"/>
        </w:rPr>
        <w:fldChar w:fldCharType="separate"/>
      </w:r>
      <w:r>
        <w:rPr>
          <w:rFonts w:hint="eastAsia"/>
        </w:rPr>
        <w:t>1.1 项目名称及项目编号</w:t>
      </w:r>
      <w:r>
        <w:tab/>
      </w:r>
      <w:r>
        <w:fldChar w:fldCharType="begin"/>
      </w:r>
      <w:r>
        <w:instrText xml:space="preserve"> PAGEREF _Toc6900 \h </w:instrText>
      </w:r>
      <w:r>
        <w:fldChar w:fldCharType="separate"/>
      </w:r>
      <w:r>
        <w:t>1</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_Toc14973 </w:instrText>
      </w:r>
      <w:r>
        <w:rPr>
          <w:rFonts w:hint="eastAsia" w:ascii="宋体" w:hAnsi="宋体" w:cs="宋体"/>
          <w:i/>
          <w:caps/>
          <w:szCs w:val="24"/>
        </w:rPr>
        <w:fldChar w:fldCharType="separate"/>
      </w:r>
      <w:r>
        <w:rPr>
          <w:rFonts w:hint="eastAsia"/>
        </w:rPr>
        <w:t>1.2 招标内容</w:t>
      </w:r>
      <w:r>
        <w:tab/>
      </w:r>
      <w:r>
        <w:fldChar w:fldCharType="begin"/>
      </w:r>
      <w:r>
        <w:instrText xml:space="preserve"> PAGEREF _Toc14973 \h </w:instrText>
      </w:r>
      <w:r>
        <w:fldChar w:fldCharType="separate"/>
      </w:r>
      <w:r>
        <w:t>1</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_Toc30979 </w:instrText>
      </w:r>
      <w:r>
        <w:rPr>
          <w:rFonts w:hint="eastAsia" w:ascii="宋体" w:hAnsi="宋体" w:cs="宋体"/>
          <w:i/>
          <w:caps/>
          <w:szCs w:val="24"/>
        </w:rPr>
        <w:fldChar w:fldCharType="separate"/>
      </w:r>
      <w:r>
        <w:rPr>
          <w:rFonts w:hint="eastAsia"/>
        </w:rPr>
        <w:t>1.3 投标人资格要求</w:t>
      </w:r>
      <w:r>
        <w:tab/>
      </w:r>
      <w:r>
        <w:fldChar w:fldCharType="begin"/>
      </w:r>
      <w:r>
        <w:instrText xml:space="preserve"> PAGEREF _Toc30979 \h </w:instrText>
      </w:r>
      <w:r>
        <w:fldChar w:fldCharType="separate"/>
      </w:r>
      <w:r>
        <w:t>1</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_Toc8767 </w:instrText>
      </w:r>
      <w:r>
        <w:rPr>
          <w:rFonts w:hint="eastAsia" w:ascii="宋体" w:hAnsi="宋体" w:cs="宋体"/>
          <w:i/>
          <w:caps/>
          <w:szCs w:val="24"/>
        </w:rPr>
        <w:fldChar w:fldCharType="separate"/>
      </w:r>
      <w:r>
        <w:rPr>
          <w:rFonts w:hint="eastAsia"/>
        </w:rPr>
        <w:t>1.4 招标文件的获取</w:t>
      </w:r>
      <w:r>
        <w:tab/>
      </w:r>
      <w:r>
        <w:fldChar w:fldCharType="begin"/>
      </w:r>
      <w:r>
        <w:instrText xml:space="preserve"> PAGEREF _Toc8767 \h </w:instrText>
      </w:r>
      <w:r>
        <w:fldChar w:fldCharType="separate"/>
      </w:r>
      <w:r>
        <w:t>2</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_Toc917 </w:instrText>
      </w:r>
      <w:r>
        <w:rPr>
          <w:rFonts w:hint="eastAsia" w:ascii="宋体" w:hAnsi="宋体" w:cs="宋体"/>
          <w:i/>
          <w:caps/>
          <w:szCs w:val="24"/>
        </w:rPr>
        <w:fldChar w:fldCharType="separate"/>
      </w:r>
      <w:r>
        <w:rPr>
          <w:rFonts w:hint="eastAsia"/>
        </w:rPr>
        <w:t>1.5 投标报名</w:t>
      </w:r>
      <w:r>
        <w:tab/>
      </w:r>
      <w:r>
        <w:fldChar w:fldCharType="begin"/>
      </w:r>
      <w:r>
        <w:instrText xml:space="preserve"> PAGEREF _Toc917 \h </w:instrText>
      </w:r>
      <w:r>
        <w:fldChar w:fldCharType="separate"/>
      </w:r>
      <w:r>
        <w:t>2</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_Toc26144 </w:instrText>
      </w:r>
      <w:r>
        <w:rPr>
          <w:rFonts w:hint="eastAsia" w:ascii="宋体" w:hAnsi="宋体" w:cs="宋体"/>
          <w:i/>
          <w:caps/>
          <w:szCs w:val="24"/>
        </w:rPr>
        <w:fldChar w:fldCharType="separate"/>
      </w:r>
      <w:r>
        <w:rPr>
          <w:rFonts w:hint="eastAsia"/>
        </w:rPr>
        <w:t>1.6 联系方式</w:t>
      </w:r>
      <w:r>
        <w:tab/>
      </w:r>
      <w:r>
        <w:fldChar w:fldCharType="begin"/>
      </w:r>
      <w:r>
        <w:instrText xml:space="preserve"> PAGEREF _Toc26144 \h </w:instrText>
      </w:r>
      <w:r>
        <w:fldChar w:fldCharType="separate"/>
      </w:r>
      <w:r>
        <w:t>3</w:t>
      </w:r>
      <w:r>
        <w:fldChar w:fldCharType="end"/>
      </w:r>
      <w:r>
        <w:rPr>
          <w:rFonts w:hint="eastAsia" w:ascii="宋体" w:hAnsi="宋体" w:cs="宋体"/>
          <w:i/>
          <w:caps/>
          <w:szCs w:val="24"/>
        </w:rPr>
        <w:fldChar w:fldCharType="end"/>
      </w:r>
    </w:p>
    <w:p>
      <w:pPr>
        <w:pStyle w:val="54"/>
        <w:tabs>
          <w:tab w:val="right" w:leader="dot" w:pos="9071"/>
        </w:tabs>
      </w:pPr>
      <w:r>
        <w:rPr>
          <w:rFonts w:hint="eastAsia" w:ascii="宋体" w:hAnsi="宋体" w:cs="宋体"/>
          <w:i/>
          <w:caps w:val="0"/>
          <w:szCs w:val="24"/>
        </w:rPr>
        <w:fldChar w:fldCharType="begin"/>
      </w:r>
      <w:r>
        <w:rPr>
          <w:rFonts w:hint="eastAsia" w:ascii="宋体" w:hAnsi="宋体" w:cs="宋体"/>
          <w:i/>
          <w:caps w:val="0"/>
          <w:szCs w:val="24"/>
        </w:rPr>
        <w:instrText xml:space="preserve"> HYPERLINK \l _Toc4552 </w:instrText>
      </w:r>
      <w:r>
        <w:rPr>
          <w:rFonts w:hint="eastAsia" w:ascii="宋体" w:hAnsi="宋体" w:cs="宋体"/>
          <w:i/>
          <w:caps w:val="0"/>
          <w:szCs w:val="24"/>
        </w:rPr>
        <w:fldChar w:fldCharType="separate"/>
      </w:r>
      <w:r>
        <w:rPr>
          <w:rFonts w:hint="eastAsia"/>
        </w:rPr>
        <w:t>第2章 投标人须知</w:t>
      </w:r>
      <w:r>
        <w:tab/>
      </w:r>
      <w:r>
        <w:fldChar w:fldCharType="begin"/>
      </w:r>
      <w:r>
        <w:instrText xml:space="preserve"> PAGEREF _Toc4552 \h </w:instrText>
      </w:r>
      <w:r>
        <w:fldChar w:fldCharType="separate"/>
      </w:r>
      <w:r>
        <w:t>4</w:t>
      </w:r>
      <w:r>
        <w:fldChar w:fldCharType="end"/>
      </w:r>
      <w:r>
        <w:rPr>
          <w:rFonts w:hint="eastAsia" w:ascii="宋体" w:hAnsi="宋体" w:cs="宋体"/>
          <w:i/>
          <w:caps w:val="0"/>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_Toc8231 </w:instrText>
      </w:r>
      <w:r>
        <w:rPr>
          <w:rFonts w:hint="eastAsia" w:ascii="宋体" w:hAnsi="宋体" w:cs="宋体"/>
          <w:i/>
          <w:caps/>
          <w:szCs w:val="24"/>
        </w:rPr>
        <w:fldChar w:fldCharType="separate"/>
      </w:r>
      <w:r>
        <w:rPr>
          <w:rFonts w:hint="eastAsia"/>
        </w:rPr>
        <w:t>2.1 投标人须知前附表</w:t>
      </w:r>
      <w:r>
        <w:tab/>
      </w:r>
      <w:r>
        <w:fldChar w:fldCharType="begin"/>
      </w:r>
      <w:r>
        <w:instrText xml:space="preserve"> PAGEREF _Toc8231 \h </w:instrText>
      </w:r>
      <w:r>
        <w:fldChar w:fldCharType="separate"/>
      </w:r>
      <w:r>
        <w:t>4</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_Toc24443 </w:instrText>
      </w:r>
      <w:r>
        <w:rPr>
          <w:rFonts w:hint="eastAsia" w:ascii="宋体" w:hAnsi="宋体" w:cs="宋体"/>
          <w:i/>
          <w:caps/>
          <w:szCs w:val="24"/>
        </w:rPr>
        <w:fldChar w:fldCharType="separate"/>
      </w:r>
      <w:r>
        <w:t xml:space="preserve">2.2 </w:t>
      </w:r>
      <w:r>
        <w:rPr>
          <w:rFonts w:hint="eastAsia"/>
        </w:rPr>
        <w:t>招标文件</w:t>
      </w:r>
      <w:r>
        <w:tab/>
      </w:r>
      <w:r>
        <w:fldChar w:fldCharType="begin"/>
      </w:r>
      <w:r>
        <w:instrText xml:space="preserve"> PAGEREF _Toc24443 \h </w:instrText>
      </w:r>
      <w:r>
        <w:fldChar w:fldCharType="separate"/>
      </w:r>
      <w:r>
        <w:t>7</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_Toc18139 </w:instrText>
      </w:r>
      <w:r>
        <w:rPr>
          <w:rFonts w:hint="eastAsia" w:ascii="宋体" w:hAnsi="宋体" w:cs="宋体"/>
          <w:i/>
          <w:caps/>
          <w:szCs w:val="24"/>
        </w:rPr>
        <w:fldChar w:fldCharType="separate"/>
      </w:r>
      <w:r>
        <w:t xml:space="preserve">2.3 </w:t>
      </w:r>
      <w:r>
        <w:rPr>
          <w:rFonts w:hint="eastAsia"/>
        </w:rPr>
        <w:t>投标文件编写</w:t>
      </w:r>
      <w:r>
        <w:tab/>
      </w:r>
      <w:r>
        <w:fldChar w:fldCharType="begin"/>
      </w:r>
      <w:r>
        <w:instrText xml:space="preserve"> PAGEREF _Toc18139 \h </w:instrText>
      </w:r>
      <w:r>
        <w:fldChar w:fldCharType="separate"/>
      </w:r>
      <w:r>
        <w:t>8</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_Toc12951 </w:instrText>
      </w:r>
      <w:r>
        <w:rPr>
          <w:rFonts w:hint="eastAsia" w:ascii="宋体" w:hAnsi="宋体" w:cs="宋体"/>
          <w:i/>
          <w:caps/>
          <w:szCs w:val="24"/>
        </w:rPr>
        <w:fldChar w:fldCharType="separate"/>
      </w:r>
      <w:r>
        <w:t xml:space="preserve">2.4 </w:t>
      </w:r>
      <w:r>
        <w:rPr>
          <w:rFonts w:hint="eastAsia"/>
        </w:rPr>
        <w:t>投标文件递交</w:t>
      </w:r>
      <w:r>
        <w:tab/>
      </w:r>
      <w:r>
        <w:fldChar w:fldCharType="begin"/>
      </w:r>
      <w:r>
        <w:instrText xml:space="preserve"> PAGEREF _Toc12951 \h </w:instrText>
      </w:r>
      <w:r>
        <w:fldChar w:fldCharType="separate"/>
      </w:r>
      <w:r>
        <w:t>11</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_Toc5117 </w:instrText>
      </w:r>
      <w:r>
        <w:rPr>
          <w:rFonts w:hint="eastAsia" w:ascii="宋体" w:hAnsi="宋体" w:cs="宋体"/>
          <w:i/>
          <w:caps/>
          <w:szCs w:val="24"/>
        </w:rPr>
        <w:fldChar w:fldCharType="separate"/>
      </w:r>
      <w:r>
        <w:t xml:space="preserve">2.5 </w:t>
      </w:r>
      <w:r>
        <w:rPr>
          <w:rFonts w:hint="eastAsia"/>
        </w:rPr>
        <w:t>开标与评标</w:t>
      </w:r>
      <w:r>
        <w:tab/>
      </w:r>
      <w:r>
        <w:fldChar w:fldCharType="begin"/>
      </w:r>
      <w:r>
        <w:instrText xml:space="preserve"> PAGEREF _Toc5117 \h </w:instrText>
      </w:r>
      <w:r>
        <w:fldChar w:fldCharType="separate"/>
      </w:r>
      <w:r>
        <w:t>12</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_Toc9069 </w:instrText>
      </w:r>
      <w:r>
        <w:rPr>
          <w:rFonts w:hint="eastAsia" w:ascii="宋体" w:hAnsi="宋体" w:cs="宋体"/>
          <w:i/>
          <w:caps/>
          <w:szCs w:val="24"/>
        </w:rPr>
        <w:fldChar w:fldCharType="separate"/>
      </w:r>
      <w:r>
        <w:t xml:space="preserve">2.6 </w:t>
      </w:r>
      <w:r>
        <w:rPr>
          <w:rFonts w:hint="eastAsia"/>
        </w:rPr>
        <w:t>授予合同</w:t>
      </w:r>
      <w:r>
        <w:tab/>
      </w:r>
      <w:r>
        <w:fldChar w:fldCharType="begin"/>
      </w:r>
      <w:r>
        <w:instrText xml:space="preserve"> PAGEREF _Toc9069 \h </w:instrText>
      </w:r>
      <w:r>
        <w:fldChar w:fldCharType="separate"/>
      </w:r>
      <w:r>
        <w:t>14</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_Toc13795 </w:instrText>
      </w:r>
      <w:r>
        <w:rPr>
          <w:rFonts w:hint="eastAsia" w:ascii="宋体" w:hAnsi="宋体" w:cs="宋体"/>
          <w:i/>
          <w:caps/>
          <w:szCs w:val="24"/>
        </w:rPr>
        <w:fldChar w:fldCharType="separate"/>
      </w:r>
      <w:r>
        <w:rPr>
          <w:rFonts w:hint="eastAsia"/>
        </w:rPr>
        <w:t>2.7 签订合同</w:t>
      </w:r>
      <w:r>
        <w:tab/>
      </w:r>
      <w:r>
        <w:fldChar w:fldCharType="begin"/>
      </w:r>
      <w:r>
        <w:instrText xml:space="preserve"> PAGEREF _Toc13795 \h </w:instrText>
      </w:r>
      <w:r>
        <w:fldChar w:fldCharType="separate"/>
      </w:r>
      <w:r>
        <w:t>14</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_Toc26910 </w:instrText>
      </w:r>
      <w:r>
        <w:rPr>
          <w:rFonts w:hint="eastAsia" w:ascii="宋体" w:hAnsi="宋体" w:cs="宋体"/>
          <w:i/>
          <w:caps/>
          <w:szCs w:val="24"/>
        </w:rPr>
        <w:fldChar w:fldCharType="separate"/>
      </w:r>
      <w:r>
        <w:t xml:space="preserve">2.8 </w:t>
      </w:r>
      <w:r>
        <w:rPr>
          <w:rFonts w:hint="eastAsia"/>
        </w:rPr>
        <w:t>相关费用</w:t>
      </w:r>
      <w:r>
        <w:tab/>
      </w:r>
      <w:r>
        <w:fldChar w:fldCharType="begin"/>
      </w:r>
      <w:r>
        <w:instrText xml:space="preserve"> PAGEREF _Toc26910 \h </w:instrText>
      </w:r>
      <w:r>
        <w:fldChar w:fldCharType="separate"/>
      </w:r>
      <w:r>
        <w:t>15</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_Toc18633 </w:instrText>
      </w:r>
      <w:r>
        <w:rPr>
          <w:rFonts w:hint="eastAsia" w:ascii="宋体" w:hAnsi="宋体" w:cs="宋体"/>
          <w:i/>
          <w:caps/>
          <w:szCs w:val="24"/>
        </w:rPr>
        <w:fldChar w:fldCharType="separate"/>
      </w:r>
      <w:r>
        <w:t xml:space="preserve">2.9 </w:t>
      </w:r>
      <w:r>
        <w:rPr>
          <w:rFonts w:hint="eastAsia"/>
        </w:rPr>
        <w:t>解释权</w:t>
      </w:r>
      <w:r>
        <w:tab/>
      </w:r>
      <w:r>
        <w:fldChar w:fldCharType="begin"/>
      </w:r>
      <w:r>
        <w:instrText xml:space="preserve"> PAGEREF _Toc18633 \h </w:instrText>
      </w:r>
      <w:r>
        <w:fldChar w:fldCharType="separate"/>
      </w:r>
      <w:r>
        <w:t>15</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_Toc21033 </w:instrText>
      </w:r>
      <w:r>
        <w:rPr>
          <w:rFonts w:hint="eastAsia" w:ascii="宋体" w:hAnsi="宋体" w:cs="宋体"/>
          <w:i/>
          <w:caps/>
          <w:szCs w:val="24"/>
        </w:rPr>
        <w:fldChar w:fldCharType="separate"/>
      </w:r>
      <w:r>
        <w:rPr>
          <w:rFonts w:hint="eastAsia"/>
        </w:rPr>
        <w:t>2.10 其他</w:t>
      </w:r>
      <w:r>
        <w:tab/>
      </w:r>
      <w:r>
        <w:rPr>
          <w:rFonts w:hint="eastAsia"/>
          <w:lang w:val="en-US" w:eastAsia="zh-CN"/>
        </w:rPr>
        <w:t>15</w:t>
      </w:r>
      <w:r>
        <w:rPr>
          <w:rFonts w:hint="eastAsia" w:ascii="宋体" w:hAnsi="宋体" w:cs="宋体"/>
          <w:i/>
          <w:caps/>
          <w:szCs w:val="24"/>
        </w:rPr>
        <w:fldChar w:fldCharType="end"/>
      </w:r>
    </w:p>
    <w:p>
      <w:pPr>
        <w:pStyle w:val="54"/>
        <w:tabs>
          <w:tab w:val="right" w:leader="dot" w:pos="9071"/>
        </w:tabs>
        <w:rPr>
          <w:iCs/>
        </w:rPr>
      </w:pPr>
      <w:r>
        <w:rPr>
          <w:rFonts w:hint="eastAsia" w:ascii="宋体" w:hAnsi="宋体" w:cs="宋体"/>
          <w:iCs/>
          <w:caps w:val="0"/>
          <w:szCs w:val="24"/>
        </w:rPr>
        <w:fldChar w:fldCharType="begin"/>
      </w:r>
      <w:r>
        <w:rPr>
          <w:rFonts w:hint="eastAsia" w:ascii="宋体" w:hAnsi="宋体" w:cs="宋体"/>
          <w:iCs/>
          <w:caps w:val="0"/>
          <w:szCs w:val="24"/>
        </w:rPr>
        <w:instrText xml:space="preserve"> HYPERLINK \l _Toc16277 </w:instrText>
      </w:r>
      <w:r>
        <w:rPr>
          <w:rFonts w:hint="eastAsia" w:ascii="宋体" w:hAnsi="宋体" w:cs="宋体"/>
          <w:iCs/>
          <w:caps w:val="0"/>
          <w:szCs w:val="24"/>
        </w:rPr>
        <w:fldChar w:fldCharType="separate"/>
      </w:r>
      <w:r>
        <w:rPr>
          <w:rFonts w:hint="eastAsia"/>
          <w:iCs/>
        </w:rPr>
        <w:t>第3章 评标方法</w:t>
      </w:r>
      <w:r>
        <w:rPr>
          <w:iCs/>
        </w:rPr>
        <w:tab/>
      </w:r>
      <w:r>
        <w:rPr>
          <w:iCs/>
        </w:rPr>
        <w:fldChar w:fldCharType="begin"/>
      </w:r>
      <w:r>
        <w:rPr>
          <w:iCs/>
        </w:rPr>
        <w:instrText xml:space="preserve"> PAGEREF _Toc16277 \h </w:instrText>
      </w:r>
      <w:r>
        <w:rPr>
          <w:iCs/>
        </w:rPr>
        <w:fldChar w:fldCharType="separate"/>
      </w:r>
      <w:r>
        <w:rPr>
          <w:iCs/>
        </w:rPr>
        <w:t>16</w:t>
      </w:r>
      <w:r>
        <w:rPr>
          <w:iCs/>
        </w:rPr>
        <w:fldChar w:fldCharType="end"/>
      </w:r>
      <w:r>
        <w:rPr>
          <w:rFonts w:hint="eastAsia" w:ascii="宋体" w:hAnsi="宋体" w:cs="宋体"/>
          <w:iCs/>
          <w:caps w:val="0"/>
          <w:szCs w:val="24"/>
        </w:rPr>
        <w:fldChar w:fldCharType="end"/>
      </w:r>
    </w:p>
    <w:p>
      <w:pPr>
        <w:pStyle w:val="54"/>
        <w:tabs>
          <w:tab w:val="right" w:leader="dot" w:pos="9071"/>
        </w:tabs>
      </w:pPr>
      <w:r>
        <w:rPr>
          <w:rFonts w:hint="eastAsia" w:ascii="宋体" w:hAnsi="宋体" w:cs="宋体"/>
          <w:i/>
          <w:caps w:val="0"/>
          <w:szCs w:val="24"/>
        </w:rPr>
        <w:fldChar w:fldCharType="begin"/>
      </w:r>
      <w:r>
        <w:rPr>
          <w:rFonts w:hint="eastAsia" w:ascii="宋体" w:hAnsi="宋体" w:cs="宋体"/>
          <w:i/>
          <w:caps w:val="0"/>
          <w:szCs w:val="24"/>
        </w:rPr>
        <w:instrText xml:space="preserve"> HYPERLINK \l _Toc4760 </w:instrText>
      </w:r>
      <w:r>
        <w:rPr>
          <w:rFonts w:hint="eastAsia" w:ascii="宋体" w:hAnsi="宋体" w:cs="宋体"/>
          <w:i/>
          <w:caps w:val="0"/>
          <w:szCs w:val="24"/>
        </w:rPr>
        <w:fldChar w:fldCharType="separate"/>
      </w:r>
      <w:r>
        <w:rPr>
          <w:rFonts w:hint="eastAsia"/>
        </w:rPr>
        <w:t>第4章 技术规格及技术要求</w:t>
      </w:r>
      <w:r>
        <w:tab/>
      </w:r>
      <w:r>
        <w:fldChar w:fldCharType="begin"/>
      </w:r>
      <w:r>
        <w:instrText xml:space="preserve"> PAGEREF _Toc4760 \h </w:instrText>
      </w:r>
      <w:r>
        <w:fldChar w:fldCharType="separate"/>
      </w:r>
      <w:r>
        <w:t>18</w:t>
      </w:r>
      <w:r>
        <w:fldChar w:fldCharType="end"/>
      </w:r>
      <w:r>
        <w:rPr>
          <w:rFonts w:hint="eastAsia" w:ascii="宋体" w:hAnsi="宋体" w:cs="宋体"/>
          <w:i/>
          <w:caps w:val="0"/>
          <w:szCs w:val="24"/>
        </w:rPr>
        <w:fldChar w:fldCharType="end"/>
      </w:r>
    </w:p>
    <w:p>
      <w:pPr>
        <w:pStyle w:val="54"/>
        <w:tabs>
          <w:tab w:val="right" w:leader="dot" w:pos="9071"/>
        </w:tabs>
      </w:pPr>
      <w:r>
        <w:rPr>
          <w:rFonts w:hint="eastAsia" w:ascii="宋体" w:hAnsi="宋体" w:cs="宋体"/>
          <w:i/>
          <w:caps w:val="0"/>
          <w:szCs w:val="24"/>
        </w:rPr>
        <w:fldChar w:fldCharType="begin"/>
      </w:r>
      <w:r>
        <w:rPr>
          <w:rFonts w:hint="eastAsia" w:ascii="宋体" w:hAnsi="宋体" w:cs="宋体"/>
          <w:i/>
          <w:caps w:val="0"/>
          <w:szCs w:val="24"/>
        </w:rPr>
        <w:instrText xml:space="preserve"> HYPERLINK \l _Toc24552 </w:instrText>
      </w:r>
      <w:r>
        <w:rPr>
          <w:rFonts w:hint="eastAsia" w:ascii="宋体" w:hAnsi="宋体" w:cs="宋体"/>
          <w:i/>
          <w:caps w:val="0"/>
          <w:szCs w:val="24"/>
        </w:rPr>
        <w:fldChar w:fldCharType="separate"/>
      </w:r>
      <w:r>
        <w:rPr>
          <w:rFonts w:hint="eastAsia"/>
        </w:rPr>
        <w:t>第5章 设备采购合同</w:t>
      </w:r>
      <w:r>
        <w:tab/>
      </w:r>
      <w:r>
        <w:fldChar w:fldCharType="begin"/>
      </w:r>
      <w:r>
        <w:instrText xml:space="preserve"> PAGEREF _Toc24552 \h </w:instrText>
      </w:r>
      <w:r>
        <w:fldChar w:fldCharType="separate"/>
      </w:r>
      <w:r>
        <w:t>22</w:t>
      </w:r>
      <w:r>
        <w:fldChar w:fldCharType="end"/>
      </w:r>
      <w:r>
        <w:rPr>
          <w:rFonts w:hint="eastAsia" w:ascii="宋体" w:hAnsi="宋体" w:cs="宋体"/>
          <w:i/>
          <w:caps w:val="0"/>
          <w:szCs w:val="24"/>
        </w:rPr>
        <w:fldChar w:fldCharType="end"/>
      </w:r>
    </w:p>
    <w:p>
      <w:pPr>
        <w:pStyle w:val="54"/>
        <w:tabs>
          <w:tab w:val="right" w:leader="dot" w:pos="9071"/>
        </w:tabs>
      </w:pPr>
      <w:r>
        <w:rPr>
          <w:rFonts w:hint="eastAsia" w:ascii="宋体" w:hAnsi="宋体" w:cs="宋体"/>
          <w:i/>
          <w:caps w:val="0"/>
          <w:szCs w:val="24"/>
        </w:rPr>
        <w:fldChar w:fldCharType="begin"/>
      </w:r>
      <w:r>
        <w:rPr>
          <w:rFonts w:hint="eastAsia" w:ascii="宋体" w:hAnsi="宋体" w:cs="宋体"/>
          <w:i/>
          <w:caps w:val="0"/>
          <w:szCs w:val="24"/>
        </w:rPr>
        <w:instrText xml:space="preserve"> HYPERLINK \l _Toc7264 </w:instrText>
      </w:r>
      <w:r>
        <w:rPr>
          <w:rFonts w:hint="eastAsia" w:ascii="宋体" w:hAnsi="宋体" w:cs="宋体"/>
          <w:i/>
          <w:caps w:val="0"/>
          <w:szCs w:val="24"/>
        </w:rPr>
        <w:fldChar w:fldCharType="separate"/>
      </w:r>
      <w:r>
        <w:rPr>
          <w:rFonts w:hint="eastAsia"/>
        </w:rPr>
        <w:t>第6章 附件</w:t>
      </w:r>
      <w:r>
        <w:tab/>
      </w:r>
      <w:r>
        <w:fldChar w:fldCharType="begin"/>
      </w:r>
      <w:r>
        <w:instrText xml:space="preserve"> PAGEREF _Toc7264 \h </w:instrText>
      </w:r>
      <w:r>
        <w:fldChar w:fldCharType="separate"/>
      </w:r>
      <w:r>
        <w:t>30</w:t>
      </w:r>
      <w:r>
        <w:fldChar w:fldCharType="end"/>
      </w:r>
      <w:r>
        <w:rPr>
          <w:rFonts w:hint="eastAsia" w:ascii="宋体" w:hAnsi="宋体" w:cs="宋体"/>
          <w:i/>
          <w:caps w:val="0"/>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_Toc21352 </w:instrText>
      </w:r>
      <w:r>
        <w:rPr>
          <w:rFonts w:hint="eastAsia" w:ascii="宋体" w:hAnsi="宋体" w:cs="宋体"/>
          <w:i/>
          <w:caps/>
          <w:szCs w:val="24"/>
        </w:rPr>
        <w:fldChar w:fldCharType="separate"/>
      </w:r>
      <w:r>
        <w:rPr>
          <w:rFonts w:hint="eastAsia"/>
        </w:rPr>
        <w:t>附件一：投标函</w:t>
      </w:r>
      <w:r>
        <w:tab/>
      </w:r>
      <w:r>
        <w:fldChar w:fldCharType="begin"/>
      </w:r>
      <w:r>
        <w:instrText xml:space="preserve"> PAGEREF _Toc21352 \h </w:instrText>
      </w:r>
      <w:r>
        <w:fldChar w:fldCharType="separate"/>
      </w:r>
      <w:r>
        <w:t>31</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_Toc7153 </w:instrText>
      </w:r>
      <w:r>
        <w:rPr>
          <w:rFonts w:hint="eastAsia" w:ascii="宋体" w:hAnsi="宋体" w:cs="宋体"/>
          <w:i/>
          <w:caps/>
          <w:szCs w:val="24"/>
        </w:rPr>
        <w:fldChar w:fldCharType="separate"/>
      </w:r>
      <w:r>
        <w:rPr>
          <w:rFonts w:hint="eastAsia"/>
        </w:rPr>
        <w:t>附件二：授权委托书</w:t>
      </w:r>
      <w:r>
        <w:tab/>
      </w:r>
      <w:r>
        <w:fldChar w:fldCharType="begin"/>
      </w:r>
      <w:r>
        <w:instrText xml:space="preserve"> PAGEREF _Toc7153 \h </w:instrText>
      </w:r>
      <w:r>
        <w:fldChar w:fldCharType="separate"/>
      </w:r>
      <w:r>
        <w:t>32</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_Toc16899 </w:instrText>
      </w:r>
      <w:r>
        <w:rPr>
          <w:rFonts w:hint="eastAsia" w:ascii="宋体" w:hAnsi="宋体" w:cs="宋体"/>
          <w:i/>
          <w:caps/>
          <w:szCs w:val="24"/>
        </w:rPr>
        <w:fldChar w:fldCharType="separate"/>
      </w:r>
      <w:r>
        <w:rPr>
          <w:rFonts w:hint="eastAsia"/>
        </w:rPr>
        <w:t>附件三：开标一览表</w:t>
      </w:r>
      <w:r>
        <w:tab/>
      </w:r>
      <w:r>
        <w:fldChar w:fldCharType="begin"/>
      </w:r>
      <w:r>
        <w:instrText xml:space="preserve"> PAGEREF _Toc16899 \h </w:instrText>
      </w:r>
      <w:r>
        <w:fldChar w:fldCharType="separate"/>
      </w:r>
      <w:r>
        <w:t>33</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_Toc12321 </w:instrText>
      </w:r>
      <w:r>
        <w:rPr>
          <w:rFonts w:hint="eastAsia" w:ascii="宋体" w:hAnsi="宋体" w:cs="宋体"/>
          <w:i/>
          <w:caps/>
          <w:szCs w:val="24"/>
        </w:rPr>
        <w:fldChar w:fldCharType="separate"/>
      </w:r>
      <w:r>
        <w:rPr>
          <w:rFonts w:hint="eastAsia"/>
        </w:rPr>
        <w:t>附件四；分项报价表</w:t>
      </w:r>
      <w:r>
        <w:tab/>
      </w:r>
      <w:r>
        <w:fldChar w:fldCharType="begin"/>
      </w:r>
      <w:r>
        <w:instrText xml:space="preserve"> PAGEREF _Toc12321 \h </w:instrText>
      </w:r>
      <w:r>
        <w:fldChar w:fldCharType="separate"/>
      </w:r>
      <w:r>
        <w:t>34</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_Toc3370 </w:instrText>
      </w:r>
      <w:r>
        <w:rPr>
          <w:rFonts w:hint="eastAsia" w:ascii="宋体" w:hAnsi="宋体" w:cs="宋体"/>
          <w:i/>
          <w:caps/>
          <w:szCs w:val="24"/>
        </w:rPr>
        <w:fldChar w:fldCharType="separate"/>
      </w:r>
      <w:r>
        <w:rPr>
          <w:rFonts w:hint="eastAsia"/>
        </w:rPr>
        <w:t>附件五：备品备件、易损件和专用耗材明细表</w:t>
      </w:r>
      <w:r>
        <w:tab/>
      </w:r>
      <w:r>
        <w:fldChar w:fldCharType="begin"/>
      </w:r>
      <w:r>
        <w:instrText xml:space="preserve"> PAGEREF _Toc3370 \h </w:instrText>
      </w:r>
      <w:r>
        <w:fldChar w:fldCharType="separate"/>
      </w:r>
      <w:r>
        <w:t>35</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_Toc26130 </w:instrText>
      </w:r>
      <w:r>
        <w:rPr>
          <w:rFonts w:hint="eastAsia" w:ascii="宋体" w:hAnsi="宋体" w:cs="宋体"/>
          <w:i/>
          <w:caps/>
          <w:szCs w:val="24"/>
        </w:rPr>
        <w:fldChar w:fldCharType="separate"/>
      </w:r>
      <w:r>
        <w:rPr>
          <w:rFonts w:hint="eastAsia"/>
        </w:rPr>
        <w:t>附件六：技术规格偏离表</w:t>
      </w:r>
      <w:r>
        <w:tab/>
      </w:r>
      <w:r>
        <w:fldChar w:fldCharType="begin"/>
      </w:r>
      <w:r>
        <w:instrText xml:space="preserve"> PAGEREF _Toc26130 \h </w:instrText>
      </w:r>
      <w:r>
        <w:fldChar w:fldCharType="separate"/>
      </w:r>
      <w:r>
        <w:t>36</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_Toc6333 </w:instrText>
      </w:r>
      <w:r>
        <w:rPr>
          <w:rFonts w:hint="eastAsia" w:ascii="宋体" w:hAnsi="宋体" w:cs="宋体"/>
          <w:i/>
          <w:caps/>
          <w:szCs w:val="24"/>
        </w:rPr>
        <w:fldChar w:fldCharType="separate"/>
      </w:r>
      <w:r>
        <w:rPr>
          <w:rFonts w:hint="eastAsia"/>
        </w:rPr>
        <w:t>附件七：商务条款偏离表</w:t>
      </w:r>
      <w:r>
        <w:tab/>
      </w:r>
      <w:r>
        <w:fldChar w:fldCharType="begin"/>
      </w:r>
      <w:r>
        <w:instrText xml:space="preserve"> PAGEREF _Toc6333 \h </w:instrText>
      </w:r>
      <w:r>
        <w:fldChar w:fldCharType="separate"/>
      </w:r>
      <w:r>
        <w:t>37</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_Toc24646 </w:instrText>
      </w:r>
      <w:r>
        <w:rPr>
          <w:rFonts w:hint="eastAsia" w:ascii="宋体" w:hAnsi="宋体" w:cs="宋体"/>
          <w:i/>
          <w:caps/>
          <w:szCs w:val="24"/>
        </w:rPr>
        <w:fldChar w:fldCharType="separate"/>
      </w:r>
      <w:r>
        <w:rPr>
          <w:rFonts w:hint="eastAsia"/>
        </w:rPr>
        <w:t>附件八：经营业绩一览表</w:t>
      </w:r>
      <w:r>
        <w:tab/>
      </w:r>
      <w:r>
        <w:fldChar w:fldCharType="begin"/>
      </w:r>
      <w:r>
        <w:instrText xml:space="preserve"> PAGEREF _Toc24646 \h </w:instrText>
      </w:r>
      <w:r>
        <w:fldChar w:fldCharType="separate"/>
      </w:r>
      <w:r>
        <w:t>38</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_Toc25600 </w:instrText>
      </w:r>
      <w:r>
        <w:rPr>
          <w:rFonts w:hint="eastAsia" w:ascii="宋体" w:hAnsi="宋体" w:cs="宋体"/>
          <w:i/>
          <w:caps/>
          <w:szCs w:val="24"/>
        </w:rPr>
        <w:fldChar w:fldCharType="separate"/>
      </w:r>
      <w:r>
        <w:rPr>
          <w:rFonts w:hint="eastAsia"/>
        </w:rPr>
        <w:t>附件九：服务承诺函</w:t>
      </w:r>
      <w:r>
        <w:tab/>
      </w:r>
      <w:r>
        <w:fldChar w:fldCharType="begin"/>
      </w:r>
      <w:r>
        <w:instrText xml:space="preserve"> PAGEREF _Toc25600 \h </w:instrText>
      </w:r>
      <w:r>
        <w:fldChar w:fldCharType="separate"/>
      </w:r>
      <w:r>
        <w:t>39</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_Toc23489 </w:instrText>
      </w:r>
      <w:r>
        <w:rPr>
          <w:rFonts w:hint="eastAsia" w:ascii="宋体" w:hAnsi="宋体" w:cs="宋体"/>
          <w:i/>
          <w:caps/>
          <w:szCs w:val="24"/>
        </w:rPr>
        <w:fldChar w:fldCharType="separate"/>
      </w:r>
      <w:r>
        <w:rPr>
          <w:rFonts w:hint="eastAsia"/>
        </w:rPr>
        <w:t>附件十：封面格式（参考）</w:t>
      </w:r>
      <w:r>
        <w:tab/>
      </w:r>
      <w:r>
        <w:fldChar w:fldCharType="begin"/>
      </w:r>
      <w:r>
        <w:instrText xml:space="preserve"> PAGEREF _Toc23489 \h </w:instrText>
      </w:r>
      <w:r>
        <w:fldChar w:fldCharType="separate"/>
      </w:r>
      <w:r>
        <w:t>41</w:t>
      </w:r>
      <w:r>
        <w:fldChar w:fldCharType="end"/>
      </w:r>
      <w:r>
        <w:rPr>
          <w:rFonts w:hint="eastAsia" w:ascii="宋体" w:hAnsi="宋体" w:cs="宋体"/>
          <w:i/>
          <w:caps/>
          <w:szCs w:val="24"/>
        </w:rPr>
        <w:fldChar w:fldCharType="end"/>
      </w:r>
    </w:p>
    <w:p>
      <w:pPr>
        <w:pStyle w:val="64"/>
        <w:tabs>
          <w:tab w:val="right" w:leader="dot" w:pos="9071"/>
        </w:tabs>
      </w:pPr>
      <w:r>
        <w:rPr>
          <w:rFonts w:hint="eastAsia" w:ascii="宋体" w:hAnsi="宋体" w:cs="宋体"/>
          <w:i/>
          <w:caps/>
          <w:szCs w:val="24"/>
        </w:rPr>
        <w:fldChar w:fldCharType="begin"/>
      </w:r>
      <w:r>
        <w:rPr>
          <w:rFonts w:hint="eastAsia" w:ascii="宋体" w:hAnsi="宋体" w:cs="宋体"/>
          <w:i/>
          <w:caps/>
          <w:szCs w:val="24"/>
        </w:rPr>
        <w:instrText xml:space="preserve"> HYPERLINK \l _Toc23252 </w:instrText>
      </w:r>
      <w:r>
        <w:rPr>
          <w:rFonts w:hint="eastAsia" w:ascii="宋体" w:hAnsi="宋体" w:cs="宋体"/>
          <w:i/>
          <w:caps/>
          <w:szCs w:val="24"/>
        </w:rPr>
        <w:fldChar w:fldCharType="separate"/>
      </w:r>
      <w:r>
        <w:rPr>
          <w:rFonts w:hint="eastAsia"/>
        </w:rPr>
        <w:t>附件十一：投标人报名表</w:t>
      </w:r>
      <w:r>
        <w:tab/>
      </w:r>
      <w:r>
        <w:fldChar w:fldCharType="begin"/>
      </w:r>
      <w:r>
        <w:instrText xml:space="preserve"> PAGEREF _Toc23252 \h </w:instrText>
      </w:r>
      <w:r>
        <w:fldChar w:fldCharType="separate"/>
      </w:r>
      <w:r>
        <w:t>42</w:t>
      </w:r>
      <w:r>
        <w:fldChar w:fldCharType="end"/>
      </w:r>
      <w:r>
        <w:rPr>
          <w:rFonts w:hint="eastAsia" w:ascii="宋体" w:hAnsi="宋体" w:cs="宋体"/>
          <w:i/>
          <w:caps/>
          <w:szCs w:val="24"/>
        </w:rPr>
        <w:fldChar w:fldCharType="end"/>
      </w:r>
    </w:p>
    <w:p>
      <w:pPr>
        <w:pStyle w:val="3"/>
        <w:numPr>
          <w:ilvl w:val="0"/>
          <w:numId w:val="0"/>
        </w:numPr>
        <w:rPr>
          <w:rFonts w:hint="eastAsia" w:ascii="宋体" w:hAnsi="宋体" w:cs="宋体"/>
          <w:i/>
          <w:caps/>
          <w:szCs w:val="24"/>
        </w:rPr>
        <w:sectPr>
          <w:headerReference r:id="rId3" w:type="default"/>
          <w:pgSz w:w="11907" w:h="16840"/>
          <w:pgMar w:top="1025" w:right="1418" w:bottom="1418" w:left="1418" w:header="724" w:footer="851" w:gutter="0"/>
          <w:cols w:space="720" w:num="1"/>
          <w:docGrid w:linePitch="290" w:charSpace="-3931"/>
        </w:sectPr>
      </w:pPr>
      <w:r>
        <w:rPr>
          <w:rFonts w:hint="eastAsia" w:ascii="宋体" w:hAnsi="宋体" w:cs="宋体"/>
          <w:i/>
          <w:caps/>
          <w:szCs w:val="24"/>
        </w:rPr>
        <w:fldChar w:fldCharType="end"/>
      </w:r>
    </w:p>
    <w:p>
      <w:pPr>
        <w:pStyle w:val="74"/>
        <w:rPr>
          <w:rFonts w:hint="eastAsia"/>
        </w:rPr>
      </w:pPr>
      <w:bookmarkStart w:id="0" w:name="_Toc13898"/>
      <w:bookmarkStart w:id="1" w:name="_Toc16452"/>
      <w:bookmarkStart w:id="2" w:name="_Toc6944"/>
      <w:r>
        <w:rPr>
          <w:rFonts w:hint="eastAsia"/>
        </w:rPr>
        <w:t>招标公告</w:t>
      </w:r>
      <w:bookmarkEnd w:id="0"/>
      <w:bookmarkEnd w:id="1"/>
      <w:bookmarkEnd w:id="2"/>
    </w:p>
    <w:p>
      <w:pPr>
        <w:spacing w:line="360" w:lineRule="auto"/>
        <w:ind w:firstLine="480" w:firstLineChars="200"/>
        <w:rPr>
          <w:rFonts w:hint="eastAsia" w:ascii="宋体" w:hAnsi="宋体" w:cs="宋体"/>
          <w:sz w:val="24"/>
          <w:szCs w:val="24"/>
        </w:rPr>
      </w:pPr>
      <w:r>
        <w:rPr>
          <w:rFonts w:hint="eastAsia" w:ascii="宋体" w:hAnsi="宋体" w:cs="宋体"/>
          <w:sz w:val="24"/>
          <w:szCs w:val="24"/>
        </w:rPr>
        <w:t>中国重汽集团</w:t>
      </w:r>
      <w:r>
        <w:rPr>
          <w:rFonts w:hint="eastAsia" w:ascii="宋体" w:hAnsi="宋体" w:cs="宋体"/>
          <w:sz w:val="24"/>
          <w:szCs w:val="24"/>
          <w:lang w:eastAsia="zh-CN"/>
        </w:rPr>
        <w:t>泰安五岳专用汽车</w:t>
      </w:r>
      <w:r>
        <w:rPr>
          <w:rFonts w:hint="eastAsia" w:ascii="宋体" w:hAnsi="宋体" w:cs="宋体"/>
          <w:sz w:val="24"/>
          <w:szCs w:val="24"/>
        </w:rPr>
        <w:t>有限公司</w:t>
      </w:r>
      <w:r>
        <w:rPr>
          <w:rFonts w:hint="eastAsia" w:ascii="宋体" w:hAnsi="宋体" w:cs="宋体"/>
          <w:sz w:val="24"/>
          <w:szCs w:val="24"/>
          <w:lang w:eastAsia="zh-CN"/>
        </w:rPr>
        <w:t>网络安全边界防护项目</w:t>
      </w:r>
      <w:r>
        <w:rPr>
          <w:rFonts w:hint="eastAsia" w:ascii="宋体" w:hAnsi="宋体" w:cs="宋体"/>
          <w:sz w:val="24"/>
          <w:szCs w:val="24"/>
        </w:rPr>
        <w:t>已</w:t>
      </w:r>
      <w:r>
        <w:rPr>
          <w:rFonts w:ascii="宋体" w:hAnsi="宋体" w:cs="宋体"/>
          <w:sz w:val="24"/>
        </w:rPr>
        <w:t>经中国重型汽车集团有限公司批准</w:t>
      </w:r>
      <w:r>
        <w:rPr>
          <w:rFonts w:hint="eastAsia" w:ascii="宋体" w:hAnsi="宋体" w:cs="宋体"/>
          <w:sz w:val="24"/>
          <w:szCs w:val="24"/>
        </w:rPr>
        <w:t>实施，招标人为</w:t>
      </w:r>
      <w:r>
        <w:rPr>
          <w:rFonts w:hint="eastAsia" w:ascii="宋体" w:hAnsi="宋体" w:cs="宋体"/>
          <w:b/>
          <w:bCs/>
          <w:sz w:val="24"/>
          <w:szCs w:val="24"/>
        </w:rPr>
        <w:t>中国重汽集团</w:t>
      </w:r>
      <w:r>
        <w:rPr>
          <w:rFonts w:hint="eastAsia" w:ascii="宋体" w:hAnsi="宋体" w:cs="宋体"/>
          <w:b/>
          <w:bCs/>
          <w:sz w:val="24"/>
          <w:szCs w:val="24"/>
          <w:lang w:eastAsia="zh-CN"/>
        </w:rPr>
        <w:t>泰安五岳专用汽车</w:t>
      </w:r>
      <w:r>
        <w:rPr>
          <w:rFonts w:hint="eastAsia" w:ascii="宋体" w:hAnsi="宋体" w:cs="宋体"/>
          <w:b/>
          <w:bCs/>
          <w:sz w:val="24"/>
          <w:szCs w:val="24"/>
        </w:rPr>
        <w:t>有限公司</w:t>
      </w:r>
      <w:r>
        <w:rPr>
          <w:rFonts w:hint="eastAsia" w:ascii="宋体" w:hAnsi="宋体" w:cs="宋体"/>
          <w:sz w:val="24"/>
          <w:szCs w:val="24"/>
        </w:rPr>
        <w:t>，建设资金企业自筹 ，出资比例100% ，项目已具备招标条件，现进行国内公开招标，欢迎合格投标人前来参加投标。</w:t>
      </w:r>
    </w:p>
    <w:p>
      <w:pPr>
        <w:pStyle w:val="292"/>
        <w:numPr>
          <w:ilvl w:val="0"/>
          <w:numId w:val="7"/>
        </w:numPr>
        <w:tabs>
          <w:tab w:val="right" w:leader="dot" w:pos="9061"/>
        </w:tabs>
        <w:spacing w:line="360" w:lineRule="auto"/>
        <w:ind w:firstLineChars="0"/>
        <w:jc w:val="center"/>
        <w:outlineLvl w:val="0"/>
        <w:rPr>
          <w:rFonts w:hint="eastAsia"/>
          <w:b/>
          <w:iCs/>
          <w:vanish/>
          <w:sz w:val="36"/>
          <w:szCs w:val="20"/>
        </w:rPr>
      </w:pPr>
      <w:bookmarkStart w:id="3" w:name="_Toc129692777"/>
      <w:bookmarkEnd w:id="3"/>
      <w:bookmarkStart w:id="4" w:name="_Toc129695594"/>
      <w:bookmarkEnd w:id="4"/>
      <w:bookmarkStart w:id="5" w:name="_Toc129692714"/>
      <w:bookmarkEnd w:id="5"/>
      <w:bookmarkStart w:id="6" w:name="_Toc129693878"/>
      <w:bookmarkEnd w:id="6"/>
      <w:bookmarkStart w:id="7" w:name="_Toc129688947"/>
      <w:bookmarkEnd w:id="7"/>
      <w:bookmarkStart w:id="8" w:name="_Toc129692631"/>
      <w:bookmarkEnd w:id="8"/>
      <w:bookmarkStart w:id="9" w:name="_Toc129693362"/>
      <w:bookmarkEnd w:id="9"/>
      <w:bookmarkStart w:id="10" w:name="_Toc129697415"/>
      <w:bookmarkEnd w:id="10"/>
    </w:p>
    <w:p>
      <w:pPr>
        <w:pStyle w:val="4"/>
        <w:spacing w:before="120"/>
        <w:ind w:firstLine="482"/>
        <w:rPr>
          <w:rFonts w:hint="eastAsia"/>
        </w:rPr>
      </w:pPr>
      <w:bookmarkStart w:id="11" w:name="_Toc6900"/>
      <w:bookmarkStart w:id="12" w:name="_Toc8425"/>
      <w:bookmarkStart w:id="13" w:name="_Toc20912"/>
      <w:r>
        <w:rPr>
          <w:rFonts w:hint="eastAsia"/>
        </w:rPr>
        <w:t>项目名称及项目编号</w:t>
      </w:r>
      <w:bookmarkEnd w:id="11"/>
      <w:bookmarkEnd w:id="12"/>
      <w:bookmarkEnd w:id="13"/>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项目名称：中国重汽集团</w:t>
      </w:r>
      <w:r>
        <w:rPr>
          <w:rFonts w:hint="eastAsia" w:ascii="宋体" w:hAnsi="宋体" w:cs="宋体"/>
          <w:sz w:val="24"/>
          <w:szCs w:val="24"/>
          <w:lang w:eastAsia="zh-CN"/>
        </w:rPr>
        <w:t>泰安五岳专用汽车</w:t>
      </w:r>
      <w:r>
        <w:rPr>
          <w:rFonts w:hint="eastAsia" w:ascii="宋体" w:hAnsi="宋体" w:cs="宋体"/>
          <w:sz w:val="24"/>
          <w:szCs w:val="24"/>
        </w:rPr>
        <w:t>有限公司</w:t>
      </w:r>
      <w:r>
        <w:rPr>
          <w:rFonts w:hint="eastAsia" w:ascii="宋体" w:hAnsi="宋体" w:cs="宋体"/>
          <w:sz w:val="24"/>
          <w:szCs w:val="24"/>
          <w:lang w:eastAsia="zh-CN"/>
        </w:rPr>
        <w:t>网络安全边界防护项目</w:t>
      </w:r>
    </w:p>
    <w:p>
      <w:pPr>
        <w:spacing w:line="360" w:lineRule="auto"/>
        <w:ind w:firstLine="480" w:firstLineChars="200"/>
        <w:rPr>
          <w:rFonts w:hint="eastAsia" w:ascii="宋体" w:hAnsi="宋体" w:eastAsia="宋体" w:cs="宋体"/>
          <w:sz w:val="24"/>
          <w:szCs w:val="24"/>
          <w:highlight w:val="yellow"/>
          <w:lang w:eastAsia="zh-CN"/>
        </w:rPr>
      </w:pPr>
      <w:r>
        <w:rPr>
          <w:rFonts w:hint="eastAsia" w:ascii="宋体" w:hAnsi="宋体" w:cs="宋体"/>
          <w:sz w:val="24"/>
          <w:szCs w:val="24"/>
        </w:rPr>
        <w:t>项目编号：</w:t>
      </w:r>
      <w:r>
        <w:rPr>
          <w:rFonts w:hint="eastAsia" w:ascii="宋体" w:hAnsi="宋体" w:cs="宋体"/>
          <w:sz w:val="24"/>
          <w:szCs w:val="24"/>
          <w:highlight w:val="none"/>
          <w:lang w:eastAsia="zh-CN"/>
        </w:rPr>
        <w:t>CGZXCX-202310-1393</w:t>
      </w:r>
    </w:p>
    <w:tbl>
      <w:tblPr>
        <w:tblStyle w:val="78"/>
        <w:tblpPr w:leftFromText="180" w:rightFromText="180" w:vertAnchor="text" w:horzAnchor="page" w:tblpX="1772" w:tblpY="4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9"/>
        <w:gridCol w:w="3021"/>
        <w:gridCol w:w="921"/>
        <w:gridCol w:w="169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rPr>
        <w:tc>
          <w:tcPr>
            <w:tcW w:w="729" w:type="dxa"/>
            <w:noWrap w:val="0"/>
            <w:tcMar>
              <w:top w:w="20" w:type="dxa"/>
              <w:left w:w="20" w:type="dxa"/>
              <w:bottom w:w="0" w:type="dxa"/>
              <w:right w:w="20" w:type="dxa"/>
            </w:tcMar>
            <w:vAlign w:val="center"/>
          </w:tcPr>
          <w:p>
            <w:pPr>
              <w:jc w:val="center"/>
              <w:rPr>
                <w:rFonts w:hint="eastAsia" w:ascii="宋体" w:hAnsi="宋体" w:cs="宋体"/>
                <w:b/>
              </w:rPr>
            </w:pPr>
            <w:bookmarkStart w:id="14" w:name="_Toc30171"/>
            <w:bookmarkStart w:id="15" w:name="_Toc14973"/>
            <w:bookmarkStart w:id="16" w:name="_Toc4916"/>
            <w:r>
              <w:rPr>
                <w:rFonts w:hint="eastAsia" w:ascii="宋体" w:hAnsi="宋体" w:cs="宋体"/>
                <w:b/>
              </w:rPr>
              <w:t>序号</w:t>
            </w:r>
          </w:p>
        </w:tc>
        <w:tc>
          <w:tcPr>
            <w:tcW w:w="3021" w:type="dxa"/>
            <w:noWrap w:val="0"/>
            <w:vAlign w:val="center"/>
          </w:tcPr>
          <w:p>
            <w:pPr>
              <w:jc w:val="center"/>
              <w:rPr>
                <w:rFonts w:hint="eastAsia" w:ascii="宋体" w:hAnsi="宋体" w:cs="宋体"/>
                <w:b/>
              </w:rPr>
            </w:pPr>
            <w:r>
              <w:rPr>
                <w:rFonts w:hint="eastAsia" w:ascii="宋体" w:hAnsi="宋体" w:cs="宋体"/>
                <w:b/>
              </w:rPr>
              <w:t>主要内容</w:t>
            </w:r>
          </w:p>
        </w:tc>
        <w:tc>
          <w:tcPr>
            <w:tcW w:w="921" w:type="dxa"/>
            <w:noWrap w:val="0"/>
            <w:vAlign w:val="center"/>
          </w:tcPr>
          <w:p>
            <w:pPr>
              <w:jc w:val="center"/>
              <w:rPr>
                <w:rFonts w:hint="eastAsia" w:ascii="宋体" w:hAnsi="宋体" w:cs="宋体"/>
                <w:b/>
              </w:rPr>
            </w:pPr>
            <w:r>
              <w:rPr>
                <w:rFonts w:hint="eastAsia" w:ascii="宋体" w:hAnsi="宋体" w:cs="宋体"/>
                <w:b/>
              </w:rPr>
              <w:t>数量</w:t>
            </w:r>
          </w:p>
        </w:tc>
        <w:tc>
          <w:tcPr>
            <w:tcW w:w="1693" w:type="dxa"/>
            <w:noWrap w:val="0"/>
            <w:vAlign w:val="center"/>
          </w:tcPr>
          <w:p>
            <w:pPr>
              <w:jc w:val="center"/>
              <w:rPr>
                <w:rFonts w:hint="eastAsia" w:ascii="宋体" w:hAnsi="宋体" w:cs="宋体"/>
                <w:b/>
              </w:rPr>
            </w:pPr>
            <w:r>
              <w:rPr>
                <w:rFonts w:hint="eastAsia" w:ascii="宋体" w:hAnsi="宋体" w:cs="宋体"/>
                <w:b/>
              </w:rPr>
              <w:t>供货方式</w:t>
            </w:r>
          </w:p>
        </w:tc>
        <w:tc>
          <w:tcPr>
            <w:tcW w:w="1984" w:type="dxa"/>
            <w:noWrap w:val="0"/>
            <w:vAlign w:val="center"/>
          </w:tcPr>
          <w:p>
            <w:pPr>
              <w:jc w:val="center"/>
              <w:rPr>
                <w:rFonts w:hint="eastAsia" w:ascii="宋体" w:hAnsi="宋体" w:cs="宋体"/>
                <w:b/>
              </w:rPr>
            </w:pPr>
            <w:r>
              <w:rPr>
                <w:rFonts w:hint="eastAsia" w:ascii="宋体" w:hAnsi="宋体" w:cs="宋体"/>
                <w:b/>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4" w:hRule="atLeast"/>
        </w:trPr>
        <w:tc>
          <w:tcPr>
            <w:tcW w:w="729" w:type="dxa"/>
            <w:noWrap w:val="0"/>
            <w:tcMar>
              <w:top w:w="20" w:type="dxa"/>
              <w:left w:w="20" w:type="dxa"/>
              <w:bottom w:w="0" w:type="dxa"/>
              <w:right w:w="20" w:type="dxa"/>
            </w:tcMar>
            <w:vAlign w:val="center"/>
          </w:tcPr>
          <w:p>
            <w:pPr>
              <w:pStyle w:val="71"/>
              <w:spacing w:before="0" w:beforeAutospacing="0" w:after="0" w:afterAutospacing="0" w:line="360" w:lineRule="auto"/>
              <w:ind w:right="74"/>
              <w:jc w:val="center"/>
              <w:rPr>
                <w:rFonts w:hint="eastAsia"/>
                <w:sz w:val="21"/>
                <w:szCs w:val="21"/>
              </w:rPr>
            </w:pPr>
            <w:r>
              <w:rPr>
                <w:rFonts w:hint="eastAsia"/>
                <w:sz w:val="21"/>
                <w:szCs w:val="21"/>
              </w:rPr>
              <w:t>1</w:t>
            </w:r>
          </w:p>
        </w:tc>
        <w:tc>
          <w:tcPr>
            <w:tcW w:w="3021" w:type="dxa"/>
            <w:noWrap w:val="0"/>
            <w:vAlign w:val="top"/>
          </w:tcPr>
          <w:p>
            <w:pPr>
              <w:pStyle w:val="71"/>
              <w:spacing w:before="0" w:beforeAutospacing="0" w:after="0" w:afterAutospacing="0"/>
              <w:ind w:right="74"/>
              <w:jc w:val="center"/>
              <w:rPr>
                <w:rStyle w:val="215"/>
                <w:rFonts w:hint="eastAsia"/>
              </w:rPr>
            </w:pPr>
          </w:p>
          <w:p>
            <w:pPr>
              <w:pStyle w:val="71"/>
              <w:spacing w:before="0" w:beforeAutospacing="0" w:after="0" w:afterAutospacing="0"/>
              <w:ind w:right="74"/>
              <w:jc w:val="center"/>
              <w:rPr>
                <w:rFonts w:hint="eastAsia"/>
                <w:sz w:val="21"/>
                <w:szCs w:val="21"/>
              </w:rPr>
            </w:pPr>
            <w:r>
              <w:rPr>
                <w:rStyle w:val="215"/>
                <w:rFonts w:hint="eastAsia"/>
              </w:rPr>
              <w:t>下一代防火墙</w:t>
            </w:r>
          </w:p>
        </w:tc>
        <w:tc>
          <w:tcPr>
            <w:tcW w:w="921" w:type="dxa"/>
            <w:noWrap w:val="0"/>
            <w:vAlign w:val="center"/>
          </w:tcPr>
          <w:p>
            <w:pPr>
              <w:pStyle w:val="71"/>
              <w:spacing w:before="0" w:beforeAutospacing="0" w:after="0" w:afterAutospacing="0" w:line="360" w:lineRule="auto"/>
              <w:ind w:right="74"/>
              <w:jc w:val="center"/>
              <w:rPr>
                <w:rFonts w:hint="eastAsia"/>
                <w:sz w:val="21"/>
                <w:szCs w:val="21"/>
              </w:rPr>
            </w:pPr>
            <w:r>
              <w:rPr>
                <w:sz w:val="21"/>
                <w:szCs w:val="21"/>
              </w:rPr>
              <w:t>1</w:t>
            </w:r>
            <w:r>
              <w:rPr>
                <w:rFonts w:hint="eastAsia"/>
                <w:sz w:val="21"/>
                <w:szCs w:val="21"/>
              </w:rPr>
              <w:t>套</w:t>
            </w:r>
          </w:p>
        </w:tc>
        <w:tc>
          <w:tcPr>
            <w:tcW w:w="1693" w:type="dxa"/>
            <w:noWrap w:val="0"/>
            <w:vAlign w:val="center"/>
          </w:tcPr>
          <w:p>
            <w:pPr>
              <w:pStyle w:val="71"/>
              <w:spacing w:before="0" w:beforeAutospacing="0" w:after="0" w:afterAutospacing="0" w:line="360" w:lineRule="auto"/>
              <w:ind w:right="74"/>
              <w:jc w:val="center"/>
              <w:rPr>
                <w:rFonts w:hint="eastAsia"/>
                <w:sz w:val="21"/>
                <w:szCs w:val="21"/>
              </w:rPr>
            </w:pPr>
            <w:r>
              <w:rPr>
                <w:rFonts w:hint="eastAsia"/>
                <w:sz w:val="21"/>
                <w:szCs w:val="21"/>
              </w:rPr>
              <w:t>交钥匙方式</w:t>
            </w:r>
          </w:p>
        </w:tc>
        <w:tc>
          <w:tcPr>
            <w:tcW w:w="1984" w:type="dxa"/>
            <w:noWrap w:val="0"/>
            <w:vAlign w:val="center"/>
          </w:tcPr>
          <w:p>
            <w:pPr>
              <w:pStyle w:val="71"/>
              <w:spacing w:before="0" w:beforeAutospacing="0" w:after="0" w:afterAutospacing="0" w:line="360" w:lineRule="auto"/>
              <w:ind w:right="74"/>
              <w:jc w:val="center"/>
              <w:rPr>
                <w:rFonts w:hint="eastAsia"/>
                <w:sz w:val="21"/>
                <w:szCs w:val="21"/>
              </w:rPr>
            </w:pPr>
            <w:r>
              <w:rPr>
                <w:rFonts w:hint="eastAsia"/>
                <w:sz w:val="21"/>
                <w:szCs w:val="21"/>
              </w:rPr>
              <w:t>详见招标文件第四章技术规格及技术要求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29" w:type="dxa"/>
            <w:noWrap w:val="0"/>
            <w:tcMar>
              <w:top w:w="20" w:type="dxa"/>
              <w:left w:w="20" w:type="dxa"/>
              <w:bottom w:w="0" w:type="dxa"/>
              <w:right w:w="20" w:type="dxa"/>
            </w:tcMar>
            <w:vAlign w:val="center"/>
          </w:tcPr>
          <w:p>
            <w:pPr>
              <w:pStyle w:val="71"/>
              <w:spacing w:before="0" w:beforeAutospacing="0" w:after="0" w:afterAutospacing="0" w:line="360" w:lineRule="auto"/>
              <w:ind w:right="74"/>
              <w:jc w:val="center"/>
              <w:rPr>
                <w:rFonts w:hint="eastAsia"/>
                <w:sz w:val="21"/>
                <w:szCs w:val="21"/>
              </w:rPr>
            </w:pPr>
            <w:r>
              <w:rPr>
                <w:rFonts w:hint="eastAsia"/>
                <w:sz w:val="21"/>
                <w:szCs w:val="21"/>
              </w:rPr>
              <w:t>2</w:t>
            </w:r>
          </w:p>
        </w:tc>
        <w:tc>
          <w:tcPr>
            <w:tcW w:w="3021" w:type="dxa"/>
            <w:noWrap w:val="0"/>
            <w:vAlign w:val="top"/>
          </w:tcPr>
          <w:p>
            <w:pPr>
              <w:pStyle w:val="71"/>
              <w:spacing w:before="0" w:beforeAutospacing="0" w:after="0" w:afterAutospacing="0"/>
              <w:ind w:right="74"/>
              <w:jc w:val="center"/>
              <w:rPr>
                <w:rFonts w:hint="eastAsia"/>
                <w:sz w:val="21"/>
                <w:szCs w:val="21"/>
              </w:rPr>
            </w:pPr>
          </w:p>
          <w:p>
            <w:pPr>
              <w:pStyle w:val="71"/>
              <w:spacing w:before="0" w:beforeAutospacing="0" w:after="0" w:afterAutospacing="0"/>
              <w:ind w:right="74"/>
              <w:jc w:val="center"/>
              <w:rPr>
                <w:rFonts w:hint="eastAsia"/>
                <w:sz w:val="21"/>
                <w:szCs w:val="21"/>
              </w:rPr>
            </w:pPr>
            <w:r>
              <w:rPr>
                <w:rFonts w:hint="eastAsia"/>
                <w:sz w:val="21"/>
                <w:szCs w:val="21"/>
              </w:rPr>
              <w:t>入侵防御系统</w:t>
            </w:r>
          </w:p>
        </w:tc>
        <w:tc>
          <w:tcPr>
            <w:tcW w:w="921" w:type="dxa"/>
            <w:noWrap w:val="0"/>
            <w:vAlign w:val="center"/>
          </w:tcPr>
          <w:p>
            <w:pPr>
              <w:pStyle w:val="71"/>
              <w:spacing w:before="0" w:beforeAutospacing="0" w:after="0" w:afterAutospacing="0" w:line="360" w:lineRule="auto"/>
              <w:ind w:right="74"/>
              <w:jc w:val="center"/>
              <w:rPr>
                <w:rFonts w:hint="eastAsia"/>
                <w:sz w:val="21"/>
                <w:szCs w:val="21"/>
              </w:rPr>
            </w:pPr>
            <w:r>
              <w:rPr>
                <w:sz w:val="21"/>
                <w:szCs w:val="21"/>
              </w:rPr>
              <w:t>1</w:t>
            </w:r>
            <w:r>
              <w:rPr>
                <w:rFonts w:hint="eastAsia"/>
                <w:sz w:val="21"/>
                <w:szCs w:val="21"/>
              </w:rPr>
              <w:t>套</w:t>
            </w:r>
          </w:p>
        </w:tc>
        <w:tc>
          <w:tcPr>
            <w:tcW w:w="1693" w:type="dxa"/>
            <w:noWrap w:val="0"/>
            <w:vAlign w:val="center"/>
          </w:tcPr>
          <w:p>
            <w:pPr>
              <w:pStyle w:val="71"/>
              <w:spacing w:before="0" w:beforeAutospacing="0" w:after="0" w:afterAutospacing="0" w:line="360" w:lineRule="auto"/>
              <w:ind w:right="74"/>
              <w:jc w:val="center"/>
              <w:rPr>
                <w:rFonts w:hint="eastAsia"/>
                <w:sz w:val="21"/>
                <w:szCs w:val="21"/>
              </w:rPr>
            </w:pPr>
            <w:r>
              <w:rPr>
                <w:rFonts w:hint="eastAsia"/>
                <w:sz w:val="21"/>
                <w:szCs w:val="21"/>
              </w:rPr>
              <w:t>交钥匙方式</w:t>
            </w:r>
          </w:p>
        </w:tc>
        <w:tc>
          <w:tcPr>
            <w:tcW w:w="1984" w:type="dxa"/>
            <w:noWrap w:val="0"/>
            <w:vAlign w:val="center"/>
          </w:tcPr>
          <w:p>
            <w:pPr>
              <w:pStyle w:val="71"/>
              <w:spacing w:before="0" w:beforeAutospacing="0" w:after="0" w:afterAutospacing="0" w:line="360" w:lineRule="auto"/>
              <w:ind w:right="74"/>
              <w:jc w:val="center"/>
              <w:rPr>
                <w:sz w:val="21"/>
                <w:szCs w:val="21"/>
              </w:rPr>
            </w:pPr>
            <w:r>
              <w:rPr>
                <w:rFonts w:hint="eastAsia"/>
                <w:sz w:val="21"/>
                <w:szCs w:val="21"/>
              </w:rPr>
              <w:t>详见招标文件第四章技术规格及技术要求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29" w:type="dxa"/>
            <w:noWrap w:val="0"/>
            <w:vAlign w:val="top"/>
          </w:tcPr>
          <w:p>
            <w:pPr>
              <w:pStyle w:val="71"/>
              <w:spacing w:before="0" w:beforeAutospacing="0" w:after="0" w:afterAutospacing="0"/>
              <w:ind w:right="74"/>
              <w:jc w:val="center"/>
              <w:rPr>
                <w:rFonts w:hint="eastAsia"/>
                <w:sz w:val="21"/>
                <w:szCs w:val="21"/>
              </w:rPr>
            </w:pPr>
          </w:p>
          <w:p>
            <w:pPr>
              <w:pStyle w:val="71"/>
              <w:spacing w:before="0" w:beforeAutospacing="0" w:after="0" w:afterAutospacing="0"/>
              <w:ind w:right="74"/>
              <w:jc w:val="center"/>
              <w:rPr>
                <w:rFonts w:hint="eastAsia" w:eastAsia="宋体"/>
                <w:sz w:val="21"/>
                <w:szCs w:val="21"/>
                <w:lang w:val="en-US" w:eastAsia="zh-CN"/>
              </w:rPr>
            </w:pPr>
            <w:r>
              <w:rPr>
                <w:rFonts w:hint="eastAsia"/>
                <w:sz w:val="21"/>
                <w:szCs w:val="21"/>
                <w:lang w:val="en-US" w:eastAsia="zh-CN"/>
              </w:rPr>
              <w:t>3</w:t>
            </w:r>
          </w:p>
        </w:tc>
        <w:tc>
          <w:tcPr>
            <w:tcW w:w="3021" w:type="dxa"/>
            <w:noWrap w:val="0"/>
            <w:vAlign w:val="top"/>
          </w:tcPr>
          <w:p>
            <w:pPr>
              <w:pStyle w:val="71"/>
              <w:spacing w:before="0" w:beforeAutospacing="0" w:after="0" w:afterAutospacing="0"/>
              <w:ind w:right="74"/>
              <w:jc w:val="center"/>
              <w:rPr>
                <w:rFonts w:hint="eastAsia"/>
                <w:sz w:val="21"/>
                <w:szCs w:val="21"/>
              </w:rPr>
            </w:pPr>
          </w:p>
          <w:p>
            <w:pPr>
              <w:pStyle w:val="71"/>
              <w:spacing w:before="0" w:beforeAutospacing="0" w:after="0" w:afterAutospacing="0"/>
              <w:ind w:right="74"/>
              <w:jc w:val="center"/>
              <w:rPr>
                <w:rFonts w:hint="eastAsia"/>
                <w:sz w:val="21"/>
                <w:szCs w:val="21"/>
              </w:rPr>
            </w:pPr>
            <w:r>
              <w:rPr>
                <w:rFonts w:hint="eastAsia"/>
                <w:sz w:val="21"/>
                <w:szCs w:val="21"/>
              </w:rPr>
              <w:t>态势感知平台</w:t>
            </w:r>
          </w:p>
        </w:tc>
        <w:tc>
          <w:tcPr>
            <w:tcW w:w="921" w:type="dxa"/>
            <w:noWrap w:val="0"/>
            <w:vAlign w:val="center"/>
          </w:tcPr>
          <w:p>
            <w:pPr>
              <w:pStyle w:val="71"/>
              <w:spacing w:before="0" w:beforeAutospacing="0" w:after="0" w:afterAutospacing="0" w:line="360" w:lineRule="auto"/>
              <w:ind w:right="74"/>
              <w:jc w:val="center"/>
              <w:rPr>
                <w:rFonts w:hint="eastAsia"/>
                <w:sz w:val="21"/>
                <w:szCs w:val="21"/>
              </w:rPr>
            </w:pPr>
            <w:r>
              <w:rPr>
                <w:sz w:val="21"/>
                <w:szCs w:val="21"/>
              </w:rPr>
              <w:t>1</w:t>
            </w:r>
            <w:r>
              <w:rPr>
                <w:rFonts w:hint="eastAsia"/>
                <w:sz w:val="21"/>
                <w:szCs w:val="21"/>
              </w:rPr>
              <w:t>套</w:t>
            </w:r>
          </w:p>
        </w:tc>
        <w:tc>
          <w:tcPr>
            <w:tcW w:w="1693" w:type="dxa"/>
            <w:noWrap w:val="0"/>
            <w:vAlign w:val="center"/>
          </w:tcPr>
          <w:p>
            <w:pPr>
              <w:pStyle w:val="71"/>
              <w:spacing w:before="0" w:beforeAutospacing="0" w:after="0" w:afterAutospacing="0" w:line="360" w:lineRule="auto"/>
              <w:ind w:right="74"/>
              <w:jc w:val="center"/>
              <w:rPr>
                <w:rFonts w:hint="eastAsia"/>
                <w:sz w:val="21"/>
                <w:szCs w:val="21"/>
              </w:rPr>
            </w:pPr>
            <w:r>
              <w:rPr>
                <w:rFonts w:hint="eastAsia"/>
                <w:sz w:val="21"/>
                <w:szCs w:val="21"/>
              </w:rPr>
              <w:t>交钥匙方式</w:t>
            </w:r>
          </w:p>
        </w:tc>
        <w:tc>
          <w:tcPr>
            <w:tcW w:w="1984" w:type="dxa"/>
            <w:noWrap w:val="0"/>
            <w:vAlign w:val="center"/>
          </w:tcPr>
          <w:p>
            <w:pPr>
              <w:pStyle w:val="71"/>
              <w:spacing w:before="0" w:beforeAutospacing="0" w:after="0" w:afterAutospacing="0" w:line="360" w:lineRule="auto"/>
              <w:ind w:right="74"/>
              <w:jc w:val="center"/>
              <w:rPr>
                <w:sz w:val="21"/>
                <w:szCs w:val="21"/>
              </w:rPr>
            </w:pPr>
            <w:r>
              <w:rPr>
                <w:rFonts w:hint="eastAsia"/>
                <w:sz w:val="21"/>
                <w:szCs w:val="21"/>
              </w:rPr>
              <w:t>详见招标文件第四章技术规格及技术要求</w:t>
            </w:r>
          </w:p>
        </w:tc>
      </w:tr>
    </w:tbl>
    <w:p>
      <w:pPr>
        <w:pStyle w:val="4"/>
        <w:spacing w:before="120"/>
        <w:ind w:firstLine="482"/>
        <w:rPr>
          <w:rFonts w:hint="eastAsia"/>
        </w:rPr>
      </w:pPr>
      <w:r>
        <w:rPr>
          <w:rFonts w:hint="eastAsia"/>
        </w:rPr>
        <w:t>招标内容</w:t>
      </w:r>
      <w:bookmarkEnd w:id="14"/>
      <w:bookmarkEnd w:id="15"/>
      <w:bookmarkEnd w:id="16"/>
    </w:p>
    <w:p>
      <w:pPr>
        <w:spacing w:before="144" w:beforeLines="60" w:line="360" w:lineRule="auto"/>
        <w:ind w:firstLine="480" w:firstLineChars="200"/>
        <w:jc w:val="left"/>
        <w:rPr>
          <w:rFonts w:hint="eastAsia" w:ascii="宋体" w:hAnsi="宋体" w:cs="宋体"/>
          <w:b/>
          <w:bCs/>
          <w:sz w:val="24"/>
          <w:szCs w:val="24"/>
        </w:rPr>
      </w:pPr>
      <w:r>
        <w:rPr>
          <w:rFonts w:hint="eastAsia" w:ascii="宋体" w:hAnsi="宋体" w:cs="宋体"/>
          <w:sz w:val="24"/>
          <w:szCs w:val="24"/>
        </w:rPr>
        <w:t>本项目为中国重汽集团</w:t>
      </w:r>
      <w:r>
        <w:rPr>
          <w:rFonts w:hint="eastAsia" w:ascii="宋体" w:hAnsi="宋体" w:cs="宋体"/>
          <w:sz w:val="24"/>
          <w:szCs w:val="24"/>
          <w:lang w:eastAsia="zh-CN"/>
        </w:rPr>
        <w:t>泰安五岳专用汽车</w:t>
      </w:r>
      <w:r>
        <w:rPr>
          <w:rFonts w:hint="eastAsia" w:ascii="宋体" w:hAnsi="宋体" w:cs="宋体"/>
          <w:sz w:val="24"/>
          <w:szCs w:val="24"/>
        </w:rPr>
        <w:t>有限公司</w:t>
      </w:r>
      <w:r>
        <w:rPr>
          <w:rFonts w:hint="eastAsia" w:ascii="宋体" w:hAnsi="宋体" w:cs="宋体"/>
          <w:sz w:val="24"/>
          <w:szCs w:val="24"/>
          <w:lang w:eastAsia="zh-CN"/>
        </w:rPr>
        <w:t>网络安全边界防护项目</w:t>
      </w:r>
      <w:r>
        <w:rPr>
          <w:rFonts w:hint="eastAsia" w:ascii="宋体" w:hAnsi="宋体" w:cs="宋体"/>
          <w:sz w:val="24"/>
          <w:szCs w:val="24"/>
        </w:rPr>
        <w:t>采购，包括但不限于：设备费、原厂服务费及相关配件、随机资料、保险、税费、运杂、安装调试、与其他专业配合及可预见的风险以及其它不可预见等全部费用。</w:t>
      </w:r>
      <w:r>
        <w:rPr>
          <w:rFonts w:hint="eastAsia" w:ascii="宋体" w:hAnsi="宋体" w:cs="宋体"/>
          <w:sz w:val="24"/>
          <w:szCs w:val="24"/>
          <w:highlight w:val="none"/>
        </w:rPr>
        <w:t>该项目所需的水电费用由招标人承担。</w:t>
      </w:r>
      <w:r>
        <w:rPr>
          <w:rFonts w:hint="eastAsia" w:ascii="宋体" w:hAnsi="宋体" w:cs="宋体"/>
          <w:b/>
          <w:bCs/>
          <w:sz w:val="24"/>
          <w:szCs w:val="24"/>
        </w:rPr>
        <w:t>所有投标均以人民币报价,</w:t>
      </w:r>
      <w:r>
        <w:rPr>
          <w:rFonts w:ascii="宋体" w:hAnsi="宋体" w:cs="宋体"/>
          <w:b/>
          <w:sz w:val="24"/>
        </w:rPr>
        <w:t xml:space="preserve"> </w:t>
      </w:r>
      <w:r>
        <w:rPr>
          <w:rFonts w:hint="eastAsia" w:ascii="宋体" w:hAnsi="宋体" w:cs="宋体"/>
          <w:b/>
          <w:sz w:val="24"/>
        </w:rPr>
        <w:t>报价均包含：税率、不含税价、含税价三种报价方式</w:t>
      </w:r>
      <w:r>
        <w:rPr>
          <w:rFonts w:hint="eastAsia" w:ascii="宋体" w:hAnsi="宋体" w:cs="宋体"/>
          <w:b/>
          <w:bCs/>
          <w:sz w:val="24"/>
          <w:szCs w:val="24"/>
        </w:rPr>
        <w:t>。</w:t>
      </w:r>
    </w:p>
    <w:p>
      <w:pPr>
        <w:pStyle w:val="4"/>
        <w:spacing w:before="120"/>
        <w:ind w:firstLine="482"/>
        <w:rPr>
          <w:rFonts w:hint="eastAsia"/>
        </w:rPr>
      </w:pPr>
      <w:bookmarkStart w:id="17" w:name="_Toc1971"/>
      <w:bookmarkStart w:id="18" w:name="_Toc1806"/>
      <w:bookmarkStart w:id="19" w:name="_Toc30979"/>
      <w:r>
        <w:rPr>
          <w:rFonts w:hint="eastAsia"/>
        </w:rPr>
        <w:t>投标人资格要求</w:t>
      </w:r>
      <w:bookmarkEnd w:id="17"/>
      <w:bookmarkEnd w:id="18"/>
      <w:bookmarkEnd w:id="19"/>
    </w:p>
    <w:p>
      <w:pPr>
        <w:spacing w:line="360" w:lineRule="auto"/>
        <w:ind w:firstLine="432" w:firstLineChars="180"/>
        <w:rPr>
          <w:sz w:val="24"/>
          <w:szCs w:val="24"/>
        </w:rPr>
      </w:pPr>
      <w:bookmarkStart w:id="20" w:name="_Toc129697419"/>
      <w:r>
        <w:rPr>
          <w:rFonts w:hint="eastAsia"/>
          <w:sz w:val="24"/>
          <w:szCs w:val="24"/>
        </w:rPr>
        <w:t>1.3.1投标人必须是在中华人民共和国境内注册的独立法人机构，具有独立承担民事责任能力，成立</w:t>
      </w:r>
      <w:r>
        <w:rPr>
          <w:rFonts w:hint="eastAsia"/>
          <w:b/>
          <w:bCs/>
          <w:sz w:val="24"/>
          <w:szCs w:val="24"/>
        </w:rPr>
        <w:t>满 3 年</w:t>
      </w:r>
      <w:r>
        <w:rPr>
          <w:rFonts w:hint="eastAsia"/>
          <w:sz w:val="24"/>
          <w:szCs w:val="24"/>
        </w:rPr>
        <w:t>（以营业执照成立日期到开标当日满 3 年为准），注册资本金不低于5</w:t>
      </w:r>
      <w:r>
        <w:rPr>
          <w:rFonts w:hint="eastAsia"/>
          <w:b/>
          <w:bCs/>
          <w:sz w:val="24"/>
          <w:szCs w:val="24"/>
        </w:rPr>
        <w:t>00万元</w:t>
      </w:r>
      <w:r>
        <w:rPr>
          <w:rFonts w:hint="eastAsia"/>
          <w:sz w:val="24"/>
          <w:szCs w:val="24"/>
        </w:rPr>
        <w:t>，且经营范围满足招标人需求，并在人员、设备、资金等方面具有承担本项目的能力。</w:t>
      </w:r>
      <w:bookmarkEnd w:id="20"/>
    </w:p>
    <w:p>
      <w:pPr>
        <w:spacing w:line="360" w:lineRule="auto"/>
        <w:ind w:firstLine="432" w:firstLineChars="180"/>
        <w:rPr>
          <w:rFonts w:hint="eastAsia"/>
          <w:sz w:val="24"/>
          <w:szCs w:val="24"/>
        </w:rPr>
      </w:pPr>
      <w:bookmarkStart w:id="21" w:name="_Toc129697420"/>
      <w:r>
        <w:rPr>
          <w:rFonts w:hint="eastAsia"/>
          <w:sz w:val="24"/>
          <w:szCs w:val="24"/>
        </w:rPr>
        <w:t>1.3.2业绩要求：投标人自2020年1月1日起具有至少</w:t>
      </w:r>
      <w:r>
        <w:rPr>
          <w:sz w:val="24"/>
          <w:szCs w:val="24"/>
        </w:rPr>
        <w:t>1</w:t>
      </w:r>
      <w:r>
        <w:rPr>
          <w:rFonts w:hint="eastAsia"/>
          <w:sz w:val="24"/>
          <w:szCs w:val="24"/>
        </w:rPr>
        <w:t>个类似成功业绩（行业相关</w:t>
      </w:r>
      <w:r>
        <w:rPr>
          <w:rFonts w:hint="eastAsia" w:ascii="宋体" w:hAnsi="宋体" w:cs="宋体"/>
          <w:sz w:val="24"/>
          <w:szCs w:val="24"/>
          <w:lang w:eastAsia="zh-CN"/>
        </w:rPr>
        <w:t>网络安全边界防护项目</w:t>
      </w:r>
      <w:r>
        <w:rPr>
          <w:rFonts w:hint="eastAsia"/>
          <w:sz w:val="24"/>
          <w:szCs w:val="24"/>
        </w:rPr>
        <w:t>），以生效合同为准；</w:t>
      </w:r>
      <w:bookmarkEnd w:id="21"/>
    </w:p>
    <w:p>
      <w:pPr>
        <w:spacing w:line="360" w:lineRule="auto"/>
        <w:ind w:firstLine="432" w:firstLineChars="180"/>
        <w:rPr>
          <w:rFonts w:hint="eastAsia"/>
          <w:sz w:val="24"/>
          <w:szCs w:val="24"/>
        </w:rPr>
      </w:pPr>
      <w:bookmarkStart w:id="22" w:name="_Toc129697421"/>
      <w:r>
        <w:rPr>
          <w:rFonts w:hint="eastAsia"/>
          <w:sz w:val="24"/>
          <w:szCs w:val="24"/>
        </w:rPr>
        <w:t>1.3.3设备所安装的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bookmarkEnd w:id="22"/>
    </w:p>
    <w:p>
      <w:pPr>
        <w:spacing w:line="360" w:lineRule="auto"/>
        <w:ind w:firstLine="432" w:firstLineChars="180"/>
        <w:rPr>
          <w:rFonts w:hint="eastAsia"/>
          <w:sz w:val="24"/>
          <w:szCs w:val="24"/>
        </w:rPr>
      </w:pPr>
      <w:bookmarkStart w:id="23" w:name="_Toc129697422"/>
      <w:r>
        <w:rPr>
          <w:rFonts w:hint="eastAsia"/>
          <w:sz w:val="24"/>
          <w:szCs w:val="24"/>
        </w:rPr>
        <w:t>1.3.4公司信誉良好，无违法违规等不良行为，在“信用中国”中未列入联合惩戒失信人名单，无与投标项目有关的行政处罚；</w:t>
      </w:r>
      <w:bookmarkEnd w:id="23"/>
      <w:r>
        <w:rPr>
          <w:rFonts w:hint="eastAsia"/>
          <w:sz w:val="24"/>
          <w:szCs w:val="24"/>
        </w:rPr>
        <w:t>没有被我公司及集团公司列入黑名单；</w:t>
      </w:r>
    </w:p>
    <w:p>
      <w:pPr>
        <w:spacing w:line="360" w:lineRule="auto"/>
        <w:ind w:firstLine="432" w:firstLineChars="180"/>
        <w:rPr>
          <w:rFonts w:hint="eastAsia"/>
          <w:sz w:val="24"/>
          <w:szCs w:val="24"/>
        </w:rPr>
      </w:pPr>
      <w:r>
        <w:rPr>
          <w:rFonts w:hint="eastAsia"/>
          <w:sz w:val="24"/>
          <w:szCs w:val="24"/>
        </w:rPr>
        <w:t>1.3.5投标人</w:t>
      </w:r>
      <w:r>
        <w:rPr>
          <w:sz w:val="24"/>
          <w:szCs w:val="24"/>
        </w:rPr>
        <w:t>直接或间接股东、法定代表人、董事、监事、高管非重汽员工及其亲属</w:t>
      </w:r>
      <w:r>
        <w:rPr>
          <w:rFonts w:hint="eastAsia"/>
          <w:sz w:val="24"/>
          <w:szCs w:val="24"/>
        </w:rPr>
        <w:t>；</w:t>
      </w:r>
    </w:p>
    <w:p>
      <w:pPr>
        <w:spacing w:line="360" w:lineRule="auto"/>
        <w:ind w:firstLine="432" w:firstLineChars="180"/>
        <w:rPr>
          <w:rFonts w:hint="eastAsia"/>
          <w:sz w:val="24"/>
          <w:szCs w:val="24"/>
        </w:rPr>
      </w:pPr>
      <w:bookmarkStart w:id="24" w:name="_Toc129697423"/>
      <w:r>
        <w:rPr>
          <w:rFonts w:hint="eastAsia"/>
          <w:sz w:val="24"/>
          <w:szCs w:val="24"/>
        </w:rPr>
        <w:t>1.3.6</w:t>
      </w:r>
      <w:bookmarkEnd w:id="24"/>
      <w:r>
        <w:rPr>
          <w:rFonts w:hint="eastAsia" w:ascii="宋体" w:hAnsi="宋体"/>
          <w:bCs/>
          <w:kern w:val="0"/>
          <w:sz w:val="24"/>
          <w:szCs w:val="24"/>
        </w:rPr>
        <w:t>投标人具备ISO27001信息安全管理体系认证证书并在有效期内；</w:t>
      </w:r>
    </w:p>
    <w:p>
      <w:pPr>
        <w:spacing w:line="360" w:lineRule="auto"/>
        <w:ind w:firstLine="432" w:firstLineChars="180"/>
        <w:rPr>
          <w:rFonts w:hint="eastAsia"/>
          <w:sz w:val="24"/>
          <w:szCs w:val="24"/>
        </w:rPr>
      </w:pPr>
      <w:bookmarkStart w:id="25" w:name="_Toc129697424"/>
      <w:r>
        <w:rPr>
          <w:rFonts w:hint="eastAsia"/>
          <w:sz w:val="24"/>
          <w:szCs w:val="24"/>
        </w:rPr>
        <w:t>1.3.7</w:t>
      </w:r>
      <w:bookmarkEnd w:id="25"/>
      <w:r>
        <w:rPr>
          <w:rFonts w:hint="eastAsia"/>
          <w:sz w:val="24"/>
          <w:szCs w:val="24"/>
        </w:rPr>
        <w:t>投标人提供的经会计师事务所审计的近三年的公司财务报表（资产负债表、损益表、现金流量表）未显示异常；</w:t>
      </w:r>
    </w:p>
    <w:p>
      <w:pPr>
        <w:spacing w:line="360" w:lineRule="auto"/>
        <w:ind w:firstLine="432" w:firstLineChars="180"/>
        <w:rPr>
          <w:rFonts w:hint="eastAsia"/>
          <w:sz w:val="24"/>
          <w:szCs w:val="24"/>
        </w:rPr>
      </w:pPr>
      <w:bookmarkStart w:id="26" w:name="_Toc129697425"/>
      <w:r>
        <w:rPr>
          <w:rFonts w:hint="eastAsia"/>
          <w:sz w:val="24"/>
          <w:szCs w:val="24"/>
        </w:rPr>
        <w:t>1.3.8投标人须具有完全履行招标文件的所有要求的能力；</w:t>
      </w:r>
      <w:bookmarkEnd w:id="26"/>
    </w:p>
    <w:p>
      <w:pPr>
        <w:spacing w:line="360" w:lineRule="auto"/>
        <w:ind w:firstLine="432" w:firstLineChars="180"/>
        <w:rPr>
          <w:sz w:val="24"/>
          <w:szCs w:val="24"/>
        </w:rPr>
      </w:pPr>
      <w:bookmarkStart w:id="27" w:name="_Toc129697426"/>
      <w:r>
        <w:rPr>
          <w:rFonts w:hint="eastAsia"/>
          <w:sz w:val="24"/>
          <w:szCs w:val="24"/>
        </w:rPr>
        <w:t>1.3.9投标人须认可招标人的工作指令，包括节、假日能正常开展工作的要求；</w:t>
      </w:r>
      <w:bookmarkEnd w:id="27"/>
    </w:p>
    <w:p>
      <w:pPr>
        <w:pStyle w:val="54"/>
        <w:ind w:firstLine="480" w:firstLineChars="200"/>
        <w:rPr>
          <w:rFonts w:hint="eastAsia"/>
          <w:b w:val="0"/>
          <w:bCs w:val="0"/>
        </w:rPr>
      </w:pPr>
      <w:r>
        <w:rPr>
          <w:rFonts w:hint="eastAsia"/>
          <w:b w:val="0"/>
          <w:bCs w:val="0"/>
        </w:rPr>
        <w:t>1</w:t>
      </w:r>
      <w:r>
        <w:rPr>
          <w:b w:val="0"/>
          <w:bCs w:val="0"/>
        </w:rPr>
        <w:t>.3.10</w:t>
      </w:r>
      <w:r>
        <w:rPr>
          <w:rFonts w:hint="eastAsia"/>
          <w:b w:val="0"/>
          <w:bCs w:val="0"/>
        </w:rPr>
        <w:t>如为代理商投标，需获得生产厂家正式授权，提供授权书原件，保证提供原厂售后服务并提供原厂售后服务承诺书原件；</w:t>
      </w:r>
    </w:p>
    <w:p>
      <w:pPr>
        <w:spacing w:line="360" w:lineRule="auto"/>
        <w:ind w:firstLine="432" w:firstLineChars="180"/>
        <w:rPr>
          <w:rFonts w:hint="eastAsia"/>
          <w:sz w:val="24"/>
          <w:szCs w:val="24"/>
        </w:rPr>
      </w:pPr>
      <w:bookmarkStart w:id="28" w:name="_Toc129697427"/>
      <w:r>
        <w:rPr>
          <w:rFonts w:hint="eastAsia"/>
          <w:sz w:val="24"/>
          <w:szCs w:val="24"/>
        </w:rPr>
        <w:t>1.3.1</w:t>
      </w:r>
      <w:r>
        <w:rPr>
          <w:sz w:val="24"/>
          <w:szCs w:val="24"/>
        </w:rPr>
        <w:t>1</w:t>
      </w:r>
      <w:r>
        <w:rPr>
          <w:rFonts w:hint="eastAsia"/>
          <w:sz w:val="24"/>
          <w:szCs w:val="24"/>
        </w:rPr>
        <w:t>本项目</w:t>
      </w:r>
      <w:bookmarkEnd w:id="28"/>
      <w:bookmarkStart w:id="29" w:name="_Toc129697428"/>
      <w:r>
        <w:rPr>
          <w:rFonts w:hint="eastAsia"/>
          <w:sz w:val="24"/>
          <w:szCs w:val="24"/>
        </w:rPr>
        <w:t>不接受联合体投标；</w:t>
      </w:r>
      <w:bookmarkEnd w:id="29"/>
    </w:p>
    <w:p>
      <w:pPr>
        <w:spacing w:line="360" w:lineRule="auto"/>
        <w:ind w:firstLine="432" w:firstLineChars="180"/>
        <w:rPr>
          <w:rFonts w:hint="eastAsia"/>
          <w:sz w:val="24"/>
          <w:szCs w:val="24"/>
        </w:rPr>
      </w:pPr>
      <w:bookmarkStart w:id="30" w:name="_Toc129697429"/>
      <w:r>
        <w:rPr>
          <w:rFonts w:hint="eastAsia"/>
          <w:sz w:val="24"/>
          <w:szCs w:val="24"/>
        </w:rPr>
        <w:t>1.3.1</w:t>
      </w:r>
      <w:r>
        <w:rPr>
          <w:sz w:val="24"/>
          <w:szCs w:val="24"/>
        </w:rPr>
        <w:t>2</w:t>
      </w:r>
      <w:r>
        <w:rPr>
          <w:rFonts w:hint="eastAsia"/>
          <w:sz w:val="24"/>
          <w:szCs w:val="24"/>
        </w:rPr>
        <w:t>法律法规对合格投标人的其他要求、规定。</w:t>
      </w:r>
      <w:bookmarkEnd w:id="30"/>
    </w:p>
    <w:p>
      <w:pPr>
        <w:spacing w:line="360" w:lineRule="auto"/>
        <w:ind w:firstLine="432" w:firstLineChars="18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1.3.1</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资质证明文件请于递交招标文件前3-5日递交泰安五岳公司采购部</w:t>
      </w:r>
      <w:r>
        <w:rPr>
          <w:rFonts w:hint="eastAsia" w:ascii="Times New Roman" w:hAnsi="Times New Roman" w:eastAsia="宋体" w:cs="Times New Roman"/>
          <w:sz w:val="24"/>
          <w:szCs w:val="24"/>
          <w:lang w:eastAsia="zh-CN"/>
        </w:rPr>
        <w:t>。</w:t>
      </w:r>
    </w:p>
    <w:p>
      <w:pPr>
        <w:pStyle w:val="4"/>
        <w:spacing w:before="120"/>
        <w:ind w:firstLine="482"/>
        <w:rPr>
          <w:rFonts w:hint="eastAsia"/>
        </w:rPr>
      </w:pPr>
      <w:bookmarkStart w:id="31" w:name="_Toc26555"/>
      <w:bookmarkStart w:id="32" w:name="_Toc8767"/>
      <w:bookmarkStart w:id="33" w:name="_Toc5454"/>
      <w:r>
        <w:rPr>
          <w:rFonts w:hint="eastAsia"/>
        </w:rPr>
        <w:t>招标文件的获取</w:t>
      </w:r>
      <w:bookmarkEnd w:id="31"/>
      <w:bookmarkEnd w:id="32"/>
      <w:bookmarkEnd w:id="33"/>
    </w:p>
    <w:p>
      <w:pPr>
        <w:pStyle w:val="28"/>
        <w:spacing w:after="0" w:line="360" w:lineRule="auto"/>
        <w:ind w:firstLine="480" w:firstLineChars="200"/>
        <w:rPr>
          <w:rFonts w:hint="eastAsia" w:ascii="宋体" w:hAnsi="宋体" w:cs="宋体"/>
          <w:sz w:val="24"/>
        </w:rPr>
      </w:pPr>
      <w:r>
        <w:rPr>
          <w:rFonts w:hint="eastAsia" w:ascii="宋体" w:hAnsi="宋体" w:cs="宋体"/>
          <w:sz w:val="24"/>
        </w:rPr>
        <w:t>本次招标公告在中国重汽</w:t>
      </w:r>
      <w:r>
        <w:rPr>
          <w:rFonts w:hint="eastAsia" w:ascii="宋体" w:hAnsi="宋体" w:cs="宋体"/>
          <w:sz w:val="24"/>
          <w:lang w:val="en-US" w:eastAsia="zh-CN"/>
        </w:rPr>
        <w:t>集团</w:t>
      </w:r>
      <w:r>
        <w:rPr>
          <w:rFonts w:hint="eastAsia" w:ascii="宋体" w:hAnsi="宋体" w:cs="宋体"/>
          <w:sz w:val="24"/>
        </w:rPr>
        <w:t>官方网站发布。</w:t>
      </w:r>
    </w:p>
    <w:p>
      <w:pPr>
        <w:pStyle w:val="4"/>
        <w:spacing w:before="120"/>
        <w:ind w:firstLine="482"/>
        <w:rPr>
          <w:rFonts w:hint="eastAsia"/>
        </w:rPr>
      </w:pPr>
      <w:bookmarkStart w:id="34" w:name="_Toc31668"/>
      <w:bookmarkStart w:id="35" w:name="_Toc10373"/>
      <w:bookmarkStart w:id="36" w:name="_Toc917"/>
      <w:r>
        <w:rPr>
          <w:rFonts w:hint="eastAsia"/>
        </w:rPr>
        <w:t>投标报名</w:t>
      </w:r>
      <w:bookmarkEnd w:id="34"/>
      <w:bookmarkEnd w:id="35"/>
      <w:bookmarkEnd w:id="36"/>
    </w:p>
    <w:p>
      <w:pPr>
        <w:spacing w:line="360" w:lineRule="auto"/>
        <w:ind w:firstLine="480" w:firstLineChars="200"/>
        <w:rPr>
          <w:rFonts w:hint="eastAsia" w:ascii="宋体" w:hAnsi="宋体" w:cs="宋体"/>
          <w:b/>
          <w:bCs/>
          <w:sz w:val="24"/>
          <w:szCs w:val="24"/>
        </w:rPr>
      </w:pPr>
      <w:r>
        <w:rPr>
          <w:rFonts w:hint="eastAsia" w:ascii="宋体" w:hAnsi="宋体" w:cs="宋体"/>
          <w:sz w:val="24"/>
          <w:szCs w:val="24"/>
        </w:rPr>
        <w:t>凡有意参加投标者，将应标所需材料发送至电子邮箱</w:t>
      </w:r>
      <w:r>
        <w:rPr>
          <w:rFonts w:hint="eastAsia" w:ascii="宋体" w:hAnsi="宋体" w:cs="宋体"/>
          <w:b/>
          <w:bCs/>
          <w:sz w:val="24"/>
          <w:szCs w:val="24"/>
          <w:lang w:val="en-US" w:eastAsia="zh-CN"/>
        </w:rPr>
        <w:t>gaoxinxin@sinotruk.com</w:t>
      </w:r>
      <w:r>
        <w:rPr>
          <w:rFonts w:hint="eastAsia" w:ascii="宋体" w:hAnsi="宋体" w:cs="宋体"/>
          <w:sz w:val="24"/>
          <w:szCs w:val="24"/>
        </w:rPr>
        <w:t>进行报</w:t>
      </w:r>
      <w:r>
        <w:rPr>
          <w:rFonts w:hint="eastAsia" w:ascii="宋体" w:hAnsi="宋体" w:cs="宋体"/>
          <w:sz w:val="24"/>
          <w:szCs w:val="24"/>
          <w:highlight w:val="none"/>
        </w:rPr>
        <w:t>名</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并电话通知招标人。</w:t>
      </w:r>
      <w:r>
        <w:rPr>
          <w:rFonts w:hint="eastAsia" w:ascii="宋体" w:hAnsi="宋体" w:cs="宋体"/>
          <w:sz w:val="24"/>
          <w:szCs w:val="24"/>
        </w:rPr>
        <w:t>电子邮件主</w:t>
      </w:r>
      <w:r>
        <w:rPr>
          <w:rFonts w:hint="eastAsia" w:ascii="宋体" w:hAnsi="宋体" w:cs="宋体"/>
          <w:sz w:val="24"/>
          <w:szCs w:val="24"/>
          <w:lang w:val="en-US" w:eastAsia="zh-CN"/>
        </w:rPr>
        <w:t>题</w:t>
      </w:r>
      <w:r>
        <w:rPr>
          <w:rFonts w:hint="eastAsia" w:ascii="宋体" w:hAnsi="宋体" w:cs="宋体"/>
          <w:sz w:val="24"/>
          <w:szCs w:val="24"/>
        </w:rPr>
        <w:t>：</w:t>
      </w:r>
      <w:r>
        <w:rPr>
          <w:rFonts w:hint="eastAsia" w:ascii="宋体" w:hAnsi="宋体" w:cs="宋体"/>
          <w:sz w:val="24"/>
          <w:szCs w:val="24"/>
          <w:lang w:val="en-US" w:eastAsia="zh-CN"/>
        </w:rPr>
        <w:t>中国重汽集团泰安五岳公司网络</w:t>
      </w:r>
      <w:r>
        <w:rPr>
          <w:rFonts w:hint="eastAsia" w:ascii="宋体" w:hAnsi="宋体" w:cs="宋体"/>
          <w:sz w:val="24"/>
          <w:szCs w:val="24"/>
        </w:rPr>
        <w:t>安全边界防护项目报名材料。</w:t>
      </w:r>
      <w:r>
        <w:rPr>
          <w:rFonts w:hint="eastAsia" w:ascii="宋体" w:hAnsi="宋体" w:cs="宋体"/>
          <w:b/>
          <w:bCs/>
          <w:sz w:val="24"/>
          <w:szCs w:val="24"/>
        </w:rPr>
        <w:t>本项目实行资格后审，报名成功不代表资格审查通过。</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1.5.1报名时间：</w:t>
      </w:r>
      <w:r>
        <w:rPr>
          <w:rFonts w:hint="eastAsia" w:ascii="宋体" w:hAnsi="宋体" w:eastAsia="宋体" w:cs="宋体"/>
          <w:sz w:val="24"/>
          <w:szCs w:val="24"/>
          <w:highlight w:val="none"/>
        </w:rPr>
        <w:t xml:space="preserve"> 20</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日— 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日上午8：30到17:00</w:t>
      </w:r>
      <w:r>
        <w:rPr>
          <w:rFonts w:hint="eastAsia" w:ascii="宋体" w:hAnsi="宋体" w:eastAsia="宋体" w:cs="宋体"/>
          <w:sz w:val="24"/>
          <w:szCs w:val="24"/>
        </w:rPr>
        <w:t>（节假日除外）。</w:t>
      </w:r>
    </w:p>
    <w:p>
      <w:pPr>
        <w:spacing w:line="360" w:lineRule="auto"/>
        <w:ind w:firstLine="480" w:firstLineChars="200"/>
        <w:rPr>
          <w:rFonts w:hint="eastAsia" w:ascii="宋体" w:hAnsi="宋体" w:cs="宋体"/>
          <w:sz w:val="24"/>
          <w:szCs w:val="24"/>
        </w:rPr>
      </w:pPr>
      <w:r>
        <w:rPr>
          <w:rFonts w:ascii="宋体" w:hAnsi="宋体" w:cs="宋体"/>
          <w:sz w:val="24"/>
          <w:szCs w:val="24"/>
        </w:rPr>
        <w:t>1.5.</w:t>
      </w:r>
      <w:r>
        <w:rPr>
          <w:rFonts w:hint="eastAsia" w:ascii="宋体" w:hAnsi="宋体" w:cs="宋体"/>
          <w:sz w:val="24"/>
          <w:szCs w:val="24"/>
          <w:lang w:val="en-US" w:eastAsia="zh-CN"/>
        </w:rPr>
        <w:t>2</w:t>
      </w:r>
      <w:r>
        <w:rPr>
          <w:rFonts w:hint="eastAsia" w:ascii="宋体" w:hAnsi="宋体" w:cs="宋体"/>
          <w:sz w:val="24"/>
          <w:szCs w:val="24"/>
        </w:rPr>
        <w:t>应标所需资料明细如下：</w:t>
      </w:r>
    </w:p>
    <w:p>
      <w:pPr>
        <w:numPr>
          <w:ilvl w:val="0"/>
          <w:numId w:val="8"/>
        </w:numPr>
        <w:spacing w:line="360" w:lineRule="auto"/>
        <w:rPr>
          <w:rFonts w:hint="eastAsia" w:ascii="宋体" w:hAnsi="宋体" w:cs="宋体"/>
          <w:sz w:val="24"/>
          <w:szCs w:val="24"/>
        </w:rPr>
      </w:pPr>
      <w:r>
        <w:rPr>
          <w:rFonts w:hint="eastAsia" w:ascii="宋体" w:hAnsi="宋体" w:cs="宋体"/>
          <w:bCs/>
          <w:sz w:val="24"/>
          <w:szCs w:val="24"/>
        </w:rPr>
        <w:t>投标人报名表（格式见附件十一：投标人报名表）（加盖公章）；</w:t>
      </w:r>
    </w:p>
    <w:p>
      <w:pPr>
        <w:numPr>
          <w:ilvl w:val="0"/>
          <w:numId w:val="8"/>
        </w:numPr>
        <w:spacing w:line="360" w:lineRule="auto"/>
        <w:rPr>
          <w:rFonts w:hint="eastAsia" w:ascii="宋体" w:hAnsi="宋体" w:cs="宋体"/>
          <w:sz w:val="24"/>
          <w:szCs w:val="24"/>
        </w:rPr>
      </w:pPr>
      <w:r>
        <w:rPr>
          <w:rFonts w:hint="eastAsia" w:ascii="宋体" w:hAnsi="宋体" w:cs="宋体"/>
          <w:bCs/>
          <w:sz w:val="24"/>
          <w:szCs w:val="24"/>
        </w:rPr>
        <w:t>营业执照副本复印件（加盖公章）；</w:t>
      </w:r>
    </w:p>
    <w:p>
      <w:pPr>
        <w:numPr>
          <w:ilvl w:val="0"/>
          <w:numId w:val="8"/>
        </w:numPr>
        <w:spacing w:line="360" w:lineRule="auto"/>
        <w:rPr>
          <w:rFonts w:hint="eastAsia" w:ascii="宋体" w:hAnsi="宋体" w:cs="宋体"/>
          <w:sz w:val="24"/>
          <w:szCs w:val="24"/>
        </w:rPr>
      </w:pPr>
      <w:r>
        <w:rPr>
          <w:rFonts w:hint="eastAsia" w:ascii="宋体" w:hAnsi="宋体" w:cs="宋体"/>
          <w:bCs/>
          <w:sz w:val="24"/>
          <w:szCs w:val="24"/>
        </w:rPr>
        <w:t>业绩证明文件：投标人自2020年1月1日起具有类似成功业绩（</w:t>
      </w:r>
      <w:r>
        <w:rPr>
          <w:rFonts w:hint="eastAsia" w:ascii="宋体" w:hAnsi="宋体" w:cs="宋体"/>
          <w:b/>
          <w:sz w:val="24"/>
          <w:szCs w:val="24"/>
        </w:rPr>
        <w:t>行业相关网络安全边界防护项目</w:t>
      </w:r>
      <w:r>
        <w:rPr>
          <w:rFonts w:hint="eastAsia" w:ascii="宋体" w:hAnsi="宋体" w:cs="宋体"/>
          <w:bCs/>
          <w:sz w:val="24"/>
          <w:szCs w:val="24"/>
        </w:rPr>
        <w:t>）的至少1个案例的合同扫描件；</w:t>
      </w:r>
    </w:p>
    <w:p>
      <w:pPr>
        <w:numPr>
          <w:ilvl w:val="0"/>
          <w:numId w:val="8"/>
        </w:numPr>
        <w:spacing w:line="360" w:lineRule="auto"/>
        <w:rPr>
          <w:rFonts w:hint="eastAsia" w:ascii="宋体" w:hAnsi="宋体" w:cs="宋体"/>
          <w:sz w:val="24"/>
          <w:szCs w:val="24"/>
        </w:rPr>
      </w:pPr>
      <w:r>
        <w:rPr>
          <w:rFonts w:hint="eastAsia" w:ascii="宋体" w:hAnsi="宋体" w:cs="宋体"/>
          <w:bCs/>
          <w:sz w:val="24"/>
          <w:szCs w:val="24"/>
        </w:rPr>
        <w:t>信用中国截图【报名日期前5日内“信用中国”网站(www.creditchina.gov.cn）查询本单位未被列入联合惩戒失信人名单的网页截图】；</w:t>
      </w:r>
    </w:p>
    <w:p>
      <w:pPr>
        <w:numPr>
          <w:ilvl w:val="0"/>
          <w:numId w:val="8"/>
        </w:numPr>
        <w:spacing w:line="360" w:lineRule="auto"/>
        <w:rPr>
          <w:rFonts w:hint="eastAsia" w:ascii="宋体" w:hAnsi="宋体" w:cs="宋体"/>
          <w:sz w:val="24"/>
          <w:szCs w:val="24"/>
        </w:rPr>
      </w:pPr>
      <w:r>
        <w:rPr>
          <w:rFonts w:hint="eastAsia" w:ascii="宋体" w:hAnsi="宋体" w:cs="宋体"/>
          <w:bCs/>
          <w:sz w:val="24"/>
          <w:szCs w:val="24"/>
        </w:rPr>
        <w:t>近三年经审计事务所审计并盖章的企业财务报表及相关资料；</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.5.</w:t>
      </w:r>
      <w:r>
        <w:rPr>
          <w:rFonts w:hint="eastAsia" w:ascii="宋体" w:hAnsi="宋体" w:cs="宋体"/>
          <w:sz w:val="24"/>
          <w:szCs w:val="24"/>
          <w:lang w:val="en-US" w:eastAsia="zh-CN"/>
        </w:rPr>
        <w:t>3</w:t>
      </w:r>
      <w:r>
        <w:rPr>
          <w:rFonts w:hint="eastAsia" w:ascii="宋体" w:hAnsi="宋体" w:cs="宋体"/>
          <w:sz w:val="24"/>
          <w:szCs w:val="24"/>
        </w:rPr>
        <w:t>邮件应标材料要求：</w:t>
      </w:r>
    </w:p>
    <w:p>
      <w:pPr>
        <w:pStyle w:val="2"/>
        <w:spacing w:line="360" w:lineRule="auto"/>
        <w:ind w:firstLine="480" w:firstLineChars="200"/>
        <w:rPr>
          <w:rFonts w:hint="eastAsia" w:ascii="宋体" w:hAnsi="宋体" w:cs="宋体"/>
          <w:b/>
          <w:bCs/>
          <w:sz w:val="24"/>
          <w:szCs w:val="24"/>
        </w:rPr>
      </w:pPr>
      <w:r>
        <w:rPr>
          <w:rFonts w:hint="eastAsia" w:ascii="宋体" w:hAnsi="宋体" w:cs="宋体"/>
          <w:sz w:val="24"/>
          <w:szCs w:val="24"/>
        </w:rPr>
        <w:t>每一页原文件扫描在一页上，禁止两页或多页合并扫描在一页，扫描文件必须清晰可辨否则影响报名的审核，扫描文件格式为pdf格式，禁止采用压缩文件格式或图片格式，</w:t>
      </w:r>
      <w:r>
        <w:rPr>
          <w:rFonts w:hint="eastAsia" w:ascii="宋体" w:hAnsi="宋体" w:cs="宋体"/>
          <w:b/>
          <w:bCs/>
          <w:sz w:val="24"/>
          <w:szCs w:val="24"/>
        </w:rPr>
        <w:t>所有扫描文件都集成到1个pdf文档。</w:t>
      </w:r>
    </w:p>
    <w:p>
      <w:pPr>
        <w:bidi w:val="0"/>
        <w:spacing w:line="360" w:lineRule="auto"/>
        <w:ind w:firstLine="480" w:firstLineChars="200"/>
        <w:rPr>
          <w:rFonts w:hint="eastAsia"/>
        </w:rPr>
      </w:pPr>
      <w:bookmarkStart w:id="37" w:name="_Toc26144"/>
      <w:bookmarkStart w:id="38" w:name="_Toc27256"/>
      <w:bookmarkStart w:id="39" w:name="_Toc7611"/>
      <w:r>
        <w:rPr>
          <w:rFonts w:hint="eastAsia" w:ascii="宋体" w:hAnsi="宋体" w:eastAsia="宋体" w:cs="宋体"/>
          <w:color w:val="000000"/>
          <w:kern w:val="0"/>
          <w:sz w:val="24"/>
          <w:szCs w:val="24"/>
          <w:lang w:val="en-US" w:eastAsia="zh-CN" w:bidi="ar-SA"/>
        </w:rPr>
        <w:t>1.5.4逾期送达的或者未送达指定地点的投标文件，招标人不予受理。</w:t>
      </w:r>
    </w:p>
    <w:p>
      <w:pPr>
        <w:pStyle w:val="4"/>
        <w:spacing w:before="120" w:line="460" w:lineRule="exact"/>
        <w:ind w:firstLine="482"/>
        <w:rPr>
          <w:rFonts w:hint="eastAsia"/>
        </w:rPr>
      </w:pPr>
      <w:r>
        <w:rPr>
          <w:rFonts w:hint="eastAsia"/>
        </w:rPr>
        <w:t>联系方式</w:t>
      </w:r>
      <w:bookmarkEnd w:id="37"/>
      <w:bookmarkEnd w:id="38"/>
      <w:bookmarkEnd w:id="39"/>
    </w:p>
    <w:p>
      <w:pPr>
        <w:autoSpaceDE w:val="0"/>
        <w:autoSpaceDN w:val="0"/>
        <w:adjustRightInd w:val="0"/>
        <w:snapToGrid w:val="0"/>
        <w:spacing w:line="460" w:lineRule="exact"/>
        <w:ind w:firstLine="480" w:firstLineChars="200"/>
        <w:jc w:val="left"/>
        <w:rPr>
          <w:rFonts w:hint="eastAsia" w:ascii="宋体" w:hAnsi="宋体" w:cs="宋体"/>
          <w:bCs/>
          <w:sz w:val="24"/>
          <w:szCs w:val="24"/>
        </w:rPr>
      </w:pPr>
      <w:r>
        <w:rPr>
          <w:rFonts w:hint="eastAsia" w:ascii="宋体" w:hAnsi="宋体" w:cs="宋体"/>
          <w:sz w:val="24"/>
          <w:szCs w:val="24"/>
        </w:rPr>
        <w:t>招 标 人：</w:t>
      </w:r>
      <w:r>
        <w:rPr>
          <w:rFonts w:hint="eastAsia" w:ascii="宋体" w:hAnsi="宋体" w:cs="宋体"/>
          <w:sz w:val="24"/>
          <w:szCs w:val="24"/>
          <w:lang w:val="en-US" w:eastAsia="zh-CN"/>
        </w:rPr>
        <w:t>中国重汽集团泰安五岳专用汽车有限</w:t>
      </w:r>
      <w:r>
        <w:rPr>
          <w:rFonts w:hint="eastAsia" w:ascii="宋体" w:hAnsi="宋体" w:cs="宋体"/>
          <w:sz w:val="24"/>
          <w:szCs w:val="24"/>
        </w:rPr>
        <w:t>公司</w:t>
      </w:r>
    </w:p>
    <w:p>
      <w:pPr>
        <w:autoSpaceDE w:val="0"/>
        <w:autoSpaceDN w:val="0"/>
        <w:adjustRightInd w:val="0"/>
        <w:snapToGrid w:val="0"/>
        <w:spacing w:line="460" w:lineRule="exact"/>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人：</w:t>
      </w:r>
      <w:r>
        <w:rPr>
          <w:rFonts w:hint="eastAsia" w:ascii="宋体" w:hAnsi="宋体" w:cs="宋体"/>
          <w:sz w:val="24"/>
          <w:szCs w:val="24"/>
          <w:lang w:val="en-US" w:eastAsia="zh-CN"/>
        </w:rPr>
        <w:t>高鑫鑫</w:t>
      </w:r>
    </w:p>
    <w:p>
      <w:pPr>
        <w:autoSpaceDE w:val="0"/>
        <w:autoSpaceDN w:val="0"/>
        <w:adjustRightInd w:val="0"/>
        <w:snapToGrid w:val="0"/>
        <w:spacing w:line="460" w:lineRule="exact"/>
        <w:ind w:firstLine="480" w:firstLineChars="200"/>
        <w:jc w:val="left"/>
        <w:rPr>
          <w:rFonts w:hint="eastAsia" w:ascii="宋体" w:hAnsi="宋体" w:cs="宋体"/>
          <w:sz w:val="24"/>
          <w:szCs w:val="24"/>
        </w:rPr>
      </w:pPr>
      <w:r>
        <w:rPr>
          <w:rFonts w:hint="eastAsia" w:ascii="宋体" w:hAnsi="宋体" w:cs="宋体"/>
          <w:sz w:val="24"/>
          <w:szCs w:val="24"/>
        </w:rPr>
        <w:t>联系电话:</w:t>
      </w:r>
      <w:r>
        <w:t xml:space="preserve"> </w:t>
      </w:r>
      <w:r>
        <w:rPr>
          <w:rFonts w:hint="eastAsia" w:ascii="宋体" w:hAnsi="宋体" w:cs="宋体"/>
          <w:sz w:val="24"/>
          <w:szCs w:val="24"/>
        </w:rPr>
        <w:t>13562857992</w:t>
      </w:r>
    </w:p>
    <w:p>
      <w:pPr>
        <w:autoSpaceDE w:val="0"/>
        <w:autoSpaceDN w:val="0"/>
        <w:adjustRightInd w:val="0"/>
        <w:snapToGrid w:val="0"/>
        <w:spacing w:line="460" w:lineRule="exact"/>
        <w:ind w:firstLine="480" w:firstLineChars="200"/>
        <w:jc w:val="left"/>
        <w:rPr>
          <w:rFonts w:hint="eastAsia" w:ascii="宋体" w:hAnsi="宋体" w:cs="宋体"/>
          <w:sz w:val="24"/>
          <w:szCs w:val="24"/>
        </w:rPr>
      </w:pPr>
      <w:r>
        <w:rPr>
          <w:rFonts w:hint="eastAsia" w:ascii="宋体" w:hAnsi="宋体" w:cs="宋体"/>
          <w:sz w:val="24"/>
          <w:szCs w:val="24"/>
        </w:rPr>
        <w:t>地    址：山东省泰安市高新技术产业开发区中天门大街266号</w:t>
      </w:r>
    </w:p>
    <w:p>
      <w:pPr>
        <w:pStyle w:val="22"/>
        <w:ind w:firstLine="480"/>
        <w:rPr>
          <w:rFonts w:hint="eastAsia" w:ascii="宋体" w:hAnsi="宋体" w:cs="宋体"/>
          <w:sz w:val="24"/>
          <w:szCs w:val="24"/>
        </w:rPr>
      </w:pPr>
    </w:p>
    <w:p>
      <w:pPr>
        <w:pStyle w:val="54"/>
        <w:rPr>
          <w:rFonts w:hint="default" w:eastAsia="宋体"/>
          <w:lang w:val="en-US" w:eastAsia="zh-CN"/>
        </w:rPr>
      </w:pPr>
      <w:r>
        <w:rPr>
          <w:rFonts w:hint="eastAsia"/>
          <w:sz w:val="24"/>
          <w:szCs w:val="24"/>
          <w:lang w:val="en-US" w:eastAsia="zh-CN"/>
        </w:rPr>
        <w:t xml:space="preserve">   </w:t>
      </w:r>
    </w:p>
    <w:p>
      <w:pPr>
        <w:autoSpaceDE w:val="0"/>
        <w:autoSpaceDN w:val="0"/>
        <w:adjustRightInd w:val="0"/>
        <w:snapToGrid w:val="0"/>
        <w:spacing w:line="460" w:lineRule="exact"/>
        <w:ind w:firstLine="480" w:firstLineChars="200"/>
        <w:jc w:val="left"/>
        <w:rPr>
          <w:rFonts w:hint="eastAsia" w:ascii="宋体" w:hAnsi="宋体" w:cs="宋体"/>
          <w:sz w:val="24"/>
          <w:szCs w:val="24"/>
        </w:rPr>
      </w:pPr>
    </w:p>
    <w:p>
      <w:pPr>
        <w:pStyle w:val="22"/>
        <w:ind w:firstLine="480"/>
        <w:rPr>
          <w:rFonts w:hint="eastAsia" w:ascii="宋体" w:hAnsi="宋体" w:cs="宋体"/>
          <w:sz w:val="24"/>
          <w:szCs w:val="24"/>
        </w:rPr>
      </w:pPr>
    </w:p>
    <w:p>
      <w:pPr>
        <w:rPr>
          <w:rFonts w:hint="eastAsia" w:ascii="宋体" w:hAnsi="宋体" w:cs="宋体"/>
          <w:sz w:val="24"/>
          <w:szCs w:val="24"/>
        </w:rPr>
      </w:pPr>
    </w:p>
    <w:p>
      <w:pPr>
        <w:pStyle w:val="22"/>
        <w:ind w:firstLine="480"/>
        <w:rPr>
          <w:rFonts w:hint="eastAsia" w:ascii="宋体" w:hAnsi="宋体" w:cs="宋体"/>
          <w:sz w:val="24"/>
          <w:szCs w:val="24"/>
        </w:rPr>
      </w:pPr>
    </w:p>
    <w:p>
      <w:pPr>
        <w:rPr>
          <w:rFonts w:hint="eastAsia" w:ascii="宋体" w:hAnsi="宋体" w:cs="宋体"/>
          <w:sz w:val="24"/>
          <w:szCs w:val="24"/>
        </w:rPr>
      </w:pPr>
    </w:p>
    <w:p>
      <w:pPr>
        <w:pStyle w:val="22"/>
        <w:rPr>
          <w:rFonts w:hint="eastAsia"/>
        </w:rPr>
      </w:pPr>
    </w:p>
    <w:p>
      <w:pPr>
        <w:pStyle w:val="22"/>
      </w:pPr>
    </w:p>
    <w:p>
      <w:pPr>
        <w:ind w:firstLine="480"/>
      </w:pPr>
    </w:p>
    <w:p>
      <w:pPr>
        <w:pStyle w:val="22"/>
      </w:pPr>
    </w:p>
    <w:p>
      <w:pPr>
        <w:ind w:firstLine="480"/>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pStyle w:val="2"/>
        <w:rPr>
          <w:rFonts w:hint="eastAsia"/>
        </w:rPr>
      </w:pPr>
    </w:p>
    <w:p>
      <w:pPr>
        <w:pStyle w:val="2"/>
        <w:rPr>
          <w:rFonts w:hint="eastAsia"/>
        </w:rPr>
      </w:pPr>
    </w:p>
    <w:p>
      <w:pPr>
        <w:rPr>
          <w:rFonts w:hint="eastAsia"/>
        </w:rPr>
      </w:pPr>
    </w:p>
    <w:p>
      <w:pPr>
        <w:pStyle w:val="22"/>
        <w:rPr>
          <w:rFonts w:hint="eastAsia"/>
        </w:rPr>
      </w:pPr>
    </w:p>
    <w:p>
      <w:pPr>
        <w:pStyle w:val="22"/>
        <w:ind w:firstLine="0" w:firstLineChars="0"/>
        <w:rPr>
          <w:rFonts w:hint="eastAsia"/>
        </w:rPr>
      </w:pPr>
    </w:p>
    <w:p>
      <w:pPr>
        <w:pStyle w:val="74"/>
        <w:rPr>
          <w:rFonts w:hint="eastAsia"/>
        </w:rPr>
      </w:pPr>
      <w:bookmarkStart w:id="40" w:name="_Toc24065"/>
      <w:bookmarkStart w:id="41" w:name="_Toc4552"/>
      <w:bookmarkStart w:id="42" w:name="_Toc25287"/>
      <w:r>
        <w:rPr>
          <w:rFonts w:hint="eastAsia"/>
        </w:rPr>
        <w:t>投标人须知</w:t>
      </w:r>
      <w:bookmarkEnd w:id="40"/>
      <w:bookmarkEnd w:id="41"/>
      <w:bookmarkEnd w:id="42"/>
      <w:bookmarkStart w:id="43" w:name="_Toc129685543"/>
      <w:bookmarkEnd w:id="43"/>
      <w:bookmarkStart w:id="44" w:name="_Toc129685544"/>
      <w:bookmarkEnd w:id="44"/>
    </w:p>
    <w:p>
      <w:pPr>
        <w:pStyle w:val="292"/>
        <w:keepNext/>
        <w:keepLines/>
        <w:numPr>
          <w:ilvl w:val="0"/>
          <w:numId w:val="9"/>
        </w:numPr>
        <w:spacing w:before="120" w:beforeLines="50" w:line="360" w:lineRule="auto"/>
        <w:ind w:firstLineChars="0"/>
        <w:jc w:val="left"/>
        <w:outlineLvl w:val="1"/>
        <w:rPr>
          <w:rFonts w:hint="eastAsia"/>
          <w:b/>
          <w:vanish/>
          <w:kern w:val="0"/>
          <w:sz w:val="24"/>
          <w:szCs w:val="32"/>
        </w:rPr>
      </w:pPr>
      <w:bookmarkStart w:id="45" w:name="_Toc129695603"/>
      <w:bookmarkEnd w:id="45"/>
      <w:bookmarkStart w:id="46" w:name="_Toc129692640"/>
      <w:bookmarkEnd w:id="46"/>
      <w:bookmarkStart w:id="47" w:name="_Toc129693371"/>
      <w:bookmarkEnd w:id="47"/>
      <w:bookmarkStart w:id="48" w:name="_Toc129697443"/>
      <w:bookmarkEnd w:id="48"/>
      <w:bookmarkStart w:id="49" w:name="_Toc129692786"/>
      <w:bookmarkEnd w:id="49"/>
      <w:bookmarkStart w:id="50" w:name="_Toc129692723"/>
      <w:bookmarkEnd w:id="50"/>
      <w:bookmarkStart w:id="51" w:name="_Toc129693887"/>
      <w:bookmarkEnd w:id="51"/>
    </w:p>
    <w:p>
      <w:pPr>
        <w:pStyle w:val="292"/>
        <w:keepNext/>
        <w:keepLines/>
        <w:numPr>
          <w:ilvl w:val="0"/>
          <w:numId w:val="9"/>
        </w:numPr>
        <w:spacing w:before="120" w:beforeLines="50" w:line="360" w:lineRule="auto"/>
        <w:ind w:firstLineChars="0"/>
        <w:jc w:val="left"/>
        <w:outlineLvl w:val="1"/>
        <w:rPr>
          <w:rFonts w:hint="eastAsia"/>
          <w:b/>
          <w:vanish/>
          <w:kern w:val="0"/>
          <w:sz w:val="24"/>
          <w:szCs w:val="32"/>
        </w:rPr>
      </w:pPr>
      <w:bookmarkStart w:id="52" w:name="_Toc129695604"/>
      <w:bookmarkEnd w:id="52"/>
      <w:bookmarkStart w:id="53" w:name="_Toc129692641"/>
      <w:bookmarkEnd w:id="53"/>
      <w:bookmarkStart w:id="54" w:name="_Toc129693372"/>
      <w:bookmarkEnd w:id="54"/>
      <w:bookmarkStart w:id="55" w:name="_Toc129692724"/>
      <w:bookmarkEnd w:id="55"/>
      <w:bookmarkStart w:id="56" w:name="_Toc129692787"/>
      <w:bookmarkEnd w:id="56"/>
      <w:bookmarkStart w:id="57" w:name="_Toc129697444"/>
      <w:bookmarkEnd w:id="57"/>
      <w:bookmarkStart w:id="58" w:name="_Toc129693888"/>
      <w:bookmarkEnd w:id="58"/>
    </w:p>
    <w:p>
      <w:pPr>
        <w:pStyle w:val="4"/>
        <w:numPr>
          <w:ilvl w:val="1"/>
          <w:numId w:val="9"/>
        </w:numPr>
        <w:spacing w:before="120"/>
        <w:ind w:left="0" w:firstLine="380"/>
        <w:rPr>
          <w:rFonts w:hint="eastAsia"/>
        </w:rPr>
      </w:pPr>
      <w:bookmarkStart w:id="59" w:name="_Toc10642"/>
      <w:bookmarkStart w:id="60" w:name="_Toc8231"/>
      <w:bookmarkStart w:id="61" w:name="_Toc27790"/>
      <w:r>
        <w:rPr>
          <w:rFonts w:hint="eastAsia"/>
        </w:rPr>
        <w:t>投标人须知前附表</w:t>
      </w:r>
      <w:bookmarkEnd w:id="59"/>
      <w:bookmarkEnd w:id="60"/>
      <w:bookmarkEnd w:id="61"/>
    </w:p>
    <w:p>
      <w:pPr>
        <w:spacing w:line="360" w:lineRule="auto"/>
        <w:ind w:firstLine="480" w:firstLineChars="200"/>
        <w:rPr>
          <w:rFonts w:ascii="宋体" w:hAnsi="宋体"/>
          <w:sz w:val="24"/>
          <w:szCs w:val="24"/>
        </w:rPr>
      </w:pPr>
      <w:r>
        <w:rPr>
          <w:rFonts w:hint="eastAsia" w:ascii="宋体" w:hAnsi="宋体" w:cs="宋体"/>
          <w:sz w:val="24"/>
          <w:szCs w:val="24"/>
        </w:rPr>
        <w:t>本表是对“投标人须知”正文的具体补充和修改，如有不一致，以“前附表”为准。</w:t>
      </w:r>
    </w:p>
    <w:tbl>
      <w:tblPr>
        <w:tblStyle w:val="7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53"/>
        <w:gridCol w:w="83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7" w:hRule="atLeast"/>
          <w:tblHeader/>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 w:val="24"/>
                <w:szCs w:val="24"/>
              </w:rPr>
            </w:pPr>
            <w:bookmarkStart w:id="62" w:name="_Toc346372875"/>
            <w:r>
              <w:rPr>
                <w:rFonts w:hint="eastAsia" w:ascii="宋体" w:hAnsi="宋体" w:cs="宋体"/>
                <w:sz w:val="24"/>
              </w:rPr>
              <w:t>序号</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b/>
                <w:bCs/>
                <w:sz w:val="24"/>
                <w:szCs w:val="24"/>
              </w:rPr>
            </w:pPr>
            <w:r>
              <w:rPr>
                <w:rFonts w:hint="eastAsia" w:ascii="宋体" w:hAnsi="宋体" w:cs="宋体"/>
                <w:b/>
                <w:bCs/>
                <w:sz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8" w:hRule="atLeast"/>
          <w:jc w:val="center"/>
        </w:trPr>
        <w:tc>
          <w:tcPr>
            <w:tcW w:w="8958"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b/>
                <w:bCs/>
                <w:sz w:val="24"/>
                <w:szCs w:val="24"/>
              </w:rPr>
            </w:pPr>
            <w:r>
              <w:rPr>
                <w:rFonts w:hint="eastAsia" w:ascii="宋体" w:hAnsi="宋体" w:cs="宋体"/>
                <w:b/>
                <w:bCs/>
                <w:sz w:val="24"/>
              </w:rPr>
              <w:t>项目情况说明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6"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 w:val="24"/>
                <w:szCs w:val="24"/>
              </w:rPr>
            </w:pPr>
            <w:r>
              <w:rPr>
                <w:rFonts w:hint="eastAsia" w:ascii="宋体" w:hAnsi="宋体" w:cs="宋体"/>
                <w:sz w:val="24"/>
              </w:rPr>
              <w:t>1</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480" w:firstLineChars="200"/>
              <w:jc w:val="both"/>
              <w:rPr>
                <w:rFonts w:hint="eastAsia" w:ascii="宋体" w:hAnsi="宋体" w:eastAsia="宋体"/>
                <w:sz w:val="24"/>
                <w:lang w:eastAsia="zh-CN"/>
              </w:rPr>
            </w:pPr>
            <w:r>
              <w:rPr>
                <w:rFonts w:hint="eastAsia" w:ascii="宋体" w:hAnsi="宋体"/>
                <w:sz w:val="24"/>
              </w:rPr>
              <w:t>项目名称：</w:t>
            </w:r>
            <w:r>
              <w:rPr>
                <w:rFonts w:hint="eastAsia" w:ascii="宋体" w:hAnsi="宋体"/>
                <w:sz w:val="24"/>
                <w:lang w:eastAsia="zh-CN"/>
              </w:rPr>
              <w:t>中国重汽集团泰安五岳专用汽车有限公司网络安全边界防护项目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63"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 w:val="24"/>
                <w:szCs w:val="24"/>
              </w:rPr>
            </w:pPr>
            <w:r>
              <w:rPr>
                <w:rFonts w:hint="eastAsia" w:ascii="宋体" w:hAnsi="宋体" w:cs="宋体"/>
                <w:sz w:val="24"/>
              </w:rPr>
              <w:t>2</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480" w:firstLineChars="200"/>
              <w:jc w:val="both"/>
              <w:rPr>
                <w:rFonts w:hint="eastAsia" w:ascii="宋体" w:hAnsi="宋体" w:eastAsia="宋体" w:cs="Times New Roman"/>
                <w:sz w:val="24"/>
                <w:lang w:eastAsia="zh-CN"/>
              </w:rPr>
            </w:pPr>
            <w:r>
              <w:rPr>
                <w:rFonts w:hint="eastAsia" w:ascii="宋体" w:hAnsi="宋体" w:eastAsia="宋体" w:cs="Times New Roman"/>
                <w:sz w:val="24"/>
                <w:lang w:eastAsia="zh-CN"/>
              </w:rPr>
              <w:t xml:space="preserve">招标人名称：中国重汽集团泰安五岳专用汽车有限公司 </w:t>
            </w:r>
          </w:p>
          <w:p>
            <w:pPr>
              <w:spacing w:line="360" w:lineRule="auto"/>
              <w:ind w:firstLine="480" w:firstLineChars="200"/>
              <w:jc w:val="both"/>
              <w:rPr>
                <w:rFonts w:hint="eastAsia" w:ascii="宋体" w:hAnsi="宋体" w:eastAsia="宋体" w:cs="Times New Roman"/>
                <w:sz w:val="24"/>
                <w:lang w:eastAsia="zh-CN"/>
              </w:rPr>
            </w:pPr>
            <w:r>
              <w:rPr>
                <w:rFonts w:hint="eastAsia" w:ascii="宋体" w:hAnsi="宋体" w:eastAsia="宋体" w:cs="Times New Roman"/>
                <w:sz w:val="24"/>
                <w:lang w:eastAsia="zh-CN"/>
              </w:rPr>
              <w:t xml:space="preserve">项目地址：山东省泰安市高新技术产业开发区中天门大街266号 </w:t>
            </w:r>
          </w:p>
          <w:p>
            <w:pPr>
              <w:spacing w:line="360" w:lineRule="auto"/>
              <w:ind w:firstLine="480" w:firstLineChars="200"/>
              <w:jc w:val="both"/>
              <w:rPr>
                <w:rFonts w:hint="eastAsia" w:ascii="宋体" w:hAnsi="宋体" w:eastAsia="宋体" w:cs="Times New Roman"/>
                <w:sz w:val="24"/>
                <w:lang w:val="en-US" w:eastAsia="zh-CN"/>
              </w:rPr>
            </w:pPr>
            <w:r>
              <w:rPr>
                <w:rFonts w:hint="eastAsia" w:ascii="宋体" w:hAnsi="宋体" w:eastAsia="宋体" w:cs="Times New Roman"/>
                <w:sz w:val="24"/>
                <w:lang w:eastAsia="zh-CN"/>
              </w:rPr>
              <w:t xml:space="preserve">联系人： </w:t>
            </w:r>
            <w:r>
              <w:rPr>
                <w:rFonts w:hint="eastAsia" w:ascii="宋体" w:hAnsi="宋体" w:eastAsia="宋体" w:cs="Times New Roman"/>
                <w:sz w:val="24"/>
                <w:lang w:val="en-US" w:eastAsia="zh-CN"/>
              </w:rPr>
              <w:t>高鑫鑫</w:t>
            </w:r>
          </w:p>
          <w:p>
            <w:pPr>
              <w:spacing w:line="360" w:lineRule="auto"/>
              <w:ind w:firstLine="480" w:firstLineChars="200"/>
              <w:jc w:val="both"/>
              <w:rPr>
                <w:rFonts w:ascii="宋体" w:hAnsi="宋体"/>
                <w:bCs/>
                <w:snapToGrid w:val="0"/>
                <w:kern w:val="0"/>
                <w:sz w:val="24"/>
              </w:rPr>
            </w:pPr>
            <w:r>
              <w:rPr>
                <w:rFonts w:hint="eastAsia" w:ascii="宋体" w:hAnsi="宋体" w:eastAsia="宋体" w:cs="Times New Roman"/>
                <w:sz w:val="24"/>
                <w:lang w:eastAsia="zh-CN"/>
              </w:rPr>
              <w:t>电  话：13562857992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0"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 w:val="24"/>
                <w:szCs w:val="24"/>
              </w:rPr>
            </w:pPr>
            <w:r>
              <w:rPr>
                <w:rFonts w:hint="eastAsia" w:ascii="宋体" w:hAnsi="宋体" w:cs="宋体"/>
                <w:sz w:val="24"/>
              </w:rPr>
              <w:t>3</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480" w:firstLineChars="200"/>
              <w:jc w:val="both"/>
              <w:rPr>
                <w:rFonts w:ascii="宋体" w:hAnsi="宋体" w:cs="宋体"/>
                <w:sz w:val="24"/>
                <w:szCs w:val="24"/>
              </w:rPr>
            </w:pPr>
            <w:r>
              <w:rPr>
                <w:rFonts w:hint="eastAsia" w:ascii="宋体" w:hAnsi="宋体"/>
                <w:bCs/>
                <w:snapToGrid w:val="0"/>
                <w:kern w:val="0"/>
                <w:sz w:val="24"/>
              </w:rPr>
              <w:t>招标代理机构</w:t>
            </w:r>
            <w:r>
              <w:rPr>
                <w:rFonts w:hint="eastAsia" w:ascii="宋体" w:hAnsi="宋体"/>
                <w:sz w:val="24"/>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74"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 w:val="24"/>
                <w:szCs w:val="24"/>
              </w:rPr>
            </w:pPr>
            <w:r>
              <w:rPr>
                <w:rFonts w:hint="eastAsia" w:ascii="宋体" w:hAnsi="宋体" w:cs="宋体"/>
                <w:sz w:val="24"/>
              </w:rPr>
              <w:t>4</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480" w:firstLineChars="200"/>
              <w:rPr>
                <w:rFonts w:ascii="宋体" w:hAnsi="宋体"/>
                <w:sz w:val="24"/>
                <w:szCs w:val="24"/>
              </w:rPr>
            </w:pPr>
            <w:r>
              <w:rPr>
                <w:rFonts w:hint="eastAsia" w:ascii="宋体" w:hAnsi="宋体" w:cs="宋体"/>
                <w:sz w:val="24"/>
              </w:rPr>
              <w:t>资金来源：</w:t>
            </w:r>
            <w:r>
              <w:rPr>
                <w:rFonts w:hint="eastAsia" w:ascii="宋体" w:hAnsi="宋体"/>
                <w:kern w:val="0"/>
                <w:sz w:val="24"/>
              </w:rPr>
              <w:t>企业自筹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 w:val="24"/>
                <w:szCs w:val="24"/>
              </w:rPr>
            </w:pPr>
            <w:r>
              <w:rPr>
                <w:rFonts w:hint="eastAsia" w:ascii="宋体" w:hAnsi="宋体" w:cs="宋体"/>
                <w:sz w:val="24"/>
              </w:rPr>
              <w:t>5</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adjustRightInd w:val="0"/>
              <w:snapToGrid w:val="0"/>
              <w:spacing w:line="460" w:lineRule="exact"/>
              <w:ind w:firstLine="480" w:firstLineChars="200"/>
              <w:rPr>
                <w:rFonts w:hint="eastAsia" w:ascii="宋体" w:hAnsi="宋体" w:cs="宋体"/>
                <w:kern w:val="0"/>
                <w:sz w:val="24"/>
                <w:szCs w:val="24"/>
              </w:rPr>
            </w:pPr>
            <w:r>
              <w:rPr>
                <w:rFonts w:hint="eastAsia" w:ascii="宋体" w:hAnsi="宋体" w:cs="宋体"/>
                <w:kern w:val="0"/>
                <w:sz w:val="24"/>
                <w:szCs w:val="24"/>
              </w:rPr>
              <w:t>合格投标人：同第1章招标公告中1.3条“投标人资格要求”</w:t>
            </w:r>
          </w:p>
          <w:p>
            <w:pPr>
              <w:autoSpaceDE w:val="0"/>
              <w:autoSpaceDN w:val="0"/>
              <w:adjustRightInd w:val="0"/>
              <w:snapToGrid w:val="0"/>
              <w:spacing w:line="460" w:lineRule="exact"/>
              <w:ind w:firstLine="480" w:firstLineChars="200"/>
              <w:rPr>
                <w:rFonts w:ascii="宋体" w:hAnsi="宋体"/>
                <w:kern w:val="0"/>
                <w:sz w:val="24"/>
                <w:szCs w:val="24"/>
              </w:rPr>
            </w:pPr>
            <w:r>
              <w:rPr>
                <w:rFonts w:hint="eastAsia" w:ascii="宋体" w:hAnsi="宋体" w:cs="宋体"/>
                <w:kern w:val="0"/>
                <w:sz w:val="24"/>
                <w:szCs w:val="24"/>
              </w:rPr>
              <w:t>无论投标过程中的方法和结果如何，投标人自行承担所有与参加招标有关费用。</w:t>
            </w:r>
          </w:p>
          <w:p>
            <w:pPr>
              <w:pStyle w:val="22"/>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8958"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b/>
                <w:bCs/>
                <w:sz w:val="24"/>
                <w:szCs w:val="24"/>
              </w:rPr>
            </w:pPr>
            <w:r>
              <w:rPr>
                <w:rFonts w:hint="eastAsia" w:ascii="宋体" w:hAnsi="宋体" w:cs="宋体"/>
                <w:b/>
                <w:bCs/>
                <w:sz w:val="24"/>
              </w:rPr>
              <w:t>招标文件的答疑、澄清和修改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015"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 w:val="24"/>
                <w:szCs w:val="24"/>
              </w:rPr>
            </w:pPr>
            <w:r>
              <w:rPr>
                <w:rFonts w:hint="eastAsia" w:ascii="宋体" w:hAnsi="宋体" w:cs="宋体"/>
                <w:sz w:val="24"/>
              </w:rPr>
              <w:t>6</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snapToGrid w:val="0"/>
              <w:spacing w:line="360" w:lineRule="auto"/>
              <w:ind w:firstLine="480" w:firstLineChars="200"/>
              <w:jc w:val="left"/>
              <w:rPr>
                <w:rFonts w:hint="eastAsia" w:ascii="宋体" w:hAnsi="宋体"/>
                <w:sz w:val="24"/>
                <w:szCs w:val="24"/>
              </w:rPr>
            </w:pPr>
            <w:r>
              <w:rPr>
                <w:rFonts w:hint="eastAsia" w:ascii="宋体" w:hAnsi="宋体" w:cs="宋体"/>
                <w:sz w:val="24"/>
              </w:rPr>
              <w:t>提交疑问截止时间：</w:t>
            </w:r>
            <w:r>
              <w:rPr>
                <w:rFonts w:hint="eastAsia"/>
                <w:b/>
                <w:sz w:val="24"/>
                <w:highlight w:val="none"/>
                <w:u w:val="single"/>
              </w:rPr>
              <w:t xml:space="preserve">  202</w:t>
            </w:r>
            <w:r>
              <w:rPr>
                <w:b/>
                <w:sz w:val="24"/>
                <w:highlight w:val="none"/>
                <w:u w:val="single"/>
              </w:rPr>
              <w:t>3</w:t>
            </w:r>
            <w:r>
              <w:rPr>
                <w:rFonts w:hint="eastAsia"/>
                <w:b/>
                <w:sz w:val="24"/>
                <w:highlight w:val="none"/>
                <w:u w:val="single"/>
              </w:rPr>
              <w:t xml:space="preserve"> 年 </w:t>
            </w:r>
            <w:r>
              <w:rPr>
                <w:rFonts w:hint="eastAsia"/>
                <w:b/>
                <w:sz w:val="24"/>
                <w:highlight w:val="none"/>
                <w:u w:val="single"/>
                <w:lang w:val="en-US" w:eastAsia="zh-CN"/>
              </w:rPr>
              <w:t>11</w:t>
            </w:r>
            <w:r>
              <w:rPr>
                <w:rFonts w:hint="eastAsia"/>
                <w:b/>
                <w:sz w:val="24"/>
                <w:highlight w:val="none"/>
                <w:u w:val="single"/>
              </w:rPr>
              <w:t xml:space="preserve"> 月</w:t>
            </w:r>
            <w:r>
              <w:rPr>
                <w:rFonts w:hint="eastAsia"/>
                <w:b/>
                <w:sz w:val="24"/>
                <w:highlight w:val="none"/>
                <w:u w:val="single"/>
                <w:lang w:val="en-US" w:eastAsia="zh-CN"/>
              </w:rPr>
              <w:t xml:space="preserve"> 18 </w:t>
            </w:r>
            <w:r>
              <w:rPr>
                <w:rFonts w:hint="eastAsia"/>
                <w:b/>
                <w:sz w:val="24"/>
                <w:highlight w:val="none"/>
                <w:u w:val="single"/>
              </w:rPr>
              <w:t>日17时</w:t>
            </w:r>
            <w:r>
              <w:rPr>
                <w:b/>
                <w:sz w:val="24"/>
                <w:highlight w:val="none"/>
                <w:u w:val="single"/>
              </w:rPr>
              <w:t>00</w:t>
            </w:r>
            <w:r>
              <w:rPr>
                <w:rFonts w:hint="eastAsia"/>
                <w:b/>
                <w:sz w:val="24"/>
                <w:highlight w:val="none"/>
                <w:u w:val="single"/>
              </w:rPr>
              <w:t>分</w:t>
            </w:r>
            <w:r>
              <w:rPr>
                <w:rFonts w:hint="eastAsia"/>
                <w:b/>
                <w:sz w:val="24"/>
                <w:highlight w:val="none"/>
              </w:rPr>
              <w:t>前</w:t>
            </w:r>
            <w:r>
              <w:rPr>
                <w:rFonts w:hint="eastAsia" w:ascii="宋体" w:hAnsi="宋体" w:cs="宋体"/>
                <w:sz w:val="24"/>
                <w:highlight w:val="none"/>
              </w:rPr>
              <w:t>。</w:t>
            </w:r>
          </w:p>
          <w:p>
            <w:pPr>
              <w:snapToGrid w:val="0"/>
              <w:spacing w:line="360" w:lineRule="auto"/>
              <w:ind w:firstLine="480" w:firstLineChars="200"/>
              <w:jc w:val="left"/>
              <w:rPr>
                <w:rFonts w:hint="eastAsia" w:ascii="宋体" w:hAnsi="宋体"/>
                <w:b/>
                <w:sz w:val="24"/>
              </w:rPr>
            </w:pPr>
            <w:r>
              <w:rPr>
                <w:rFonts w:hint="eastAsia" w:ascii="宋体" w:hAnsi="宋体" w:cs="宋体"/>
                <w:sz w:val="24"/>
              </w:rPr>
              <w:t>提交疑问方式：</w:t>
            </w:r>
            <w:r>
              <w:rPr>
                <w:rFonts w:ascii="宋体" w:hAnsi="宋体" w:cs="宋体"/>
                <w:sz w:val="24"/>
              </w:rPr>
              <w:fldChar w:fldCharType="begin"/>
            </w:r>
            <w:r>
              <w:rPr>
                <w:rFonts w:ascii="宋体" w:hAnsi="宋体" w:cs="宋体"/>
                <w:sz w:val="24"/>
              </w:rPr>
              <w:instrText xml:space="preserve"> HYPERLINK "mailto:</w:instrText>
            </w:r>
            <w:r>
              <w:rPr>
                <w:rFonts w:hint="eastAsia" w:ascii="宋体" w:hAnsi="宋体" w:cs="宋体"/>
                <w:sz w:val="24"/>
              </w:rPr>
              <w:instrText xml:space="preserve">将答疑问题发邮件至</w:instrText>
            </w:r>
            <w:r>
              <w:rPr>
                <w:rFonts w:ascii="宋体" w:hAnsi="宋体" w:cs="宋体"/>
                <w:sz w:val="24"/>
              </w:rPr>
              <w:instrText xml:space="preserve">15762268551</w:instrText>
            </w:r>
            <w:r>
              <w:rPr>
                <w:rFonts w:hint="eastAsia" w:ascii="宋体" w:hAnsi="宋体" w:cs="宋体"/>
                <w:sz w:val="24"/>
              </w:rPr>
              <w:instrText xml:space="preserve">@</w:instrText>
            </w:r>
            <w:r>
              <w:rPr>
                <w:rFonts w:ascii="宋体" w:hAnsi="宋体" w:cs="宋体"/>
                <w:sz w:val="24"/>
              </w:rPr>
              <w:instrText xml:space="preserve">139.</w:instrText>
            </w:r>
            <w:r>
              <w:rPr>
                <w:rFonts w:hint="eastAsia" w:ascii="宋体" w:hAnsi="宋体" w:cs="宋体"/>
                <w:sz w:val="24"/>
              </w:rPr>
              <w:instrText xml:space="preserve">com</w:instrText>
            </w:r>
            <w:r>
              <w:rPr>
                <w:rFonts w:ascii="宋体" w:hAnsi="宋体" w:cs="宋体"/>
                <w:sz w:val="24"/>
              </w:rPr>
              <w:instrText xml:space="preserve"> " </w:instrText>
            </w:r>
            <w:r>
              <w:rPr>
                <w:rFonts w:ascii="宋体" w:hAnsi="宋体" w:cs="宋体"/>
                <w:sz w:val="24"/>
              </w:rPr>
              <w:fldChar w:fldCharType="separate"/>
            </w:r>
            <w:r>
              <w:rPr>
                <w:rFonts w:hint="eastAsia" w:ascii="宋体" w:hAnsi="宋体" w:cs="宋体"/>
                <w:sz w:val="24"/>
              </w:rPr>
              <w:t>将答疑问题发邮件至</w:t>
            </w:r>
            <w:r>
              <w:rPr>
                <w:rFonts w:hint="eastAsia" w:ascii="等线" w:hAnsi="等线" w:eastAsia="等线"/>
                <w:sz w:val="24"/>
                <w:szCs w:val="24"/>
                <w:lang w:val="en-US" w:eastAsia="zh-CN"/>
              </w:rPr>
              <w:t>wangxianqi@sinotruk</w:t>
            </w:r>
            <w:r>
              <w:rPr>
                <w:rFonts w:hint="eastAsia" w:ascii="等线" w:hAnsi="等线" w:eastAsia="等线"/>
                <w:sz w:val="24"/>
                <w:szCs w:val="24"/>
              </w:rPr>
              <w:t>.com</w:t>
            </w:r>
            <w:r>
              <w:rPr>
                <w:rFonts w:ascii="宋体" w:hAnsi="宋体" w:cs="宋体"/>
                <w:sz w:val="24"/>
              </w:rPr>
              <w:t xml:space="preserve"> </w:t>
            </w:r>
            <w:r>
              <w:rPr>
                <w:rFonts w:ascii="宋体" w:hAnsi="宋体" w:cs="宋体"/>
                <w:sz w:val="24"/>
              </w:rPr>
              <w:fldChar w:fldCharType="end"/>
            </w:r>
            <w:r>
              <w:rPr>
                <w:rFonts w:hint="eastAsia" w:ascii="宋体" w:hAnsi="宋体" w:cs="宋体"/>
                <w:sz w:val="24"/>
              </w:rPr>
              <w:t>，并电话通</w:t>
            </w:r>
            <w:r>
              <w:rPr>
                <w:rFonts w:hint="eastAsia" w:ascii="宋体" w:hAnsi="宋体"/>
                <w:b/>
                <w:sz w:val="24"/>
              </w:rPr>
              <w:t>知招标人。</w:t>
            </w:r>
          </w:p>
          <w:p>
            <w:pPr>
              <w:snapToGrid w:val="0"/>
              <w:spacing w:line="360" w:lineRule="auto"/>
              <w:ind w:firstLine="482" w:firstLineChars="200"/>
              <w:jc w:val="left"/>
              <w:rPr>
                <w:rFonts w:ascii="宋体" w:hAnsi="宋体"/>
                <w:b/>
                <w:sz w:val="24"/>
                <w:u w:val="single"/>
              </w:rPr>
            </w:pPr>
            <w:r>
              <w:rPr>
                <w:rFonts w:hint="eastAsia" w:ascii="宋体" w:hAnsi="宋体"/>
                <w:b/>
                <w:sz w:val="24"/>
              </w:rPr>
              <w:t>技术答疑联系人及联系电话：</w:t>
            </w:r>
            <w:r>
              <w:rPr>
                <w:rFonts w:hint="eastAsia" w:ascii="宋体" w:hAnsi="宋体"/>
                <w:b/>
                <w:sz w:val="24"/>
                <w:lang w:val="en-US" w:eastAsia="zh-CN"/>
              </w:rPr>
              <w:t>王现奇</w:t>
            </w:r>
            <w:r>
              <w:rPr>
                <w:rFonts w:hint="eastAsia" w:ascii="宋体" w:hAnsi="宋体"/>
                <w:b/>
                <w:sz w:val="24"/>
              </w:rPr>
              <w:t xml:space="preserve"> </w:t>
            </w:r>
            <w:r>
              <w:rPr>
                <w:rFonts w:ascii="宋体" w:hAnsi="宋体"/>
                <w:b/>
                <w:sz w:val="24"/>
              </w:rPr>
              <w:t xml:space="preserve">  1</w:t>
            </w:r>
            <w:r>
              <w:rPr>
                <w:rFonts w:hint="eastAsia" w:ascii="宋体" w:hAnsi="宋体"/>
                <w:b/>
                <w:sz w:val="24"/>
                <w:lang w:val="en-US" w:eastAsia="zh-CN"/>
              </w:rPr>
              <w:t>8263823139</w:t>
            </w:r>
            <w:r>
              <w:rPr>
                <w:rFonts w:hint="eastAsia" w:ascii="宋体" w:hAnsi="宋体"/>
                <w:b/>
                <w:sz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 w:val="24"/>
                <w:szCs w:val="24"/>
              </w:rPr>
            </w:pPr>
            <w:r>
              <w:rPr>
                <w:rFonts w:hint="eastAsia" w:ascii="宋体" w:hAnsi="宋体" w:cs="宋体"/>
                <w:sz w:val="24"/>
              </w:rPr>
              <w:t>7</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480" w:firstLineChars="200"/>
              <w:rPr>
                <w:rFonts w:ascii="宋体" w:hAnsi="宋体" w:cs="宋体"/>
                <w:sz w:val="24"/>
                <w:szCs w:val="24"/>
              </w:rPr>
            </w:pPr>
            <w:r>
              <w:rPr>
                <w:rFonts w:hint="eastAsia" w:ascii="宋体" w:hAnsi="宋体" w:cs="宋体"/>
                <w:sz w:val="24"/>
              </w:rPr>
              <w:t>领取答疑、澄清和修改文件时间：开标前</w:t>
            </w:r>
            <w:r>
              <w:rPr>
                <w:rFonts w:hint="eastAsia" w:ascii="宋体" w:hAnsi="宋体" w:cs="宋体"/>
                <w:sz w:val="24"/>
                <w:u w:val="single"/>
              </w:rPr>
              <w:t xml:space="preserve"> </w:t>
            </w:r>
            <w:r>
              <w:rPr>
                <w:rFonts w:ascii="宋体" w:hAnsi="宋体" w:cs="宋体"/>
                <w:sz w:val="24"/>
                <w:u w:val="single"/>
              </w:rPr>
              <w:t>5</w:t>
            </w:r>
            <w:r>
              <w:rPr>
                <w:rFonts w:hint="eastAsia" w:ascii="宋体" w:hAnsi="宋体" w:cs="宋体"/>
                <w:sz w:val="24"/>
                <w:u w:val="single"/>
              </w:rPr>
              <w:t xml:space="preserve"> </w:t>
            </w:r>
            <w:r>
              <w:rPr>
                <w:rFonts w:hint="eastAsia" w:ascii="宋体" w:hAnsi="宋体" w:cs="宋体"/>
                <w:sz w:val="24"/>
              </w:rPr>
              <w:t>天；</w:t>
            </w:r>
          </w:p>
          <w:p>
            <w:pPr>
              <w:spacing w:line="360" w:lineRule="auto"/>
              <w:ind w:firstLine="480" w:firstLineChars="200"/>
              <w:rPr>
                <w:rFonts w:ascii="宋体" w:hAnsi="宋体"/>
                <w:sz w:val="24"/>
                <w:szCs w:val="24"/>
              </w:rPr>
            </w:pPr>
            <w:r>
              <w:rPr>
                <w:rFonts w:hint="eastAsia" w:ascii="宋体" w:hAnsi="宋体"/>
                <w:sz w:val="24"/>
              </w:rPr>
              <w:t>答疑、澄清和修改文件方式：招标人将以电子邮件的方式将招标文件的答疑澄清文件发送至投标报名时登记的电子邮箱（word文档及加盖公章的扫描件各一份）。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8958"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b/>
                <w:bCs/>
                <w:sz w:val="24"/>
                <w:szCs w:val="24"/>
              </w:rPr>
            </w:pPr>
            <w:r>
              <w:rPr>
                <w:rFonts w:hint="eastAsia" w:ascii="宋体" w:hAnsi="宋体" w:cs="宋体"/>
                <w:b/>
                <w:bCs/>
                <w:sz w:val="24"/>
              </w:rPr>
              <w:t>投标文件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sz w:val="24"/>
                <w:szCs w:val="24"/>
              </w:rPr>
            </w:pPr>
            <w:r>
              <w:rPr>
                <w:rFonts w:hint="eastAsia" w:ascii="宋体" w:hAnsi="宋体" w:cs="宋体"/>
                <w:sz w:val="24"/>
              </w:rPr>
              <w:t>8</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pStyle w:val="7"/>
              <w:spacing w:after="0" w:line="360" w:lineRule="auto"/>
              <w:ind w:firstLine="480" w:firstLineChars="200"/>
              <w:rPr>
                <w:rFonts w:ascii="宋体" w:hAnsi="宋体"/>
                <w:sz w:val="24"/>
                <w:szCs w:val="24"/>
              </w:rPr>
            </w:pPr>
            <w:r>
              <w:rPr>
                <w:rFonts w:hint="eastAsia" w:ascii="宋体" w:hAnsi="宋体" w:cs="宋体"/>
                <w:sz w:val="24"/>
              </w:rPr>
              <w:t>投标文件份数及要求：</w:t>
            </w:r>
          </w:p>
          <w:p>
            <w:pPr>
              <w:pStyle w:val="7"/>
              <w:numPr>
                <w:ilvl w:val="0"/>
                <w:numId w:val="0"/>
              </w:numPr>
              <w:spacing w:after="0" w:line="360" w:lineRule="auto"/>
              <w:rPr>
                <w:rFonts w:hint="eastAsia" w:ascii="宋体" w:hAnsi="宋体"/>
                <w:bCs/>
                <w:sz w:val="24"/>
              </w:rPr>
            </w:pPr>
            <w:r>
              <w:rPr>
                <w:rFonts w:hint="eastAsia" w:ascii="宋体" w:hAnsi="宋体" w:cs="宋体"/>
                <w:sz w:val="24"/>
                <w:lang w:val="en-US" w:eastAsia="zh-CN"/>
              </w:rPr>
              <w:t xml:space="preserve">    1、</w:t>
            </w:r>
            <w:r>
              <w:rPr>
                <w:rFonts w:hint="eastAsia" w:ascii="宋体" w:hAnsi="宋体" w:cs="宋体"/>
                <w:sz w:val="24"/>
              </w:rPr>
              <w:t>资格审查文件一份，单独密</w:t>
            </w:r>
            <w:r>
              <w:rPr>
                <w:rFonts w:hint="eastAsia" w:ascii="宋体" w:hAnsi="宋体"/>
                <w:bCs/>
                <w:sz w:val="24"/>
              </w:rPr>
              <w:t>封。</w:t>
            </w:r>
          </w:p>
          <w:p>
            <w:pPr>
              <w:pStyle w:val="7"/>
              <w:numPr>
                <w:ilvl w:val="0"/>
                <w:numId w:val="0"/>
              </w:numPr>
              <w:spacing w:after="0" w:line="360" w:lineRule="auto"/>
              <w:ind w:firstLine="480" w:firstLineChars="200"/>
              <w:rPr>
                <w:rFonts w:hint="eastAsia" w:ascii="宋体" w:hAnsi="宋体" w:cs="宋体"/>
                <w:sz w:val="24"/>
                <w:szCs w:val="24"/>
              </w:rPr>
            </w:pPr>
            <w:r>
              <w:rPr>
                <w:rFonts w:hint="eastAsia" w:ascii="宋体" w:hAnsi="宋体" w:cs="宋体"/>
                <w:sz w:val="24"/>
                <w:lang w:val="en-US" w:eastAsia="zh-CN"/>
              </w:rPr>
              <w:t>2、</w:t>
            </w:r>
            <w:r>
              <w:rPr>
                <w:rFonts w:hint="eastAsia" w:ascii="宋体" w:hAnsi="宋体" w:cs="宋体"/>
                <w:sz w:val="24"/>
              </w:rPr>
              <w:t>技术文件正本一份和副本两份，</w:t>
            </w:r>
            <w:r>
              <w:rPr>
                <w:rFonts w:hint="eastAsia" w:ascii="宋体" w:hAnsi="宋体" w:cs="宋体"/>
                <w:sz w:val="24"/>
                <w:szCs w:val="24"/>
              </w:rPr>
              <w:t>正、副本密封在一起，正本在最上。</w:t>
            </w:r>
          </w:p>
          <w:p>
            <w:pPr>
              <w:pStyle w:val="7"/>
              <w:spacing w:after="0" w:line="360" w:lineRule="auto"/>
              <w:ind w:firstLine="480" w:firstLineChars="200"/>
              <w:rPr>
                <w:rFonts w:ascii="宋体" w:hAnsi="宋体" w:cs="宋体"/>
                <w:sz w:val="24"/>
                <w:szCs w:val="24"/>
              </w:rPr>
            </w:pPr>
            <w:r>
              <w:rPr>
                <w:rFonts w:hint="eastAsia" w:ascii="宋体" w:hAnsi="宋体" w:cs="宋体"/>
                <w:sz w:val="24"/>
                <w:lang w:val="en-US" w:eastAsia="zh-CN"/>
              </w:rPr>
              <w:t>3、</w:t>
            </w:r>
            <w:r>
              <w:rPr>
                <w:rFonts w:hint="eastAsia" w:ascii="宋体" w:hAnsi="宋体" w:cs="宋体"/>
                <w:sz w:val="24"/>
              </w:rPr>
              <w:t>商务文件正本一份和副本两份，</w:t>
            </w:r>
            <w:r>
              <w:rPr>
                <w:rFonts w:hint="eastAsia" w:ascii="宋体" w:hAnsi="宋体" w:cs="宋体"/>
                <w:sz w:val="24"/>
                <w:szCs w:val="24"/>
              </w:rPr>
              <w:t>正、副本密封在一起，正本在最上。</w:t>
            </w:r>
          </w:p>
          <w:p>
            <w:pPr>
              <w:pStyle w:val="7"/>
              <w:spacing w:after="0" w:line="360" w:lineRule="auto"/>
              <w:ind w:firstLine="482" w:firstLineChars="200"/>
              <w:rPr>
                <w:rFonts w:hint="eastAsia" w:ascii="宋体" w:hAnsi="宋体" w:cs="宋体"/>
                <w:sz w:val="24"/>
              </w:rPr>
            </w:pPr>
            <w:r>
              <w:rPr>
                <w:rFonts w:hint="eastAsia" w:ascii="宋体" w:hAnsi="宋体" w:cs="宋体"/>
                <w:b/>
                <w:bCs/>
                <w:sz w:val="24"/>
              </w:rPr>
              <w:t>（资格审查文件、技术文件、商务文件分别密封，不得在同一密封袋内</w:t>
            </w:r>
            <w:r>
              <w:rPr>
                <w:rFonts w:hint="eastAsia" w:ascii="宋体" w:hAnsi="宋体" w:cs="宋体"/>
                <w:sz w:val="24"/>
              </w:rPr>
              <w:t>）</w:t>
            </w:r>
          </w:p>
          <w:p>
            <w:pPr>
              <w:pStyle w:val="28"/>
              <w:ind w:firstLine="480" w:firstLineChars="200"/>
              <w:rPr>
                <w:rFonts w:hint="eastAsia" w:ascii="宋体" w:hAnsi="宋体"/>
                <w:sz w:val="24"/>
              </w:rPr>
            </w:pPr>
            <w:r>
              <w:rPr>
                <w:rFonts w:hint="eastAsia" w:ascii="宋体" w:hAnsi="宋体" w:cs="宋体"/>
                <w:sz w:val="24"/>
              </w:rPr>
              <w:t>4、USB接口设备存储的电子版投标文件一份</w:t>
            </w:r>
            <w:r>
              <w:rPr>
                <w:rFonts w:hint="eastAsia" w:ascii="宋体" w:hAnsi="宋体"/>
                <w:bCs/>
                <w:sz w:val="24"/>
              </w:rPr>
              <w:t>（</w:t>
            </w:r>
            <w:r>
              <w:rPr>
                <w:rFonts w:hint="eastAsia" w:ascii="宋体" w:hAnsi="宋体"/>
                <w:sz w:val="24"/>
              </w:rPr>
              <w:t>包含投标文件全部内容，</w:t>
            </w:r>
            <w:r>
              <w:rPr>
                <w:rFonts w:hint="eastAsia" w:ascii="宋体" w:hAnsi="宋体"/>
                <w:b/>
                <w:bCs/>
                <w:sz w:val="24"/>
              </w:rPr>
              <w:t>PDF及word格式各一份</w:t>
            </w:r>
            <w:r>
              <w:rPr>
                <w:rFonts w:hint="eastAsia" w:ascii="宋体" w:hAnsi="宋体"/>
                <w:bCs/>
                <w:sz w:val="24"/>
              </w:rPr>
              <w:t>），单独密封</w:t>
            </w:r>
            <w:r>
              <w:rPr>
                <w:rFonts w:hint="eastAsia" w:ascii="宋体" w:hAnsi="宋体" w:cs="宋体"/>
                <w:sz w:val="24"/>
              </w:rPr>
              <w:t>；（USB接口存储设备不退还）</w:t>
            </w:r>
          </w:p>
          <w:p>
            <w:pPr>
              <w:pStyle w:val="7"/>
              <w:spacing w:after="0" w:line="360" w:lineRule="auto"/>
              <w:ind w:firstLine="480" w:firstLineChars="200"/>
              <w:rPr>
                <w:rFonts w:ascii="宋体" w:hAnsi="宋体"/>
                <w:kern w:val="2"/>
                <w:sz w:val="24"/>
              </w:rPr>
            </w:pPr>
            <w:r>
              <w:rPr>
                <w:rFonts w:hint="eastAsia" w:ascii="宋体" w:hAnsi="宋体" w:cs="宋体"/>
                <w:sz w:val="24"/>
              </w:rPr>
              <w:t>5、单独密封的开标一览表一份。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sz w:val="24"/>
                <w:szCs w:val="24"/>
              </w:rPr>
            </w:pPr>
            <w:r>
              <w:rPr>
                <w:rFonts w:hint="eastAsia" w:ascii="宋体" w:hAnsi="宋体" w:cs="宋体"/>
                <w:sz w:val="24"/>
              </w:rPr>
              <w:t>9</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480" w:firstLineChars="200"/>
              <w:rPr>
                <w:rFonts w:ascii="宋体" w:hAnsi="宋体"/>
                <w:sz w:val="24"/>
                <w:szCs w:val="24"/>
              </w:rPr>
            </w:pPr>
            <w:r>
              <w:rPr>
                <w:rFonts w:hint="eastAsia" w:ascii="宋体" w:hAnsi="宋体" w:cs="宋体"/>
                <w:sz w:val="24"/>
              </w:rPr>
              <w:t>投标文件密封和标记：</w:t>
            </w:r>
          </w:p>
          <w:p>
            <w:pPr>
              <w:spacing w:line="360" w:lineRule="auto"/>
              <w:ind w:firstLine="480" w:firstLineChars="200"/>
              <w:rPr>
                <w:rFonts w:hint="eastAsia" w:ascii="宋体" w:hAnsi="宋体" w:cs="宋体"/>
                <w:sz w:val="24"/>
              </w:rPr>
            </w:pPr>
            <w:r>
              <w:rPr>
                <w:rFonts w:hint="eastAsia" w:ascii="宋体" w:hAnsi="宋体" w:cs="宋体"/>
                <w:sz w:val="24"/>
              </w:rPr>
              <w:t>投标人应将投标文件的正本和所有副本、电子版及开标一览表分别密封后，并在封面明显处注明以下内容：</w:t>
            </w:r>
          </w:p>
          <w:p>
            <w:pPr>
              <w:spacing w:line="360" w:lineRule="auto"/>
              <w:ind w:firstLine="480" w:firstLineChars="200"/>
              <w:rPr>
                <w:rFonts w:hint="eastAsia" w:ascii="宋体" w:hAnsi="宋体"/>
                <w:sz w:val="24"/>
              </w:rPr>
            </w:pPr>
            <w:r>
              <w:rPr>
                <w:rFonts w:hint="eastAsia" w:ascii="宋体" w:hAnsi="宋体" w:cs="宋体"/>
                <w:sz w:val="24"/>
              </w:rPr>
              <w:t>1) 项目编号、项目名称</w:t>
            </w:r>
          </w:p>
          <w:p>
            <w:pPr>
              <w:spacing w:line="360" w:lineRule="auto"/>
              <w:ind w:firstLine="480" w:firstLineChars="200"/>
              <w:rPr>
                <w:rFonts w:hint="eastAsia" w:ascii="宋体" w:hAnsi="宋体"/>
                <w:sz w:val="24"/>
              </w:rPr>
            </w:pPr>
            <w:r>
              <w:rPr>
                <w:rFonts w:hint="eastAsia" w:ascii="宋体" w:hAnsi="宋体" w:cs="宋体"/>
                <w:sz w:val="24"/>
              </w:rPr>
              <w:t>2) 投标文件正本和副本、电子版或开标一览表</w:t>
            </w:r>
          </w:p>
          <w:p>
            <w:pPr>
              <w:spacing w:line="360" w:lineRule="auto"/>
              <w:ind w:firstLine="480" w:firstLineChars="200"/>
              <w:rPr>
                <w:rFonts w:hint="eastAsia" w:ascii="宋体" w:hAnsi="宋体"/>
                <w:sz w:val="24"/>
              </w:rPr>
            </w:pPr>
            <w:r>
              <w:rPr>
                <w:rFonts w:hint="eastAsia" w:ascii="宋体" w:hAnsi="宋体" w:cs="宋体"/>
                <w:sz w:val="24"/>
              </w:rPr>
              <w:t>3) 投标人名称（加盖公章）、地址、邮编、电话、传真</w:t>
            </w:r>
          </w:p>
          <w:p>
            <w:pPr>
              <w:spacing w:line="360" w:lineRule="auto"/>
              <w:ind w:firstLine="480" w:firstLineChars="200"/>
              <w:rPr>
                <w:rFonts w:ascii="宋体" w:hAnsi="宋体"/>
                <w:sz w:val="24"/>
              </w:rPr>
            </w:pPr>
            <w:r>
              <w:rPr>
                <w:rFonts w:hint="eastAsia" w:ascii="宋体" w:hAnsi="宋体" w:cs="宋体"/>
                <w:sz w:val="24"/>
              </w:rPr>
              <w:t>4）每一密封件在封口处注明“于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分之前不准启封”字样。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25"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 w:val="24"/>
                <w:szCs w:val="24"/>
              </w:rPr>
            </w:pPr>
            <w:r>
              <w:rPr>
                <w:rFonts w:hint="eastAsia" w:ascii="宋体" w:hAnsi="宋体" w:cs="宋体"/>
                <w:sz w:val="24"/>
              </w:rPr>
              <w:t>10</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pStyle w:val="7"/>
              <w:spacing w:after="0" w:line="560" w:lineRule="exact"/>
              <w:ind w:firstLine="480" w:firstLineChars="200"/>
              <w:rPr>
                <w:rFonts w:hint="eastAsia" w:ascii="宋体" w:hAnsi="宋体" w:cs="宋体"/>
                <w:sz w:val="24"/>
              </w:rPr>
            </w:pPr>
            <w:r>
              <w:rPr>
                <w:rFonts w:hint="eastAsia" w:ascii="宋体" w:hAnsi="宋体" w:cs="宋体"/>
                <w:sz w:val="24"/>
              </w:rPr>
              <w:t>投标文件的装订：</w:t>
            </w:r>
          </w:p>
          <w:p>
            <w:pPr>
              <w:pStyle w:val="7"/>
              <w:spacing w:after="0" w:line="560" w:lineRule="exact"/>
              <w:ind w:firstLine="480" w:firstLineChars="200"/>
              <w:rPr>
                <w:rFonts w:ascii="宋体" w:hAnsi="宋体"/>
                <w:kern w:val="2"/>
                <w:sz w:val="24"/>
              </w:rPr>
            </w:pPr>
            <w:r>
              <w:rPr>
                <w:rFonts w:hint="eastAsia" w:ascii="宋体" w:hAnsi="宋体" w:cs="宋体"/>
                <w:sz w:val="24"/>
              </w:rPr>
              <w:t>投标人必须将投标文件按照投标文件组成的顺序分别</w:t>
            </w:r>
            <w:r>
              <w:rPr>
                <w:rFonts w:hint="eastAsia" w:ascii="宋体" w:hAnsi="宋体" w:cs="宋体"/>
                <w:b/>
                <w:sz w:val="24"/>
                <w:u w:val="single"/>
              </w:rPr>
              <w:t>胶装</w:t>
            </w:r>
            <w:r>
              <w:rPr>
                <w:rFonts w:hint="eastAsia" w:ascii="宋体" w:hAnsi="宋体" w:cs="宋体"/>
                <w:sz w:val="24"/>
              </w:rPr>
              <w:t>成册，并在首页编制“投标文件目录”。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8958"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b/>
                <w:bCs/>
                <w:sz w:val="24"/>
                <w:szCs w:val="24"/>
              </w:rPr>
            </w:pPr>
            <w:r>
              <w:rPr>
                <w:rFonts w:hint="eastAsia" w:ascii="宋体" w:hAnsi="宋体" w:cs="宋体"/>
                <w:b/>
                <w:bCs/>
                <w:sz w:val="24"/>
              </w:rPr>
              <w:t>投标保证金及投标有效期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 w:val="24"/>
                <w:szCs w:val="24"/>
              </w:rPr>
            </w:pPr>
            <w:r>
              <w:rPr>
                <w:rFonts w:hint="eastAsia" w:ascii="宋体" w:hAnsi="宋体" w:cs="宋体"/>
                <w:sz w:val="24"/>
              </w:rPr>
              <w:t>11</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投标保证金的形式：</w:t>
            </w:r>
            <w:r>
              <w:rPr>
                <w:rFonts w:hint="eastAsia" w:ascii="宋体" w:hAnsi="宋体" w:eastAsia="宋体" w:cs="宋体"/>
                <w:kern w:val="2"/>
                <w:sz w:val="24"/>
                <w:szCs w:val="24"/>
                <w:lang w:val="en-US" w:eastAsia="zh-CN" w:bidi="ar-SA"/>
              </w:rPr>
              <w:t>银行转账</w:t>
            </w:r>
          </w:p>
          <w:p>
            <w:pPr>
              <w:numPr>
                <w:ilvl w:val="0"/>
                <w:numId w:val="0"/>
              </w:numPr>
              <w:spacing w:line="360" w:lineRule="auto"/>
              <w:ind w:firstLine="480" w:firstLineChars="200"/>
              <w:rPr>
                <w:rFonts w:hint="eastAsia" w:ascii="宋体" w:hAnsi="宋体" w:eastAsia="宋体" w:cs="宋体"/>
                <w:i/>
                <w:iCs/>
                <w:sz w:val="24"/>
                <w:szCs w:val="24"/>
                <w:highlight w:val="none"/>
              </w:rPr>
            </w:pPr>
            <w:r>
              <w:rPr>
                <w:rFonts w:hint="eastAsia" w:ascii="宋体" w:hAnsi="宋体" w:eastAsia="宋体" w:cs="宋体"/>
                <w:sz w:val="24"/>
                <w:szCs w:val="24"/>
              </w:rPr>
              <w:t>2、投标保证金的金额：</w:t>
            </w:r>
            <w:r>
              <w:rPr>
                <w:rFonts w:hint="eastAsia" w:ascii="宋体" w:hAnsi="宋体" w:eastAsia="宋体" w:cs="宋体"/>
                <w:b/>
                <w:sz w:val="24"/>
                <w:szCs w:val="24"/>
              </w:rPr>
              <w:t>人民币</w:t>
            </w:r>
            <w:r>
              <w:rPr>
                <w:rFonts w:hint="eastAsia" w:ascii="宋体" w:hAnsi="宋体" w:eastAsia="宋体" w:cs="宋体"/>
                <w:b/>
                <w:color w:val="FF0000"/>
                <w:sz w:val="24"/>
                <w:szCs w:val="24"/>
                <w:u w:val="single"/>
              </w:rPr>
              <w:t xml:space="preserve"> </w:t>
            </w:r>
            <w:r>
              <w:rPr>
                <w:rFonts w:hint="eastAsia" w:ascii="宋体" w:hAnsi="宋体" w:eastAsia="宋体" w:cs="宋体"/>
                <w:b/>
                <w:color w:val="FF0000"/>
                <w:sz w:val="24"/>
                <w:szCs w:val="24"/>
                <w:highlight w:val="none"/>
                <w:u w:val="single"/>
              </w:rPr>
              <w:t xml:space="preserve"> </w:t>
            </w:r>
            <w:r>
              <w:rPr>
                <w:rFonts w:hint="eastAsia" w:ascii="宋体" w:hAnsi="宋体" w:eastAsia="宋体" w:cs="宋体"/>
                <w:b/>
                <w:color w:val="FF0000"/>
                <w:sz w:val="24"/>
                <w:szCs w:val="24"/>
                <w:highlight w:val="none"/>
                <w:u w:val="single"/>
                <w:lang w:val="en-US" w:eastAsia="zh-CN"/>
              </w:rPr>
              <w:t>10</w:t>
            </w:r>
            <w:r>
              <w:rPr>
                <w:rFonts w:hint="eastAsia" w:ascii="宋体" w:hAnsi="宋体" w:eastAsia="宋体" w:cs="宋体"/>
                <w:b/>
                <w:color w:val="FF0000"/>
                <w:sz w:val="24"/>
                <w:szCs w:val="24"/>
                <w:highlight w:val="none"/>
                <w:u w:val="single"/>
              </w:rPr>
              <w:t xml:space="preserve">000  </w:t>
            </w:r>
            <w:r>
              <w:rPr>
                <w:rFonts w:hint="eastAsia" w:ascii="宋体" w:hAnsi="宋体" w:eastAsia="宋体" w:cs="宋体"/>
                <w:b/>
                <w:sz w:val="24"/>
                <w:szCs w:val="24"/>
                <w:highlight w:val="none"/>
              </w:rPr>
              <w:t>元</w:t>
            </w:r>
          </w:p>
          <w:p>
            <w:pPr>
              <w:pStyle w:val="42"/>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投标保证金需在</w:t>
            </w:r>
            <w:r>
              <w:rPr>
                <w:rFonts w:hint="eastAsia" w:ascii="宋体" w:hAnsi="宋体" w:eastAsia="宋体" w:cs="宋体"/>
                <w:kern w:val="2"/>
                <w:sz w:val="24"/>
                <w:szCs w:val="24"/>
                <w:u w:val="single"/>
                <w:lang w:val="en-US" w:eastAsia="zh-CN" w:bidi="ar-SA"/>
              </w:rPr>
              <w:t>2023年</w:t>
            </w:r>
            <w:r>
              <w:rPr>
                <w:rFonts w:hint="eastAsia" w:hAnsi="宋体" w:eastAsia="宋体" w:cs="宋体"/>
                <w:kern w:val="2"/>
                <w:sz w:val="24"/>
                <w:szCs w:val="24"/>
                <w:u w:val="single"/>
                <w:lang w:val="en-US" w:eastAsia="zh-CN" w:bidi="ar-SA"/>
              </w:rPr>
              <w:t>11</w:t>
            </w:r>
            <w:r>
              <w:rPr>
                <w:rFonts w:hint="eastAsia" w:ascii="宋体" w:hAnsi="宋体" w:eastAsia="宋体" w:cs="宋体"/>
                <w:kern w:val="2"/>
                <w:sz w:val="24"/>
                <w:szCs w:val="24"/>
                <w:u w:val="single"/>
                <w:lang w:val="en-US" w:eastAsia="zh-CN" w:bidi="ar-SA"/>
              </w:rPr>
              <w:t>月</w:t>
            </w:r>
            <w:r>
              <w:rPr>
                <w:rFonts w:hint="eastAsia" w:hAnsi="宋体" w:cs="宋体"/>
                <w:kern w:val="2"/>
                <w:sz w:val="24"/>
                <w:szCs w:val="24"/>
                <w:u w:val="single"/>
                <w:lang w:val="en-US" w:eastAsia="zh-CN" w:bidi="ar-SA"/>
              </w:rPr>
              <w:t>20</w:t>
            </w:r>
            <w:r>
              <w:rPr>
                <w:rFonts w:hint="eastAsia" w:ascii="宋体" w:hAnsi="宋体" w:eastAsia="宋体" w:cs="宋体"/>
                <w:kern w:val="2"/>
                <w:sz w:val="24"/>
                <w:szCs w:val="24"/>
                <w:u w:val="single"/>
                <w:lang w:val="en-US" w:eastAsia="zh-CN" w:bidi="ar-SA"/>
              </w:rPr>
              <w:t>日</w:t>
            </w:r>
            <w:r>
              <w:rPr>
                <w:rFonts w:hint="eastAsia" w:hAnsi="宋体" w:cs="宋体"/>
                <w:kern w:val="2"/>
                <w:sz w:val="24"/>
                <w:szCs w:val="24"/>
                <w:u w:val="single"/>
                <w:lang w:val="en-US" w:eastAsia="zh-CN" w:bidi="ar-SA"/>
              </w:rPr>
              <w:t>17</w:t>
            </w:r>
            <w:r>
              <w:rPr>
                <w:rFonts w:hint="eastAsia" w:ascii="宋体" w:hAnsi="宋体" w:eastAsia="宋体" w:cs="宋体"/>
                <w:kern w:val="2"/>
                <w:sz w:val="24"/>
                <w:szCs w:val="24"/>
                <w:u w:val="single"/>
                <w:lang w:val="en-US" w:eastAsia="zh-CN" w:bidi="ar-SA"/>
              </w:rPr>
              <w:t>点</w:t>
            </w:r>
            <w:r>
              <w:rPr>
                <w:rFonts w:hint="eastAsia" w:ascii="宋体" w:hAnsi="宋体" w:eastAsia="宋体" w:cs="宋体"/>
                <w:kern w:val="2"/>
                <w:sz w:val="24"/>
                <w:szCs w:val="24"/>
                <w:lang w:val="en-US" w:eastAsia="zh-CN" w:bidi="ar-SA"/>
              </w:rPr>
              <w:t>前以银行转账形式交公司财务部，并备注</w:t>
            </w:r>
            <w:r>
              <w:rPr>
                <w:rFonts w:hint="eastAsia" w:ascii="宋体" w:hAnsi="宋体" w:eastAsia="宋体" w:cs="宋体"/>
                <w:kern w:val="2"/>
                <w:sz w:val="24"/>
                <w:szCs w:val="24"/>
                <w:u w:val="single"/>
                <w:lang w:val="en-US" w:eastAsia="zh-CN" w:bidi="ar-SA"/>
              </w:rPr>
              <w:t>中国重汽集团泰安五岳专用汽车有限公司网络安全边界防护项目</w:t>
            </w:r>
            <w:r>
              <w:rPr>
                <w:rFonts w:hint="eastAsia" w:ascii="宋体" w:hAnsi="宋体" w:eastAsia="宋体" w:cs="宋体"/>
                <w:kern w:val="2"/>
                <w:sz w:val="24"/>
                <w:szCs w:val="24"/>
                <w:lang w:val="en-US" w:eastAsia="zh-CN" w:bidi="ar-SA"/>
              </w:rPr>
              <w:t>，逾期缴纳的投标方将无法参与招投标。</w:t>
            </w:r>
          </w:p>
          <w:p>
            <w:pPr>
              <w:spacing w:line="360" w:lineRule="auto"/>
              <w:ind w:firstLine="482" w:firstLineChars="200"/>
              <w:rPr>
                <w:rFonts w:hint="eastAsia" w:ascii="宋体" w:hAnsi="宋体" w:eastAsia="宋体" w:cs="宋体"/>
                <w:b/>
                <w:color w:val="FF0000"/>
                <w:kern w:val="2"/>
                <w:sz w:val="24"/>
                <w:szCs w:val="24"/>
                <w:u w:val="none"/>
                <w:lang w:val="en-US" w:eastAsia="zh-CN" w:bidi="ar-SA"/>
              </w:rPr>
            </w:pPr>
            <w:r>
              <w:rPr>
                <w:rFonts w:hint="eastAsia" w:ascii="宋体" w:hAnsi="宋体" w:eastAsia="宋体" w:cs="宋体"/>
                <w:b/>
                <w:color w:val="FF0000"/>
                <w:kern w:val="2"/>
                <w:sz w:val="24"/>
                <w:szCs w:val="24"/>
                <w:u w:val="none"/>
                <w:lang w:val="en-US" w:eastAsia="zh-CN" w:bidi="ar-SA"/>
              </w:rPr>
              <w:t>公司名称：中国重汽集团泰安五岳专用汽车有限公司</w:t>
            </w:r>
          </w:p>
          <w:p>
            <w:pPr>
              <w:spacing w:line="360" w:lineRule="auto"/>
              <w:ind w:firstLine="482" w:firstLineChars="200"/>
              <w:rPr>
                <w:rFonts w:hint="eastAsia" w:ascii="宋体" w:hAnsi="宋体" w:eastAsia="宋体" w:cs="宋体"/>
                <w:b/>
                <w:color w:val="FF0000"/>
                <w:kern w:val="2"/>
                <w:sz w:val="24"/>
                <w:szCs w:val="24"/>
                <w:u w:val="none"/>
                <w:lang w:val="en-US" w:eastAsia="zh-CN" w:bidi="ar-SA"/>
              </w:rPr>
            </w:pPr>
            <w:r>
              <w:rPr>
                <w:rFonts w:hint="eastAsia" w:ascii="宋体" w:hAnsi="宋体" w:eastAsia="宋体" w:cs="宋体"/>
                <w:b/>
                <w:color w:val="FF0000"/>
                <w:kern w:val="2"/>
                <w:sz w:val="24"/>
                <w:szCs w:val="24"/>
                <w:u w:val="none"/>
                <w:lang w:val="en-US" w:eastAsia="zh-CN" w:bidi="ar-SA"/>
              </w:rPr>
              <w:t>开户行：交通银行泰安分行</w:t>
            </w:r>
          </w:p>
          <w:p>
            <w:pPr>
              <w:spacing w:line="360" w:lineRule="auto"/>
              <w:ind w:firstLine="482" w:firstLineChars="200"/>
              <w:rPr>
                <w:rFonts w:hint="eastAsia" w:ascii="宋体" w:hAnsi="宋体" w:eastAsia="宋体" w:cs="宋体"/>
                <w:b/>
                <w:color w:val="FF0000"/>
                <w:kern w:val="2"/>
                <w:sz w:val="24"/>
                <w:szCs w:val="24"/>
                <w:u w:val="none"/>
                <w:lang w:val="en-US" w:eastAsia="zh-CN" w:bidi="ar-SA"/>
              </w:rPr>
            </w:pPr>
            <w:r>
              <w:rPr>
                <w:rFonts w:hint="eastAsia" w:ascii="宋体" w:hAnsi="宋体" w:eastAsia="宋体" w:cs="宋体"/>
                <w:b/>
                <w:color w:val="FF0000"/>
                <w:kern w:val="2"/>
                <w:sz w:val="24"/>
                <w:szCs w:val="24"/>
                <w:u w:val="none"/>
                <w:lang w:val="en-US" w:eastAsia="zh-CN" w:bidi="ar-SA"/>
              </w:rPr>
              <w:t>账号：379006111018000061904</w:t>
            </w:r>
          </w:p>
          <w:p>
            <w:pPr>
              <w:spacing w:line="360" w:lineRule="auto"/>
              <w:ind w:firstLine="482" w:firstLineChars="200"/>
              <w:rPr>
                <w:rFonts w:hint="eastAsia" w:ascii="宋体" w:hAnsi="宋体" w:eastAsia="宋体" w:cs="宋体"/>
                <w:color w:val="FF0000"/>
                <w:sz w:val="24"/>
                <w:szCs w:val="24"/>
              </w:rPr>
            </w:pPr>
            <w:r>
              <w:rPr>
                <w:rFonts w:hint="eastAsia" w:ascii="宋体" w:hAnsi="宋体" w:eastAsia="宋体" w:cs="宋体"/>
                <w:b/>
                <w:color w:val="FF0000"/>
                <w:kern w:val="2"/>
                <w:sz w:val="24"/>
                <w:szCs w:val="24"/>
                <w:u w:val="none"/>
                <w:lang w:val="en-US" w:eastAsia="zh-CN" w:bidi="ar-SA"/>
              </w:rPr>
              <w:t>行号：301463000018</w:t>
            </w:r>
          </w:p>
          <w:p>
            <w:pPr>
              <w:spacing w:line="360" w:lineRule="auto"/>
              <w:ind w:firstLine="482" w:firstLineChars="200"/>
              <w:rPr>
                <w:rFonts w:hint="eastAsia" w:ascii="宋体" w:hAnsi="宋体"/>
                <w:b/>
                <w:bCs/>
                <w:sz w:val="24"/>
                <w:szCs w:val="24"/>
              </w:rPr>
            </w:pPr>
            <w:r>
              <w:rPr>
                <w:rFonts w:hint="eastAsia" w:ascii="宋体" w:hAnsi="宋体" w:eastAsia="宋体" w:cs="宋体"/>
                <w:b/>
                <w:sz w:val="24"/>
                <w:szCs w:val="24"/>
              </w:rPr>
              <w:t>注：无正当理由随意放弃投标、撤销投标文件、中标后无正当理由拒签合同、在签订合同时向招标方提出无理附加条件的，投标保证金不予返还，并取消该投标人的中标资格，该投标人2年内不得参与招标方类似产品的招投标项目。不存在以上违规情况的投标人，招标方最迟在确定中标方后1个付款周期内无息退还投标保证金本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9"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sz w:val="24"/>
                <w:szCs w:val="24"/>
              </w:rPr>
            </w:pPr>
            <w:r>
              <w:rPr>
                <w:rFonts w:hint="eastAsia" w:ascii="宋体" w:hAnsi="宋体" w:cs="宋体"/>
                <w:sz w:val="24"/>
              </w:rPr>
              <w:t>12</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480" w:firstLineChars="200"/>
              <w:rPr>
                <w:rFonts w:ascii="宋体" w:hAnsi="宋体"/>
                <w:sz w:val="24"/>
                <w:szCs w:val="24"/>
              </w:rPr>
            </w:pPr>
            <w:r>
              <w:rPr>
                <w:rFonts w:hint="eastAsia" w:ascii="宋体" w:hAnsi="宋体" w:cs="宋体"/>
                <w:sz w:val="24"/>
              </w:rPr>
              <w:t>投标有效期：自开标之日起</w:t>
            </w:r>
            <w:r>
              <w:rPr>
                <w:rFonts w:hint="eastAsia" w:ascii="宋体" w:hAnsi="宋体" w:cs="宋体"/>
                <w:sz w:val="24"/>
                <w:u w:val="single"/>
              </w:rPr>
              <w:t>90</w:t>
            </w:r>
            <w:r>
              <w:rPr>
                <w:rFonts w:hint="eastAsia" w:ascii="宋体" w:hAnsi="宋体" w:cs="宋体"/>
                <w:sz w:val="24"/>
              </w:rPr>
              <w:t>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9" w:hRule="atLeast"/>
          <w:jc w:val="center"/>
        </w:trPr>
        <w:tc>
          <w:tcPr>
            <w:tcW w:w="8958"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b/>
                <w:bCs/>
                <w:sz w:val="24"/>
                <w:szCs w:val="24"/>
              </w:rPr>
            </w:pPr>
            <w:r>
              <w:rPr>
                <w:rFonts w:hint="eastAsia" w:ascii="宋体" w:hAnsi="宋体" w:cs="宋体"/>
                <w:b/>
                <w:bCs/>
                <w:sz w:val="24"/>
              </w:rPr>
              <w:t>投标文件的递交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61" w:hRule="atLeast"/>
          <w:jc w:val="center"/>
        </w:trPr>
        <w:tc>
          <w:tcPr>
            <w:tcW w:w="653" w:type="dxa"/>
            <w:vMerge w:val="restart"/>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sz w:val="24"/>
                <w:szCs w:val="24"/>
              </w:rPr>
            </w:pPr>
            <w:r>
              <w:rPr>
                <w:rFonts w:hint="eastAsia" w:ascii="宋体" w:hAnsi="宋体" w:cs="宋体"/>
                <w:sz w:val="24"/>
              </w:rPr>
              <w:t>13</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投标文件递交时间：</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3</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11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22</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rPr>
              <w:t>上午</w:t>
            </w:r>
            <w:r>
              <w:rPr>
                <w:rFonts w:hint="eastAsia" w:ascii="宋体" w:hAnsi="宋体" w:eastAsia="宋体" w:cs="宋体"/>
                <w:sz w:val="24"/>
                <w:szCs w:val="24"/>
                <w:highlight w:val="none"/>
              </w:rPr>
              <w:t xml:space="preserve">9:00（北京时间）；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投标文件递交截止时间：</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11</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22</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rPr>
              <w:t>上午</w:t>
            </w:r>
            <w:r>
              <w:rPr>
                <w:rFonts w:hint="eastAsia" w:ascii="宋体" w:hAnsi="宋体" w:eastAsia="宋体" w:cs="宋体"/>
                <w:sz w:val="24"/>
                <w:szCs w:val="24"/>
                <w:highlight w:val="none"/>
              </w:rPr>
              <w:t>9:00。</w:t>
            </w:r>
          </w:p>
          <w:p>
            <w:pPr>
              <w:spacing w:line="360" w:lineRule="auto"/>
              <w:ind w:firstLine="480" w:firstLineChars="200"/>
            </w:pPr>
            <w:r>
              <w:rPr>
                <w:rFonts w:hint="eastAsia" w:ascii="宋体" w:hAnsi="宋体" w:eastAsia="宋体" w:cs="宋体"/>
                <w:sz w:val="24"/>
                <w:szCs w:val="24"/>
              </w:rPr>
              <w:t>逾期送达的或者未送达指定地点的投标文件，招标人不予受理。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43" w:hRule="atLeast"/>
          <w:jc w:val="center"/>
        </w:trPr>
        <w:tc>
          <w:tcPr>
            <w:tcW w:w="653"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jc w:val="center"/>
              <w:rPr>
                <w:rFonts w:ascii="宋体" w:hAnsi="宋体"/>
                <w:sz w:val="24"/>
                <w:szCs w:val="24"/>
              </w:rPr>
            </w:pPr>
          </w:p>
        </w:tc>
        <w:tc>
          <w:tcPr>
            <w:tcW w:w="8305" w:type="dxa"/>
            <w:tcBorders>
              <w:top w:val="single" w:color="auto" w:sz="2" w:space="0"/>
              <w:left w:val="single" w:color="auto" w:sz="2" w:space="0"/>
              <w:bottom w:val="single" w:color="auto" w:sz="2" w:space="0"/>
              <w:right w:val="single" w:color="auto" w:sz="2" w:space="0"/>
            </w:tcBorders>
            <w:noWrap w:val="0"/>
            <w:vAlign w:val="center"/>
          </w:tcPr>
          <w:p>
            <w:pPr>
              <w:widowControl/>
              <w:ind w:firstLine="480" w:firstLineChars="200"/>
              <w:jc w:val="left"/>
              <w:rPr>
                <w:rFonts w:ascii="宋体" w:hAnsi="宋体"/>
                <w:sz w:val="24"/>
                <w:szCs w:val="24"/>
              </w:rPr>
            </w:pPr>
            <w:r>
              <w:rPr>
                <w:rFonts w:hint="eastAsia" w:ascii="宋体" w:hAnsi="宋体" w:eastAsia="宋体" w:cs="宋体"/>
                <w:sz w:val="24"/>
                <w:szCs w:val="24"/>
              </w:rPr>
              <w:t xml:space="preserve">投标文件递交地点： </w:t>
            </w:r>
            <w:r>
              <w:rPr>
                <w:rFonts w:hint="eastAsia" w:ascii="宋体" w:hAnsi="宋体" w:eastAsia="宋体" w:cs="宋体"/>
                <w:kern w:val="0"/>
                <w:sz w:val="24"/>
                <w:szCs w:val="24"/>
              </w:rPr>
              <w:t>中国重汽集团泰安五岳专用汽车有限公司301会议室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6" w:hRule="atLeast"/>
          <w:jc w:val="center"/>
        </w:trPr>
        <w:tc>
          <w:tcPr>
            <w:tcW w:w="8958"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b/>
                <w:bCs/>
                <w:sz w:val="24"/>
                <w:szCs w:val="24"/>
              </w:rPr>
            </w:pPr>
            <w:r>
              <w:rPr>
                <w:rFonts w:hint="eastAsia" w:ascii="宋体" w:hAnsi="宋体" w:cs="宋体"/>
                <w:b/>
                <w:bCs/>
                <w:sz w:val="24"/>
              </w:rPr>
              <w:t>开标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13"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sz w:val="24"/>
                <w:szCs w:val="24"/>
              </w:rPr>
            </w:pPr>
            <w:r>
              <w:rPr>
                <w:rFonts w:hint="eastAsia" w:ascii="宋体" w:hAnsi="宋体" w:cs="宋体"/>
                <w:sz w:val="24"/>
              </w:rPr>
              <w:t>14</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开标时间：</w:t>
            </w:r>
            <w:r>
              <w:rPr>
                <w:rFonts w:hint="eastAsia" w:ascii="宋体" w:hAnsi="宋体" w:eastAsia="宋体" w:cs="宋体"/>
                <w:kern w:val="0"/>
                <w:sz w:val="24"/>
                <w:szCs w:val="24"/>
              </w:rPr>
              <w:t>同投标文件递交截止时间。</w:t>
            </w:r>
          </w:p>
          <w:p>
            <w:pPr>
              <w:spacing w:line="360" w:lineRule="auto"/>
              <w:ind w:firstLine="480" w:firstLineChars="200"/>
              <w:rPr>
                <w:rFonts w:ascii="宋体" w:hAnsi="宋体"/>
                <w:sz w:val="24"/>
                <w:szCs w:val="24"/>
              </w:rPr>
            </w:pPr>
            <w:r>
              <w:rPr>
                <w:rFonts w:hint="eastAsia" w:ascii="宋体" w:hAnsi="宋体" w:eastAsia="宋体" w:cs="宋体"/>
                <w:sz w:val="24"/>
                <w:szCs w:val="24"/>
              </w:rPr>
              <w:t>开标地点：同投标文件递交地点。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93"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sz w:val="24"/>
                <w:szCs w:val="24"/>
              </w:rPr>
            </w:pPr>
            <w:r>
              <w:rPr>
                <w:rFonts w:hint="eastAsia" w:ascii="宋体" w:hAnsi="宋体" w:cs="宋体"/>
                <w:sz w:val="24"/>
              </w:rPr>
              <w:t>15</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482" w:firstLineChars="200"/>
              <w:rPr>
                <w:rFonts w:ascii="宋体" w:hAnsi="宋体" w:cs="宋体"/>
                <w:b/>
                <w:sz w:val="24"/>
                <w:szCs w:val="24"/>
              </w:rPr>
            </w:pPr>
            <w:r>
              <w:rPr>
                <w:rFonts w:hint="eastAsia" w:ascii="宋体" w:hAnsi="宋体" w:cs="宋体"/>
                <w:b/>
                <w:sz w:val="24"/>
              </w:rPr>
              <w:t>开标资格审查资料详见第2章2.3.3条资格证明文件。</w:t>
            </w:r>
          </w:p>
          <w:p>
            <w:pPr>
              <w:spacing w:line="360" w:lineRule="auto"/>
              <w:ind w:firstLine="482" w:firstLineChars="200"/>
            </w:pPr>
            <w:r>
              <w:rPr>
                <w:rFonts w:hint="eastAsia" w:ascii="宋体" w:hAnsi="宋体" w:cs="宋体"/>
                <w:b/>
                <w:bCs/>
                <w:sz w:val="24"/>
              </w:rPr>
              <w:t>注：投标方资质文件不全的，招标人有权视情况要求补齐或者退出。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0" w:hRule="atLeast"/>
          <w:jc w:val="center"/>
        </w:trPr>
        <w:tc>
          <w:tcPr>
            <w:tcW w:w="8958"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 w:val="24"/>
                <w:szCs w:val="24"/>
              </w:rPr>
            </w:pPr>
            <w:r>
              <w:rPr>
                <w:rFonts w:hint="eastAsia" w:ascii="宋体" w:hAnsi="宋体" w:cs="宋体"/>
                <w:b/>
                <w:bCs/>
                <w:sz w:val="24"/>
              </w:rPr>
              <w:t>评标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sz w:val="24"/>
                <w:szCs w:val="24"/>
              </w:rPr>
            </w:pPr>
            <w:r>
              <w:rPr>
                <w:rFonts w:hint="eastAsia" w:ascii="宋体" w:hAnsi="宋体" w:cs="宋体"/>
                <w:sz w:val="24"/>
              </w:rPr>
              <w:t>16</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457" w:firstLineChars="218"/>
              <w:rPr>
                <w:rFonts w:hint="eastAsia"/>
              </w:rPr>
            </w:pPr>
          </w:p>
          <w:p>
            <w:pPr>
              <w:spacing w:line="360" w:lineRule="auto"/>
              <w:ind w:firstLine="523" w:firstLineChars="218"/>
              <w:rPr>
                <w:rFonts w:hint="eastAsia"/>
                <w:sz w:val="24"/>
                <w:szCs w:val="24"/>
              </w:rPr>
            </w:pPr>
            <w:r>
              <w:rPr>
                <w:rFonts w:hint="eastAsia"/>
                <w:sz w:val="24"/>
                <w:szCs w:val="24"/>
              </w:rPr>
              <w:t>评标委员会组成：招标人将根据本项目的特点组建评标委员会，其成员由有关技术、经济方面专家和招标人代表等三人或以上单数组成，其中经济、技术等方面的专家不得少于成员总数的三分之二。</w:t>
            </w:r>
          </w:p>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sz w:val="24"/>
                <w:szCs w:val="24"/>
              </w:rPr>
            </w:pPr>
            <w:r>
              <w:rPr>
                <w:rFonts w:hint="eastAsia" w:ascii="宋体" w:hAnsi="宋体" w:cs="宋体"/>
                <w:sz w:val="24"/>
              </w:rPr>
              <w:t>17</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pStyle w:val="28"/>
              <w:spacing w:line="240" w:lineRule="auto"/>
              <w:ind w:firstLine="480"/>
              <w:rPr>
                <w:rFonts w:hint="eastAsia" w:ascii="宋体" w:hAnsi="宋体" w:cs="宋体"/>
                <w:kern w:val="2"/>
                <w:sz w:val="24"/>
              </w:rPr>
            </w:pPr>
            <w:r>
              <w:rPr>
                <w:rFonts w:hint="eastAsia" w:ascii="宋体" w:hAnsi="宋体" w:cs="宋体"/>
                <w:sz w:val="24"/>
              </w:rPr>
              <w:t>评标方法：</w:t>
            </w:r>
            <w:r>
              <w:rPr>
                <w:rFonts w:hint="eastAsia" w:ascii="宋体" w:hAnsi="宋体"/>
                <w:sz w:val="24"/>
              </w:rPr>
              <w:t>具体详见第3章。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8958"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 w:val="24"/>
                <w:szCs w:val="24"/>
              </w:rPr>
            </w:pPr>
            <w:r>
              <w:rPr>
                <w:rFonts w:hint="eastAsia" w:ascii="宋体" w:hAnsi="宋体" w:cs="宋体"/>
                <w:b/>
                <w:bCs/>
                <w:sz w:val="24"/>
              </w:rPr>
              <w:t>授  予  合  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sz w:val="24"/>
                <w:szCs w:val="24"/>
              </w:rPr>
            </w:pPr>
            <w:r>
              <w:rPr>
                <w:rFonts w:hint="eastAsia" w:ascii="宋体" w:hAnsi="宋体" w:cs="宋体"/>
                <w:sz w:val="24"/>
              </w:rPr>
              <w:t>18</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480"/>
              <w:rPr>
                <w:rFonts w:ascii="宋体" w:hAnsi="宋体"/>
                <w:sz w:val="24"/>
                <w:szCs w:val="24"/>
              </w:rPr>
            </w:pPr>
            <w:r>
              <w:rPr>
                <w:rFonts w:hint="eastAsia" w:ascii="宋体" w:hAnsi="宋体" w:cs="宋体"/>
                <w:sz w:val="24"/>
              </w:rPr>
              <w:t>在向投标人授予中标通知书时，招标人有权变更数量和服务的内容。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8958"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 w:val="24"/>
                <w:szCs w:val="24"/>
              </w:rPr>
            </w:pPr>
            <w:r>
              <w:rPr>
                <w:rFonts w:hint="eastAsia" w:ascii="宋体" w:hAnsi="宋体" w:cs="宋体"/>
                <w:b/>
                <w:bCs/>
                <w:sz w:val="24"/>
              </w:rPr>
              <w:t>相关费用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 w:val="24"/>
                <w:szCs w:val="24"/>
              </w:rPr>
            </w:pPr>
            <w:r>
              <w:rPr>
                <w:rFonts w:hint="eastAsia" w:ascii="宋体" w:hAnsi="宋体" w:cs="宋体"/>
                <w:sz w:val="24"/>
              </w:rPr>
              <w:t>19</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pStyle w:val="28"/>
              <w:ind w:firstLine="480"/>
              <w:rPr>
                <w:rFonts w:hint="eastAsia" w:ascii="宋体" w:hAnsi="宋体"/>
                <w:sz w:val="24"/>
                <w:szCs w:val="24"/>
              </w:rPr>
            </w:pPr>
            <w:r>
              <w:rPr>
                <w:rFonts w:hint="eastAsia" w:ascii="宋体" w:hAnsi="宋体"/>
                <w:sz w:val="24"/>
              </w:rPr>
              <w:t>中标服务费无。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8958"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b/>
                <w:bCs/>
                <w:sz w:val="24"/>
                <w:szCs w:val="24"/>
              </w:rPr>
            </w:pPr>
            <w:r>
              <w:rPr>
                <w:rFonts w:hint="eastAsia" w:ascii="宋体" w:hAnsi="宋体" w:cs="宋体"/>
                <w:b/>
                <w:bCs/>
                <w:sz w:val="24"/>
              </w:rPr>
              <w:t>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sz w:val="24"/>
                <w:szCs w:val="24"/>
              </w:rPr>
            </w:pPr>
            <w:r>
              <w:rPr>
                <w:rFonts w:hint="eastAsia" w:ascii="宋体" w:hAnsi="宋体" w:cs="宋体"/>
                <w:sz w:val="24"/>
              </w:rPr>
              <w:t>20</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tabs>
                <w:tab w:val="left" w:pos="3032"/>
              </w:tabs>
              <w:spacing w:line="360" w:lineRule="auto"/>
              <w:ind w:left="239" w:leftChars="114" w:firstLine="361" w:firstLineChars="150"/>
              <w:rPr>
                <w:rFonts w:hint="eastAsia" w:ascii="宋体" w:hAnsi="宋体" w:cs="宋体"/>
                <w:b/>
                <w:sz w:val="24"/>
              </w:rPr>
            </w:pPr>
            <w:r>
              <w:rPr>
                <w:rFonts w:hint="eastAsia" w:ascii="宋体" w:hAnsi="宋体" w:cs="宋体"/>
                <w:b/>
                <w:sz w:val="24"/>
              </w:rPr>
              <w:t>交货期：自合同签定生效之日起，</w:t>
            </w:r>
            <w:r>
              <w:rPr>
                <w:rFonts w:hint="eastAsia" w:ascii="宋体" w:hAnsi="宋体" w:cs="宋体"/>
                <w:b/>
                <w:sz w:val="24"/>
                <w:lang w:val="en-US" w:eastAsia="zh-CN"/>
              </w:rPr>
              <w:t>2</w:t>
            </w:r>
            <w:r>
              <w:rPr>
                <w:rFonts w:hint="eastAsia" w:ascii="宋体" w:hAnsi="宋体" w:cs="宋体"/>
                <w:b/>
                <w:sz w:val="24"/>
              </w:rPr>
              <w:t>0个日历日之内交货至供货地点。</w:t>
            </w:r>
          </w:p>
          <w:p>
            <w:pPr>
              <w:tabs>
                <w:tab w:val="left" w:pos="3032"/>
              </w:tabs>
              <w:spacing w:line="360" w:lineRule="auto"/>
              <w:ind w:left="239" w:leftChars="114" w:firstLine="361" w:firstLineChars="150"/>
              <w:rPr>
                <w:rFonts w:hint="eastAsia" w:ascii="宋体" w:hAnsi="宋体" w:cs="宋体"/>
                <w:b/>
                <w:sz w:val="24"/>
              </w:rPr>
            </w:pPr>
            <w:r>
              <w:rPr>
                <w:rFonts w:hint="eastAsia" w:ascii="宋体" w:hAnsi="宋体" w:cs="宋体"/>
                <w:b/>
                <w:sz w:val="24"/>
              </w:rPr>
              <w:t>接续</w:t>
            </w:r>
            <w:r>
              <w:rPr>
                <w:rFonts w:hint="eastAsia" w:ascii="宋体" w:hAnsi="宋体" w:cs="宋体"/>
                <w:b/>
                <w:sz w:val="24"/>
                <w:lang w:val="en-US" w:eastAsia="zh-CN"/>
              </w:rPr>
              <w:t>7</w:t>
            </w:r>
            <w:r>
              <w:rPr>
                <w:rFonts w:hint="eastAsia" w:ascii="宋体" w:hAnsi="宋体" w:cs="宋体"/>
                <w:b/>
                <w:sz w:val="24"/>
              </w:rPr>
              <w:t>个日历日之内安装调试完毕。</w:t>
            </w:r>
          </w:p>
          <w:p>
            <w:pPr>
              <w:tabs>
                <w:tab w:val="left" w:pos="3032"/>
              </w:tabs>
              <w:spacing w:line="360" w:lineRule="auto"/>
              <w:ind w:left="239" w:leftChars="114" w:firstLine="360" w:firstLineChars="150"/>
              <w:rPr>
                <w:rFonts w:ascii="宋体" w:hAnsi="宋体" w:cs="宋体"/>
                <w:sz w:val="24"/>
              </w:rPr>
            </w:pPr>
            <w:r>
              <w:rPr>
                <w:rFonts w:hint="eastAsia" w:ascii="宋体" w:hAnsi="宋体"/>
                <w:bCs/>
                <w:sz w:val="24"/>
              </w:rPr>
              <w:t>（投标人可在不偏离技术和商务条款的前提下竞报）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53"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sz w:val="24"/>
                <w:szCs w:val="24"/>
              </w:rPr>
            </w:pPr>
            <w:r>
              <w:rPr>
                <w:rFonts w:hint="eastAsia" w:ascii="宋体" w:hAnsi="宋体" w:cs="宋体"/>
                <w:sz w:val="24"/>
              </w:rPr>
              <w:t>21</w:t>
            </w:r>
          </w:p>
        </w:tc>
        <w:tc>
          <w:tcPr>
            <w:tcW w:w="8305" w:type="dxa"/>
            <w:tcBorders>
              <w:top w:val="single" w:color="auto" w:sz="2" w:space="0"/>
              <w:left w:val="single" w:color="auto" w:sz="2" w:space="0"/>
              <w:bottom w:val="single" w:color="auto" w:sz="2" w:space="0"/>
              <w:right w:val="single" w:color="auto" w:sz="2" w:space="0"/>
            </w:tcBorders>
            <w:noWrap w:val="0"/>
            <w:vAlign w:val="center"/>
          </w:tcPr>
          <w:p>
            <w:pPr>
              <w:pStyle w:val="28"/>
              <w:ind w:firstLine="480"/>
            </w:pPr>
            <w:r>
              <w:rPr>
                <w:rFonts w:ascii="宋体" w:hAnsi="宋体" w:cs="宋体"/>
                <w:b/>
                <w:sz w:val="24"/>
                <w:szCs w:val="24"/>
              </w:rPr>
              <w:t>质保期：自设备验收文件最终签署之日起3年。</w:t>
            </w:r>
            <w:r>
              <w:rPr>
                <w:rFonts w:ascii="宋体" w:hAnsi="宋体" w:cs="宋体"/>
                <w:sz w:val="24"/>
                <w:szCs w:val="24"/>
              </w:rPr>
              <w:t>（投标人可在满足上述最短质保期基础上竞报）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53" w:type="dxa"/>
            <w:tcBorders>
              <w:top w:val="single" w:color="auto" w:sz="2" w:space="0"/>
              <w:left w:val="single" w:color="auto" w:sz="2" w:space="0"/>
              <w:bottom w:val="single" w:color="auto" w:sz="2" w:space="0"/>
              <w:right w:val="single" w:color="auto" w:sz="4" w:space="0"/>
            </w:tcBorders>
            <w:noWrap w:val="0"/>
            <w:vAlign w:val="center"/>
          </w:tcPr>
          <w:p>
            <w:pPr>
              <w:jc w:val="center"/>
              <w:rPr>
                <w:rFonts w:hint="eastAsia" w:ascii="宋体" w:hAnsi="宋体"/>
                <w:sz w:val="24"/>
                <w:szCs w:val="24"/>
              </w:rPr>
            </w:pPr>
            <w:r>
              <w:rPr>
                <w:rFonts w:hint="eastAsia" w:ascii="宋体" w:hAnsi="宋体" w:cs="宋体"/>
                <w:sz w:val="24"/>
              </w:rPr>
              <w:t>22</w:t>
            </w:r>
          </w:p>
        </w:tc>
        <w:tc>
          <w:tcPr>
            <w:tcW w:w="8305" w:type="dxa"/>
            <w:tcBorders>
              <w:top w:val="single" w:color="auto" w:sz="2" w:space="0"/>
              <w:left w:val="single" w:color="auto" w:sz="4" w:space="0"/>
              <w:bottom w:val="single" w:color="auto" w:sz="2" w:space="0"/>
              <w:right w:val="single" w:color="auto" w:sz="2" w:space="0"/>
            </w:tcBorders>
            <w:noWrap w:val="0"/>
            <w:vAlign w:val="center"/>
          </w:tcPr>
          <w:p>
            <w:pPr>
              <w:pStyle w:val="28"/>
              <w:ind w:firstLine="480"/>
              <w:rPr>
                <w:rFonts w:hint="eastAsia" w:ascii="宋体" w:hAnsi="宋体" w:cs="宋体"/>
                <w:sz w:val="24"/>
                <w:szCs w:val="24"/>
              </w:rPr>
            </w:pPr>
            <w:r>
              <w:rPr>
                <w:rFonts w:hint="eastAsia" w:ascii="宋体" w:hAnsi="宋体" w:cs="宋体"/>
                <w:sz w:val="24"/>
                <w:szCs w:val="24"/>
              </w:rPr>
              <w:t xml:space="preserve">1、合同价款的结算方式：电汇 </w:t>
            </w:r>
          </w:p>
          <w:p>
            <w:pPr>
              <w:pStyle w:val="28"/>
              <w:ind w:firstLine="480"/>
              <w:rPr>
                <w:rFonts w:ascii="宋体" w:hAnsi="宋体" w:cs="宋体"/>
                <w:sz w:val="24"/>
                <w:szCs w:val="24"/>
              </w:rPr>
            </w:pPr>
            <w:r>
              <w:rPr>
                <w:rFonts w:hint="eastAsia" w:ascii="宋体" w:hAnsi="宋体" w:cs="宋体"/>
                <w:sz w:val="24"/>
                <w:szCs w:val="24"/>
              </w:rPr>
              <w:t>2、合同价款的支付：9</w:t>
            </w:r>
            <w:r>
              <w:rPr>
                <w:rFonts w:hint="eastAsia" w:ascii="宋体" w:hAnsi="宋体" w:cs="宋体"/>
                <w:b/>
                <w:bCs/>
                <w:sz w:val="24"/>
                <w:szCs w:val="24"/>
              </w:rPr>
              <w:t>:1</w:t>
            </w:r>
          </w:p>
          <w:p>
            <w:pPr>
              <w:spacing w:line="360" w:lineRule="auto"/>
              <w:ind w:firstLine="480" w:firstLineChars="200"/>
              <w:jc w:val="left"/>
              <w:rPr>
                <w:rFonts w:hint="eastAsia" w:ascii="宋体" w:hAnsi="宋体"/>
                <w:sz w:val="24"/>
              </w:rPr>
            </w:pPr>
            <w:r>
              <w:rPr>
                <w:rFonts w:hint="eastAsia" w:ascii="宋体" w:hAnsi="宋体"/>
                <w:sz w:val="24"/>
              </w:rPr>
              <w:t>（1）</w:t>
            </w:r>
            <w:r>
              <w:rPr>
                <w:rFonts w:ascii="宋体" w:hAnsi="宋体" w:cs="宋体"/>
                <w:sz w:val="24"/>
              </w:rPr>
              <w:t>项目整体验收完毕后</w:t>
            </w:r>
            <w:r>
              <w:rPr>
                <w:rFonts w:hint="eastAsia" w:ascii="宋体" w:hAnsi="宋体"/>
                <w:sz w:val="24"/>
              </w:rPr>
              <w:t>, 卖方提交合同总价款100 %增值税专用发票（税率为【13】%），</w:t>
            </w:r>
            <w:r>
              <w:rPr>
                <w:rFonts w:ascii="宋体" w:hAnsi="宋体" w:cs="宋体"/>
                <w:sz w:val="24"/>
              </w:rPr>
              <w:t>经招标方依照财务制度审核无误后</w:t>
            </w:r>
            <w:r>
              <w:rPr>
                <w:rFonts w:hint="eastAsia" w:ascii="宋体" w:hAnsi="宋体" w:cs="宋体"/>
                <w:sz w:val="24"/>
                <w:lang w:val="en-US" w:eastAsia="zh-CN"/>
              </w:rPr>
              <w:t>次月</w:t>
            </w:r>
            <w:r>
              <w:rPr>
                <w:rFonts w:ascii="宋体" w:hAnsi="宋体" w:cs="宋体"/>
                <w:sz w:val="24"/>
              </w:rPr>
              <w:t>支付</w:t>
            </w:r>
            <w:r>
              <w:rPr>
                <w:rFonts w:hint="eastAsia" w:ascii="宋体" w:hAnsi="宋体"/>
                <w:sz w:val="24"/>
              </w:rPr>
              <w:t>合同总价款的</w:t>
            </w:r>
            <w:r>
              <w:rPr>
                <w:rFonts w:ascii="宋体" w:hAnsi="宋体"/>
                <w:sz w:val="24"/>
              </w:rPr>
              <w:t>9</w:t>
            </w:r>
            <w:r>
              <w:rPr>
                <w:rFonts w:hint="eastAsia" w:ascii="宋体" w:hAnsi="宋体"/>
                <w:sz w:val="24"/>
              </w:rPr>
              <w:t>0 %。</w:t>
            </w:r>
          </w:p>
          <w:p>
            <w:pPr>
              <w:spacing w:line="360" w:lineRule="auto"/>
              <w:ind w:firstLine="480" w:firstLineChars="200"/>
              <w:jc w:val="left"/>
              <w:rPr>
                <w:rFonts w:ascii="宋体" w:hAnsi="宋体"/>
                <w:bCs/>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cs="宋体"/>
                <w:sz w:val="24"/>
              </w:rPr>
              <w:t>合同总价款的10%作为本项目约定的保证金，保证金在一年内不计利息。待项目整体验收满1年后，经买方审核无误后</w:t>
            </w:r>
            <w:r>
              <w:rPr>
                <w:rFonts w:hint="eastAsia" w:ascii="宋体" w:hAnsi="宋体" w:cs="宋体"/>
                <w:sz w:val="24"/>
                <w:lang w:val="en-US" w:eastAsia="zh-CN"/>
              </w:rPr>
              <w:t>次月</w:t>
            </w:r>
            <w:r>
              <w:rPr>
                <w:rFonts w:ascii="宋体" w:hAnsi="宋体" w:cs="宋体"/>
                <w:sz w:val="24"/>
              </w:rPr>
              <w:t>支付。</w:t>
            </w:r>
            <w:r>
              <w:rPr>
                <w:rFonts w:hint="eastAsia" w:ascii="宋体" w:hAnsi="宋体"/>
                <w:sz w:val="24"/>
              </w:rPr>
              <w:t>如有质量问题，质量保证金予以相应扣除。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04" w:hRule="atLeast"/>
          <w:jc w:val="center"/>
        </w:trPr>
        <w:tc>
          <w:tcPr>
            <w:tcW w:w="653" w:type="dxa"/>
            <w:tcBorders>
              <w:top w:val="single" w:color="auto" w:sz="2" w:space="0"/>
              <w:left w:val="single" w:color="auto" w:sz="2" w:space="0"/>
              <w:bottom w:val="single" w:color="auto" w:sz="2" w:space="0"/>
              <w:right w:val="single" w:color="auto" w:sz="4" w:space="0"/>
            </w:tcBorders>
            <w:noWrap w:val="0"/>
            <w:vAlign w:val="center"/>
          </w:tcPr>
          <w:p>
            <w:pPr>
              <w:jc w:val="center"/>
              <w:rPr>
                <w:rFonts w:hint="eastAsia" w:ascii="宋体" w:hAnsi="宋体"/>
                <w:sz w:val="24"/>
                <w:szCs w:val="24"/>
              </w:rPr>
            </w:pPr>
            <w:r>
              <w:rPr>
                <w:rFonts w:hint="eastAsia" w:ascii="宋体" w:hAnsi="宋体" w:cs="宋体"/>
                <w:sz w:val="24"/>
              </w:rPr>
              <w:t>23</w:t>
            </w:r>
          </w:p>
        </w:tc>
        <w:tc>
          <w:tcPr>
            <w:tcW w:w="8305" w:type="dxa"/>
            <w:tcBorders>
              <w:top w:val="single" w:color="auto" w:sz="2" w:space="0"/>
              <w:left w:val="single" w:color="auto" w:sz="4" w:space="0"/>
              <w:bottom w:val="single" w:color="auto" w:sz="2" w:space="0"/>
              <w:right w:val="single" w:color="auto" w:sz="2" w:space="0"/>
            </w:tcBorders>
            <w:noWrap w:val="0"/>
            <w:vAlign w:val="center"/>
          </w:tcPr>
          <w:p>
            <w:pPr>
              <w:spacing w:before="144" w:beforeLines="60" w:line="460" w:lineRule="exact"/>
              <w:ind w:firstLine="480" w:firstLineChars="200"/>
              <w:jc w:val="left"/>
              <w:rPr>
                <w:rFonts w:hint="eastAsia" w:ascii="宋体" w:hAnsi="宋体" w:cs="宋体"/>
                <w:sz w:val="24"/>
                <w:szCs w:val="24"/>
              </w:rPr>
            </w:pPr>
            <w:r>
              <w:rPr>
                <w:rFonts w:hint="eastAsia" w:ascii="宋体" w:hAnsi="宋体"/>
                <w:bCs/>
                <w:sz w:val="24"/>
              </w:rPr>
              <w:t>1、</w:t>
            </w:r>
            <w:r>
              <w:rPr>
                <w:rFonts w:hint="eastAsia" w:ascii="宋体" w:hAnsi="宋体"/>
                <w:sz w:val="24"/>
              </w:rPr>
              <w:t>投标报价总价包括：</w:t>
            </w:r>
            <w:r>
              <w:rPr>
                <w:rFonts w:hint="eastAsia" w:ascii="宋体" w:hAnsi="宋体" w:cs="宋体"/>
                <w:sz w:val="24"/>
                <w:szCs w:val="24"/>
              </w:rPr>
              <w:t>设备费、原厂服务费及相关配件、随机资料、保险、税费、运杂、安装调试、与其他专业配合及可预见的风险以及其它不可预见等全部费用。所有投标均以人民币报价,</w:t>
            </w:r>
            <w:r>
              <w:rPr>
                <w:rFonts w:ascii="宋体" w:hAnsi="宋体" w:cs="宋体"/>
                <w:b/>
                <w:sz w:val="24"/>
              </w:rPr>
              <w:t xml:space="preserve"> 报价包含：税率、不含税金额、价税合计金额</w:t>
            </w:r>
            <w:r>
              <w:rPr>
                <w:rFonts w:hint="eastAsia" w:ascii="宋体" w:hAnsi="宋体" w:cs="宋体"/>
                <w:sz w:val="24"/>
                <w:szCs w:val="24"/>
              </w:rPr>
              <w:t>。</w:t>
            </w:r>
          </w:p>
          <w:p>
            <w:pPr>
              <w:spacing w:line="360" w:lineRule="auto"/>
              <w:ind w:firstLine="480" w:firstLineChars="200"/>
              <w:jc w:val="left"/>
              <w:rPr>
                <w:rFonts w:ascii="宋体" w:hAnsi="宋体"/>
                <w:kern w:val="0"/>
                <w:sz w:val="24"/>
                <w:szCs w:val="24"/>
              </w:rPr>
            </w:pPr>
            <w:r>
              <w:rPr>
                <w:rFonts w:hint="eastAsia" w:ascii="宋体" w:hAnsi="宋体"/>
                <w:sz w:val="24"/>
              </w:rPr>
              <w:t>2、招标文件中以及技术要求中与本附表不一致的，以本附表约定要求为准。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04" w:hRule="atLeast"/>
          <w:jc w:val="center"/>
        </w:trPr>
        <w:tc>
          <w:tcPr>
            <w:tcW w:w="653" w:type="dxa"/>
            <w:tcBorders>
              <w:top w:val="single" w:color="auto" w:sz="2" w:space="0"/>
              <w:left w:val="single" w:color="auto" w:sz="2" w:space="0"/>
              <w:bottom w:val="single" w:color="auto" w:sz="2"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24</w:t>
            </w:r>
          </w:p>
        </w:tc>
        <w:tc>
          <w:tcPr>
            <w:tcW w:w="8305" w:type="dxa"/>
            <w:tcBorders>
              <w:top w:val="single" w:color="auto" w:sz="2" w:space="0"/>
              <w:left w:val="single" w:color="auto" w:sz="4" w:space="0"/>
              <w:bottom w:val="single" w:color="auto" w:sz="2" w:space="0"/>
              <w:right w:val="single" w:color="auto" w:sz="2" w:space="0"/>
            </w:tcBorders>
            <w:noWrap w:val="0"/>
            <w:vAlign w:val="center"/>
          </w:tcPr>
          <w:p>
            <w:pPr>
              <w:spacing w:line="360" w:lineRule="auto"/>
              <w:ind w:firstLine="480" w:firstLineChars="200"/>
              <w:jc w:val="left"/>
              <w:rPr>
                <w:rFonts w:hint="eastAsia" w:ascii="宋体" w:hAnsi="宋体"/>
                <w:sz w:val="24"/>
              </w:rPr>
            </w:pPr>
            <w:r>
              <w:rPr>
                <w:rFonts w:hint="eastAsia" w:ascii="宋体" w:hAnsi="宋体"/>
                <w:sz w:val="24"/>
              </w:rPr>
              <w:t>投标人出席开标会议的人员应熟知方案，以便在评标过程中进行答疑和澄清。</w:t>
            </w:r>
          </w:p>
        </w:tc>
      </w:tr>
    </w:tbl>
    <w:p>
      <w:pPr>
        <w:pStyle w:val="14"/>
        <w:tabs>
          <w:tab w:val="left" w:pos="1146"/>
        </w:tabs>
        <w:spacing w:line="560" w:lineRule="exact"/>
        <w:ind w:left="0" w:leftChars="0" w:firstLine="0" w:firstLineChars="0"/>
        <w:rPr>
          <w:rFonts w:hint="eastAsia" w:ascii="宋体" w:hAnsi="宋体" w:cs="宋体"/>
          <w:b/>
          <w:bCs/>
          <w:sz w:val="30"/>
          <w:szCs w:val="30"/>
        </w:rPr>
      </w:pPr>
    </w:p>
    <w:bookmarkEnd w:id="62"/>
    <w:p>
      <w:pPr>
        <w:pStyle w:val="292"/>
        <w:numPr>
          <w:ilvl w:val="0"/>
          <w:numId w:val="1"/>
        </w:numPr>
        <w:tabs>
          <w:tab w:val="right" w:leader="dot" w:pos="9061"/>
        </w:tabs>
        <w:spacing w:line="360" w:lineRule="auto"/>
        <w:ind w:firstLineChars="0"/>
        <w:jc w:val="center"/>
        <w:outlineLvl w:val="0"/>
        <w:rPr>
          <w:rFonts w:hint="eastAsia"/>
          <w:b/>
          <w:iCs/>
          <w:vanish/>
          <w:sz w:val="36"/>
          <w:szCs w:val="20"/>
        </w:rPr>
      </w:pPr>
      <w:bookmarkStart w:id="63" w:name="_Toc129697446"/>
      <w:bookmarkEnd w:id="63"/>
      <w:bookmarkStart w:id="64" w:name="_Toc129693890"/>
      <w:bookmarkEnd w:id="64"/>
    </w:p>
    <w:p>
      <w:pPr>
        <w:pStyle w:val="292"/>
        <w:keepNext/>
        <w:keepLines/>
        <w:numPr>
          <w:ilvl w:val="1"/>
          <w:numId w:val="1"/>
        </w:numPr>
        <w:spacing w:before="120" w:beforeLines="50" w:line="360" w:lineRule="auto"/>
        <w:ind w:left="0" w:firstLine="482"/>
        <w:jc w:val="left"/>
        <w:outlineLvl w:val="1"/>
        <w:rPr>
          <w:rFonts w:hint="eastAsia"/>
          <w:b/>
          <w:vanish/>
          <w:kern w:val="0"/>
          <w:sz w:val="24"/>
          <w:szCs w:val="32"/>
        </w:rPr>
      </w:pPr>
      <w:bookmarkStart w:id="65" w:name="_Toc129693375"/>
      <w:bookmarkEnd w:id="65"/>
      <w:bookmarkStart w:id="66" w:name="_Toc129693891"/>
      <w:bookmarkEnd w:id="66"/>
      <w:bookmarkStart w:id="67" w:name="_Toc129692727"/>
      <w:bookmarkEnd w:id="67"/>
      <w:bookmarkStart w:id="68" w:name="_Toc129697447"/>
      <w:bookmarkEnd w:id="68"/>
      <w:bookmarkStart w:id="69" w:name="_Toc129695607"/>
      <w:bookmarkEnd w:id="69"/>
      <w:bookmarkStart w:id="70" w:name="_Toc129692644"/>
      <w:bookmarkEnd w:id="70"/>
      <w:bookmarkStart w:id="71" w:name="_Toc129692790"/>
      <w:bookmarkEnd w:id="71"/>
    </w:p>
    <w:p>
      <w:pPr>
        <w:pStyle w:val="4"/>
        <w:spacing w:before="120"/>
        <w:ind w:firstLine="381" w:firstLineChars="158"/>
      </w:pPr>
      <w:bookmarkStart w:id="72" w:name="_Toc12177"/>
      <w:bookmarkStart w:id="73" w:name="_Toc24443"/>
      <w:bookmarkStart w:id="74" w:name="_Toc25441"/>
      <w:r>
        <w:rPr>
          <w:rFonts w:hint="eastAsia"/>
        </w:rPr>
        <w:t>招标文件</w:t>
      </w:r>
      <w:bookmarkEnd w:id="72"/>
      <w:bookmarkEnd w:id="73"/>
      <w:bookmarkEnd w:id="74"/>
    </w:p>
    <w:p>
      <w:pPr>
        <w:spacing w:line="360" w:lineRule="auto"/>
        <w:ind w:firstLine="379" w:firstLineChars="158"/>
        <w:rPr>
          <w:sz w:val="24"/>
          <w:szCs w:val="24"/>
        </w:rPr>
      </w:pPr>
      <w:bookmarkStart w:id="75" w:name="_Toc346372882"/>
      <w:bookmarkStart w:id="76" w:name="_Toc352332856"/>
      <w:bookmarkStart w:id="77" w:name="_Toc129697454"/>
      <w:bookmarkStart w:id="78" w:name="_Toc346306735"/>
      <w:r>
        <w:rPr>
          <w:rFonts w:hint="eastAsia"/>
          <w:sz w:val="24"/>
          <w:szCs w:val="24"/>
        </w:rPr>
        <w:t>2.2.1招标文件组成</w:t>
      </w:r>
      <w:bookmarkEnd w:id="75"/>
      <w:bookmarkEnd w:id="76"/>
      <w:bookmarkEnd w:id="77"/>
      <w:bookmarkEnd w:id="78"/>
    </w:p>
    <w:p>
      <w:pPr>
        <w:spacing w:line="360" w:lineRule="auto"/>
        <w:ind w:firstLine="379" w:firstLineChars="158"/>
        <w:rPr>
          <w:sz w:val="24"/>
          <w:szCs w:val="24"/>
        </w:rPr>
      </w:pPr>
      <w:r>
        <w:rPr>
          <w:rFonts w:hint="eastAsia"/>
          <w:sz w:val="24"/>
          <w:szCs w:val="24"/>
        </w:rPr>
        <w:t>招标文件由招标文件目录所列内容及按本招标文件要求发出的澄清、答疑和修改组成。</w:t>
      </w:r>
    </w:p>
    <w:p>
      <w:pPr>
        <w:spacing w:line="360" w:lineRule="auto"/>
        <w:ind w:firstLine="379" w:firstLineChars="158"/>
        <w:rPr>
          <w:sz w:val="24"/>
          <w:szCs w:val="24"/>
        </w:rPr>
      </w:pPr>
      <w:bookmarkStart w:id="79" w:name="_Toc346306736"/>
      <w:bookmarkStart w:id="80" w:name="_Toc352332857"/>
      <w:bookmarkStart w:id="81" w:name="_Toc129697455"/>
      <w:bookmarkStart w:id="82" w:name="_Toc346372883"/>
      <w:r>
        <w:rPr>
          <w:rFonts w:hint="eastAsia"/>
          <w:sz w:val="24"/>
          <w:szCs w:val="24"/>
        </w:rPr>
        <w:t>2.2.2招标文件答疑</w:t>
      </w:r>
      <w:bookmarkEnd w:id="79"/>
      <w:bookmarkEnd w:id="80"/>
      <w:bookmarkEnd w:id="81"/>
      <w:bookmarkEnd w:id="82"/>
    </w:p>
    <w:p>
      <w:pPr>
        <w:spacing w:line="360" w:lineRule="auto"/>
        <w:ind w:firstLine="379" w:firstLineChars="158"/>
        <w:rPr>
          <w:sz w:val="24"/>
          <w:szCs w:val="24"/>
        </w:rPr>
      </w:pPr>
      <w:r>
        <w:rPr>
          <w:rFonts w:hint="eastAsia"/>
          <w:sz w:val="24"/>
          <w:szCs w:val="24"/>
        </w:rPr>
        <w:t>投标人对招标文件如有疑问，应于前附表第6项所述时间以前以书面形式通知到招标人。在前附表第7项所述时间之前，招标人将视情况以书面形式予以答复，如有必要可将答复内容包括原提出的问题（但不表明问题的来源），分发给所有取得同一招标文件的投标人。投标人须在收到招标人的书面答复后24小时内书面签章回复。</w:t>
      </w:r>
    </w:p>
    <w:p>
      <w:pPr>
        <w:spacing w:line="360" w:lineRule="auto"/>
        <w:ind w:firstLine="379" w:firstLineChars="158"/>
        <w:rPr>
          <w:sz w:val="24"/>
          <w:szCs w:val="24"/>
        </w:rPr>
      </w:pPr>
      <w:bookmarkStart w:id="83" w:name="_Toc346372884"/>
      <w:bookmarkStart w:id="84" w:name="_Toc352332858"/>
      <w:bookmarkStart w:id="85" w:name="_Toc346306737"/>
      <w:bookmarkStart w:id="86" w:name="_Toc129697456"/>
      <w:r>
        <w:rPr>
          <w:rFonts w:hint="eastAsia"/>
          <w:sz w:val="24"/>
          <w:szCs w:val="24"/>
        </w:rPr>
        <w:t>2.2.3招标文件澄清和修改</w:t>
      </w:r>
      <w:bookmarkEnd w:id="83"/>
      <w:bookmarkEnd w:id="84"/>
      <w:bookmarkEnd w:id="85"/>
      <w:bookmarkEnd w:id="86"/>
    </w:p>
    <w:p>
      <w:pPr>
        <w:spacing w:line="360" w:lineRule="auto"/>
        <w:ind w:firstLine="379" w:firstLineChars="158"/>
        <w:rPr>
          <w:sz w:val="24"/>
          <w:szCs w:val="24"/>
        </w:rPr>
      </w:pPr>
      <w:bookmarkStart w:id="87" w:name="_Toc129697457"/>
      <w:r>
        <w:rPr>
          <w:rFonts w:hint="eastAsia"/>
          <w:sz w:val="24"/>
          <w:szCs w:val="24"/>
        </w:rPr>
        <w:t>招标人对招标文件有澄清或修改的内容，将以书面补充文件形式通知已报名的所有投标人。补充文件作为招标文件的组成部分，对所有投标人具有约束力。</w:t>
      </w:r>
      <w:bookmarkEnd w:id="87"/>
    </w:p>
    <w:p>
      <w:pPr>
        <w:spacing w:line="360" w:lineRule="auto"/>
        <w:ind w:firstLine="379" w:firstLineChars="158"/>
        <w:rPr>
          <w:sz w:val="24"/>
          <w:szCs w:val="24"/>
        </w:rPr>
      </w:pPr>
      <w:bookmarkStart w:id="88" w:name="_Toc129697458"/>
      <w:r>
        <w:rPr>
          <w:rFonts w:hint="eastAsia"/>
          <w:sz w:val="24"/>
          <w:szCs w:val="24"/>
        </w:rPr>
        <w:t>2.2.4为使投标人有足够的时间按招标文件的要求修改投标文件，招标人可酌情推迟招标的截止时间与开标时间，并将此变更书面通知各投标人。</w:t>
      </w:r>
      <w:bookmarkEnd w:id="88"/>
    </w:p>
    <w:p>
      <w:pPr>
        <w:spacing w:line="360" w:lineRule="auto"/>
        <w:ind w:firstLine="379" w:firstLineChars="158"/>
        <w:rPr>
          <w:sz w:val="24"/>
          <w:szCs w:val="24"/>
        </w:rPr>
      </w:pPr>
      <w:bookmarkStart w:id="89" w:name="_Toc129697459"/>
      <w:r>
        <w:rPr>
          <w:rFonts w:hint="eastAsia"/>
          <w:sz w:val="24"/>
          <w:szCs w:val="24"/>
        </w:rPr>
        <w:t>2.2.5投标人须在收到招标人的澄清、修改或变更后</w:t>
      </w:r>
      <w:r>
        <w:rPr>
          <w:sz w:val="24"/>
          <w:szCs w:val="24"/>
        </w:rPr>
        <w:t>24</w:t>
      </w:r>
      <w:r>
        <w:rPr>
          <w:rFonts w:hint="eastAsia"/>
          <w:sz w:val="24"/>
          <w:szCs w:val="24"/>
        </w:rPr>
        <w:t>小时内书面签章回复。</w:t>
      </w:r>
      <w:bookmarkEnd w:id="89"/>
    </w:p>
    <w:p>
      <w:pPr>
        <w:pStyle w:val="4"/>
        <w:spacing w:before="120"/>
        <w:ind w:firstLine="482"/>
      </w:pPr>
      <w:bookmarkStart w:id="90" w:name="_Toc23389"/>
      <w:bookmarkStart w:id="91" w:name="_Toc18139"/>
      <w:bookmarkStart w:id="92" w:name="_Toc23607"/>
      <w:r>
        <w:rPr>
          <w:rFonts w:hint="eastAsia"/>
        </w:rPr>
        <w:t>投标文件编写</w:t>
      </w:r>
      <w:bookmarkEnd w:id="90"/>
      <w:bookmarkEnd w:id="91"/>
      <w:bookmarkEnd w:id="92"/>
    </w:p>
    <w:p>
      <w:pPr>
        <w:pStyle w:val="6"/>
        <w:numPr>
          <w:ilvl w:val="0"/>
          <w:numId w:val="0"/>
        </w:numPr>
        <w:ind w:firstLine="480" w:firstLineChars="200"/>
        <w:rPr>
          <w:rFonts w:hint="eastAsia"/>
        </w:rPr>
      </w:pPr>
      <w:bookmarkStart w:id="93" w:name="_Toc21083"/>
      <w:bookmarkStart w:id="94" w:name="_Toc92678113"/>
      <w:bookmarkStart w:id="95" w:name="_Toc212369512"/>
      <w:r>
        <w:rPr>
          <w:rFonts w:hint="eastAsia"/>
        </w:rPr>
        <w:t>2.3.1投标报价语言及计量单位</w:t>
      </w:r>
      <w:bookmarkEnd w:id="93"/>
      <w:bookmarkEnd w:id="94"/>
      <w:bookmarkEnd w:id="95"/>
    </w:p>
    <w:p>
      <w:pPr>
        <w:tabs>
          <w:tab w:val="left" w:pos="6313"/>
        </w:tabs>
        <w:spacing w:line="360" w:lineRule="auto"/>
        <w:ind w:firstLine="480" w:firstLineChars="200"/>
        <w:rPr>
          <w:rFonts w:hint="eastAsia" w:ascii="宋体" w:hAnsi="宋体"/>
          <w:sz w:val="24"/>
        </w:rPr>
      </w:pPr>
      <w:r>
        <w:rPr>
          <w:rFonts w:ascii="宋体" w:hAnsi="宋体"/>
          <w:sz w:val="24"/>
        </w:rPr>
        <w:t>投标文件和与投标有关的所有文件均应使用</w:t>
      </w:r>
      <w:r>
        <w:rPr>
          <w:rFonts w:hint="eastAsia" w:ascii="宋体" w:hAnsi="宋体"/>
          <w:sz w:val="24"/>
        </w:rPr>
        <w:t>中文。除投标文件的技术规格中另有规定外，投标文件中所使用的计量单位应为中华人民共和国法定计量单位。</w:t>
      </w:r>
    </w:p>
    <w:p>
      <w:pPr>
        <w:pStyle w:val="6"/>
        <w:numPr>
          <w:ilvl w:val="0"/>
          <w:numId w:val="0"/>
        </w:numPr>
        <w:ind w:firstLine="480" w:firstLineChars="200"/>
        <w:rPr>
          <w:rFonts w:hint="eastAsia"/>
        </w:rPr>
      </w:pPr>
      <w:bookmarkStart w:id="96" w:name="_Toc8956"/>
      <w:bookmarkStart w:id="97" w:name="_Toc212369513"/>
      <w:bookmarkStart w:id="98" w:name="_Toc92678114"/>
      <w:r>
        <w:rPr>
          <w:rFonts w:hint="eastAsia"/>
        </w:rPr>
        <w:t>2.3.2投标文件组成</w:t>
      </w:r>
      <w:bookmarkEnd w:id="96"/>
      <w:bookmarkEnd w:id="97"/>
      <w:bookmarkEnd w:id="98"/>
    </w:p>
    <w:p>
      <w:pPr>
        <w:spacing w:line="360" w:lineRule="auto"/>
        <w:ind w:firstLine="482" w:firstLineChars="200"/>
        <w:rPr>
          <w:rFonts w:hint="eastAsia" w:ascii="宋体" w:hAnsi="宋体" w:cs="宋体"/>
          <w:b/>
          <w:bCs/>
          <w:sz w:val="24"/>
        </w:rPr>
      </w:pPr>
      <w:r>
        <w:rPr>
          <w:rFonts w:hint="eastAsia" w:ascii="宋体" w:hAnsi="宋体" w:cs="宋体"/>
          <w:b/>
          <w:bCs/>
          <w:sz w:val="24"/>
        </w:rPr>
        <w:t>投标人的投标文件由资格证明文件、技术标、商务标和开标一览表共四部分构成，技术标、商务标、开标一览表和资质文件请分开单独密封，如因密封问题造成的废标等后果均由投标方承担：</w:t>
      </w:r>
    </w:p>
    <w:p>
      <w:pPr>
        <w:pStyle w:val="6"/>
        <w:numPr>
          <w:ilvl w:val="0"/>
          <w:numId w:val="0"/>
        </w:numPr>
        <w:ind w:firstLine="480" w:firstLineChars="200"/>
        <w:rPr>
          <w:rFonts w:hint="eastAsia"/>
        </w:rPr>
      </w:pPr>
      <w:bookmarkStart w:id="99" w:name="_Toc22779"/>
      <w:bookmarkStart w:id="100" w:name="_Toc212369516"/>
      <w:r>
        <w:rPr>
          <w:rFonts w:hint="eastAsia"/>
        </w:rPr>
        <w:t>2.3.3资格证明文件包括：</w:t>
      </w:r>
      <w:bookmarkEnd w:id="99"/>
      <w:bookmarkEnd w:id="100"/>
    </w:p>
    <w:p>
      <w:pPr>
        <w:spacing w:line="360" w:lineRule="auto"/>
        <w:ind w:firstLine="480" w:firstLineChars="200"/>
        <w:rPr>
          <w:rFonts w:hint="eastAsia" w:ascii="宋体" w:hAnsi="宋体"/>
          <w:sz w:val="24"/>
        </w:rPr>
      </w:pPr>
      <w:bookmarkStart w:id="101" w:name="_Toc212369515"/>
      <w:r>
        <w:rPr>
          <w:rFonts w:hint="eastAsia" w:ascii="宋体" w:hAnsi="宋体"/>
          <w:sz w:val="24"/>
        </w:rPr>
        <w:t>（1）营业执照副本</w:t>
      </w:r>
      <w:r>
        <w:rPr>
          <w:rFonts w:hint="eastAsia" w:ascii="宋体" w:hAnsi="宋体" w:cs="宋体"/>
          <w:b/>
          <w:sz w:val="24"/>
        </w:rPr>
        <w:t>（加盖公章）</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（2）法定代表人身份证明书及法定代表人身份证复印件</w:t>
      </w:r>
      <w:r>
        <w:rPr>
          <w:rFonts w:hint="eastAsia" w:ascii="宋体" w:hAnsi="宋体" w:cs="宋体"/>
          <w:b/>
          <w:sz w:val="24"/>
        </w:rPr>
        <w:t>（加盖公章）</w:t>
      </w:r>
      <w:r>
        <w:rPr>
          <w:rFonts w:hint="eastAsia" w:ascii="宋体" w:hAnsi="宋体"/>
          <w:sz w:val="24"/>
        </w:rPr>
        <w:t>；</w:t>
      </w:r>
    </w:p>
    <w:p>
      <w:pPr>
        <w:tabs>
          <w:tab w:val="left" w:pos="6313"/>
        </w:tabs>
        <w:spacing w:line="360" w:lineRule="auto"/>
        <w:ind w:firstLine="480" w:firstLineChars="200"/>
        <w:rPr>
          <w:rFonts w:hint="eastAsia" w:ascii="宋体" w:hAnsi="宋体"/>
          <w:sz w:val="24"/>
        </w:rPr>
      </w:pPr>
      <w:r>
        <w:rPr>
          <w:rFonts w:hint="eastAsia" w:ascii="宋体" w:hAnsi="宋体"/>
          <w:sz w:val="24"/>
        </w:rPr>
        <w:t>（3）法定代表人授权委托书及被授权人身份证复印件</w:t>
      </w:r>
      <w:r>
        <w:rPr>
          <w:rFonts w:hint="eastAsia" w:ascii="宋体" w:hAnsi="宋体" w:cs="宋体"/>
          <w:b/>
          <w:sz w:val="24"/>
        </w:rPr>
        <w:t>（加盖公章）</w:t>
      </w:r>
      <w:r>
        <w:rPr>
          <w:rFonts w:hint="eastAsia" w:ascii="宋体" w:hAnsi="宋体"/>
          <w:sz w:val="24"/>
        </w:rPr>
        <w:t>；</w:t>
      </w:r>
    </w:p>
    <w:p>
      <w:pPr>
        <w:tabs>
          <w:tab w:val="left" w:pos="6313"/>
        </w:tabs>
        <w:spacing w:line="360" w:lineRule="auto"/>
        <w:ind w:firstLine="480" w:firstLineChars="200"/>
        <w:rPr>
          <w:rFonts w:hint="eastAsia" w:ascii="宋体" w:hAnsi="宋体"/>
          <w:sz w:val="24"/>
        </w:rPr>
      </w:pPr>
      <w:r>
        <w:rPr>
          <w:rFonts w:hint="eastAsia" w:ascii="宋体" w:hAnsi="宋体"/>
          <w:sz w:val="24"/>
        </w:rPr>
        <w:t>（4）信用中国出具的信用报告（加盖公章）；</w:t>
      </w:r>
    </w:p>
    <w:p>
      <w:pPr>
        <w:tabs>
          <w:tab w:val="left" w:pos="6313"/>
        </w:tabs>
        <w:spacing w:line="360" w:lineRule="auto"/>
        <w:ind w:firstLine="480" w:firstLineChars="200"/>
        <w:rPr>
          <w:rFonts w:hint="eastAsia" w:ascii="宋体" w:hAnsi="宋体"/>
          <w:sz w:val="24"/>
        </w:rPr>
      </w:pPr>
      <w:r>
        <w:rPr>
          <w:rFonts w:hint="eastAsia" w:ascii="宋体" w:hAnsi="宋体"/>
          <w:sz w:val="24"/>
        </w:rPr>
        <w:t>（5）投标保证金回执截图</w:t>
      </w:r>
      <w:r>
        <w:rPr>
          <w:rFonts w:hint="eastAsia" w:ascii="宋体" w:hAnsi="宋体" w:cs="宋体"/>
          <w:b/>
          <w:sz w:val="24"/>
        </w:rPr>
        <w:t>（加盖公章）</w:t>
      </w:r>
      <w:r>
        <w:rPr>
          <w:rFonts w:hint="eastAsia" w:ascii="宋体" w:hAnsi="宋体"/>
          <w:sz w:val="24"/>
        </w:rPr>
        <w:t>；</w:t>
      </w:r>
    </w:p>
    <w:p>
      <w:pPr>
        <w:tabs>
          <w:tab w:val="left" w:pos="6313"/>
        </w:tabs>
        <w:spacing w:line="360" w:lineRule="auto"/>
        <w:ind w:firstLine="480" w:firstLineChars="200"/>
        <w:rPr>
          <w:rFonts w:hint="eastAsia" w:ascii="宋体" w:hAnsi="宋体"/>
          <w:sz w:val="24"/>
        </w:rPr>
      </w:pPr>
      <w:r>
        <w:rPr>
          <w:rFonts w:hint="eastAsia" w:ascii="宋体" w:hAnsi="宋体"/>
          <w:sz w:val="24"/>
        </w:rPr>
        <w:t>（6）投标人自2020年1月1日起具有类似成功业绩（</w:t>
      </w:r>
      <w:r>
        <w:rPr>
          <w:rFonts w:hint="eastAsia" w:ascii="宋体" w:hAnsi="宋体" w:cs="宋体"/>
          <w:sz w:val="24"/>
          <w:szCs w:val="24"/>
          <w:lang w:eastAsia="zh-CN"/>
        </w:rPr>
        <w:t>网络安全边界防护项目</w:t>
      </w:r>
      <w:r>
        <w:rPr>
          <w:rFonts w:hint="eastAsia" w:ascii="宋体" w:hAnsi="宋体"/>
          <w:sz w:val="24"/>
        </w:rPr>
        <w:t>）的合同原件或打印件。</w:t>
      </w:r>
    </w:p>
    <w:p>
      <w:pPr>
        <w:spacing w:line="360" w:lineRule="auto"/>
        <w:ind w:firstLine="480" w:firstLineChars="200"/>
        <w:rPr>
          <w:rFonts w:hint="eastAsia" w:ascii="宋体" w:hAnsi="宋体"/>
          <w:bCs/>
          <w:sz w:val="24"/>
        </w:rPr>
      </w:pPr>
      <w:r>
        <w:rPr>
          <w:rFonts w:hint="eastAsia" w:ascii="宋体" w:hAnsi="宋体"/>
          <w:bCs/>
          <w:sz w:val="24"/>
        </w:rPr>
        <w:t>（7）招标文件要求的其它必要资格文件。</w:t>
      </w:r>
    </w:p>
    <w:p>
      <w:pPr>
        <w:pStyle w:val="6"/>
        <w:numPr>
          <w:ilvl w:val="0"/>
          <w:numId w:val="0"/>
        </w:numPr>
        <w:ind w:firstLine="480" w:firstLineChars="200"/>
        <w:rPr>
          <w:rFonts w:hint="eastAsia"/>
        </w:rPr>
      </w:pPr>
      <w:bookmarkStart w:id="102" w:name="_Toc9548"/>
      <w:r>
        <w:rPr>
          <w:rFonts w:hint="eastAsia"/>
        </w:rPr>
        <w:t>2.3.4技术部分：</w:t>
      </w:r>
      <w:bookmarkEnd w:id="101"/>
      <w:bookmarkEnd w:id="102"/>
    </w:p>
    <w:p>
      <w:pPr>
        <w:spacing w:line="360" w:lineRule="auto"/>
        <w:ind w:firstLine="480" w:firstLineChars="200"/>
        <w:rPr>
          <w:rFonts w:hint="eastAsia" w:ascii="宋体" w:hAnsi="宋体"/>
          <w:sz w:val="24"/>
        </w:rPr>
      </w:pPr>
      <w:r>
        <w:rPr>
          <w:rFonts w:hint="eastAsia" w:ascii="宋体" w:hAnsi="宋体"/>
          <w:sz w:val="24"/>
        </w:rPr>
        <w:t>为提高评标效率，请投标人按照技术部分所列的资料清单内容及顺序编制技术部分投标文件，如投标人未按照以下内容及顺序编制招标文件技术部分，可能会影响技术部分得分，请各投标单位务必注意。</w:t>
      </w:r>
    </w:p>
    <w:p>
      <w:pPr>
        <w:numPr>
          <w:ilvl w:val="0"/>
          <w:numId w:val="10"/>
        </w:numPr>
        <w:spacing w:line="360" w:lineRule="auto"/>
        <w:ind w:firstLine="578" w:firstLineChars="241"/>
        <w:rPr>
          <w:rFonts w:hint="eastAsia" w:ascii="宋体" w:hAnsi="宋体"/>
          <w:sz w:val="24"/>
        </w:rPr>
      </w:pPr>
      <w:r>
        <w:rPr>
          <w:rFonts w:hint="eastAsia" w:ascii="宋体" w:hAnsi="宋体"/>
          <w:sz w:val="24"/>
        </w:rPr>
        <w:t>项目实施方案；</w:t>
      </w:r>
    </w:p>
    <w:p>
      <w:pPr>
        <w:numPr>
          <w:ilvl w:val="0"/>
          <w:numId w:val="10"/>
        </w:numPr>
        <w:spacing w:line="360" w:lineRule="auto"/>
        <w:ind w:firstLine="578" w:firstLineChars="241"/>
        <w:rPr>
          <w:rFonts w:hint="eastAsia" w:ascii="宋体" w:hAnsi="宋体"/>
          <w:sz w:val="24"/>
        </w:rPr>
      </w:pPr>
      <w:r>
        <w:rPr>
          <w:rFonts w:hint="eastAsia" w:ascii="宋体" w:hAnsi="宋体"/>
          <w:sz w:val="24"/>
        </w:rPr>
        <w:t>技术参数应答；</w:t>
      </w:r>
    </w:p>
    <w:p>
      <w:pPr>
        <w:numPr>
          <w:ilvl w:val="0"/>
          <w:numId w:val="10"/>
        </w:numPr>
        <w:spacing w:line="360" w:lineRule="auto"/>
        <w:ind w:firstLine="578" w:firstLineChars="241"/>
        <w:rPr>
          <w:rFonts w:hint="eastAsia" w:ascii="宋体" w:hAnsi="宋体"/>
          <w:sz w:val="24"/>
        </w:rPr>
      </w:pPr>
      <w:r>
        <w:rPr>
          <w:rFonts w:hint="eastAsia" w:ascii="宋体" w:hAnsi="宋体"/>
          <w:sz w:val="24"/>
        </w:rPr>
        <w:t>主要产品介绍；</w:t>
      </w:r>
    </w:p>
    <w:p>
      <w:pPr>
        <w:numPr>
          <w:ilvl w:val="0"/>
          <w:numId w:val="10"/>
        </w:numPr>
        <w:spacing w:line="360" w:lineRule="auto"/>
        <w:ind w:firstLine="578" w:firstLineChars="241"/>
        <w:rPr>
          <w:rFonts w:hint="eastAsia" w:ascii="宋体" w:hAnsi="宋体"/>
          <w:sz w:val="24"/>
        </w:rPr>
      </w:pPr>
      <w:r>
        <w:rPr>
          <w:rFonts w:hint="eastAsia" w:ascii="宋体" w:hAnsi="宋体"/>
          <w:sz w:val="24"/>
        </w:rPr>
        <w:t>经营业绩一览表；（附件八）（类似业绩着重标注）；</w:t>
      </w:r>
    </w:p>
    <w:p>
      <w:pPr>
        <w:numPr>
          <w:ilvl w:val="0"/>
          <w:numId w:val="10"/>
        </w:numPr>
        <w:spacing w:line="360" w:lineRule="auto"/>
        <w:ind w:firstLine="578" w:firstLineChars="241"/>
        <w:rPr>
          <w:rFonts w:hint="eastAsia" w:ascii="宋体" w:hAnsi="宋体"/>
          <w:sz w:val="24"/>
        </w:rPr>
      </w:pPr>
      <w:r>
        <w:rPr>
          <w:rFonts w:hint="eastAsia" w:ascii="宋体" w:hAnsi="宋体"/>
          <w:sz w:val="24"/>
        </w:rPr>
        <w:t>投标人提供设备生产厂商针对本项目授权书原件和售后服务承诺函（书），加盖生产厂家公章；</w:t>
      </w:r>
    </w:p>
    <w:p>
      <w:pPr>
        <w:numPr>
          <w:ilvl w:val="0"/>
          <w:numId w:val="10"/>
        </w:numPr>
        <w:spacing w:line="360" w:lineRule="auto"/>
        <w:ind w:firstLine="578" w:firstLineChars="241"/>
        <w:rPr>
          <w:rFonts w:ascii="宋体" w:hAnsi="宋体"/>
          <w:sz w:val="24"/>
        </w:rPr>
      </w:pPr>
      <w:r>
        <w:rPr>
          <w:rFonts w:hint="eastAsia" w:ascii="宋体" w:hAnsi="宋体"/>
          <w:sz w:val="24"/>
        </w:rPr>
        <w:t>技术偏离表及优惠条件；</w:t>
      </w:r>
    </w:p>
    <w:p>
      <w:pPr>
        <w:numPr>
          <w:ilvl w:val="0"/>
          <w:numId w:val="10"/>
        </w:numPr>
        <w:spacing w:line="360" w:lineRule="auto"/>
        <w:ind w:firstLine="578" w:firstLineChars="241"/>
        <w:rPr>
          <w:rFonts w:hint="eastAsia" w:ascii="宋体" w:hAnsi="宋体"/>
          <w:sz w:val="24"/>
        </w:rPr>
      </w:pPr>
      <w:r>
        <w:rPr>
          <w:rFonts w:hint="eastAsia" w:ascii="宋体" w:hAnsi="宋体"/>
          <w:sz w:val="24"/>
        </w:rPr>
        <w:t>投标人认为需要提供的其它说明和资料。详见6.2节</w:t>
      </w:r>
    </w:p>
    <w:p>
      <w:pPr>
        <w:pStyle w:val="6"/>
        <w:numPr>
          <w:ilvl w:val="0"/>
          <w:numId w:val="0"/>
        </w:numPr>
        <w:ind w:firstLine="480" w:firstLineChars="200"/>
        <w:rPr>
          <w:rFonts w:hint="eastAsia"/>
        </w:rPr>
      </w:pPr>
      <w:bookmarkStart w:id="103" w:name="_Toc212369514"/>
      <w:bookmarkStart w:id="104" w:name="_Toc926"/>
      <w:r>
        <w:rPr>
          <w:rFonts w:hint="eastAsia"/>
        </w:rPr>
        <w:t>2.3.5商务部分：</w:t>
      </w:r>
      <w:bookmarkEnd w:id="103"/>
      <w:bookmarkEnd w:id="104"/>
    </w:p>
    <w:p>
      <w:pPr>
        <w:numPr>
          <w:ilvl w:val="0"/>
          <w:numId w:val="11"/>
        </w:numPr>
        <w:spacing w:line="360" w:lineRule="auto"/>
        <w:ind w:firstLine="578" w:firstLineChars="241"/>
        <w:rPr>
          <w:rFonts w:hint="eastAsia" w:ascii="宋体" w:hAnsi="宋体"/>
          <w:sz w:val="24"/>
        </w:rPr>
      </w:pPr>
      <w:r>
        <w:rPr>
          <w:rFonts w:hint="eastAsia" w:ascii="宋体" w:hAnsi="宋体"/>
          <w:sz w:val="24"/>
        </w:rPr>
        <w:t>投标函；</w:t>
      </w:r>
    </w:p>
    <w:p>
      <w:pPr>
        <w:numPr>
          <w:ilvl w:val="0"/>
          <w:numId w:val="11"/>
        </w:numPr>
        <w:spacing w:line="360" w:lineRule="auto"/>
        <w:ind w:firstLine="578" w:firstLineChars="241"/>
        <w:rPr>
          <w:rFonts w:hint="eastAsia" w:ascii="宋体" w:hAnsi="宋体"/>
          <w:sz w:val="24"/>
        </w:rPr>
      </w:pPr>
      <w:r>
        <w:rPr>
          <w:rFonts w:hint="eastAsia" w:ascii="宋体" w:hAnsi="宋体"/>
          <w:sz w:val="24"/>
        </w:rPr>
        <w:t>开标一览表；</w:t>
      </w:r>
    </w:p>
    <w:p>
      <w:pPr>
        <w:numPr>
          <w:ilvl w:val="0"/>
          <w:numId w:val="11"/>
        </w:numPr>
        <w:spacing w:line="360" w:lineRule="auto"/>
        <w:ind w:firstLine="578" w:firstLineChars="241"/>
        <w:rPr>
          <w:rFonts w:hint="eastAsia" w:ascii="宋体" w:hAnsi="宋体"/>
          <w:sz w:val="24"/>
        </w:rPr>
      </w:pPr>
      <w:r>
        <w:rPr>
          <w:rFonts w:hint="eastAsia" w:ascii="宋体" w:hAnsi="宋体"/>
          <w:sz w:val="24"/>
        </w:rPr>
        <w:t>货物说明一览表；</w:t>
      </w:r>
    </w:p>
    <w:p>
      <w:pPr>
        <w:numPr>
          <w:ilvl w:val="0"/>
          <w:numId w:val="11"/>
        </w:numPr>
        <w:spacing w:line="360" w:lineRule="auto"/>
        <w:ind w:firstLine="578" w:firstLineChars="241"/>
        <w:rPr>
          <w:rFonts w:hint="eastAsia" w:ascii="宋体" w:hAnsi="宋体"/>
          <w:sz w:val="24"/>
        </w:rPr>
      </w:pPr>
      <w:r>
        <w:rPr>
          <w:rFonts w:hint="eastAsia" w:ascii="宋体" w:hAnsi="宋体"/>
          <w:sz w:val="24"/>
        </w:rPr>
        <w:t>服务承诺函（附件十）；</w:t>
      </w:r>
    </w:p>
    <w:p>
      <w:pPr>
        <w:numPr>
          <w:ilvl w:val="0"/>
          <w:numId w:val="11"/>
        </w:numPr>
        <w:spacing w:line="360" w:lineRule="auto"/>
        <w:ind w:firstLine="578" w:firstLineChars="241"/>
        <w:rPr>
          <w:rFonts w:hint="eastAsia" w:ascii="宋体" w:hAnsi="宋体"/>
          <w:sz w:val="24"/>
        </w:rPr>
      </w:pPr>
      <w:r>
        <w:rPr>
          <w:rFonts w:hint="eastAsia" w:ascii="宋体" w:hAnsi="宋体"/>
          <w:sz w:val="24"/>
        </w:rPr>
        <w:t>设备质量承诺函（附件十一）；</w:t>
      </w:r>
    </w:p>
    <w:p>
      <w:pPr>
        <w:numPr>
          <w:ilvl w:val="0"/>
          <w:numId w:val="11"/>
        </w:numPr>
        <w:spacing w:line="360" w:lineRule="auto"/>
        <w:ind w:firstLine="578" w:firstLineChars="241"/>
        <w:rPr>
          <w:rFonts w:hint="eastAsia" w:ascii="宋体" w:hAnsi="宋体"/>
          <w:sz w:val="24"/>
        </w:rPr>
      </w:pPr>
      <w:r>
        <w:rPr>
          <w:rFonts w:hint="eastAsia" w:ascii="宋体" w:hAnsi="宋体"/>
          <w:sz w:val="24"/>
        </w:rPr>
        <w:t>商务条款偏离表；</w:t>
      </w:r>
    </w:p>
    <w:p>
      <w:pPr>
        <w:numPr>
          <w:ilvl w:val="0"/>
          <w:numId w:val="11"/>
        </w:numPr>
        <w:spacing w:line="360" w:lineRule="auto"/>
        <w:ind w:firstLine="578" w:firstLineChars="241"/>
        <w:rPr>
          <w:rFonts w:hint="eastAsia" w:ascii="宋体" w:hAnsi="宋体"/>
          <w:sz w:val="24"/>
        </w:rPr>
      </w:pPr>
      <w:r>
        <w:rPr>
          <w:rFonts w:hint="eastAsia" w:ascii="宋体" w:hAnsi="宋体"/>
          <w:sz w:val="24"/>
        </w:rPr>
        <w:t>在以往的招投标活动中无违法、违规、违纪、违约行为的承诺；</w:t>
      </w:r>
    </w:p>
    <w:p>
      <w:pPr>
        <w:numPr>
          <w:ilvl w:val="0"/>
          <w:numId w:val="11"/>
        </w:numPr>
        <w:spacing w:line="360" w:lineRule="auto"/>
        <w:ind w:firstLine="578" w:firstLineChars="241"/>
        <w:rPr>
          <w:rFonts w:hint="eastAsia" w:ascii="宋体" w:hAnsi="宋体"/>
          <w:sz w:val="24"/>
        </w:rPr>
      </w:pPr>
      <w:r>
        <w:rPr>
          <w:rFonts w:hint="eastAsia" w:ascii="宋体" w:hAnsi="宋体"/>
          <w:sz w:val="24"/>
        </w:rPr>
        <w:t>投标人认为对其投标有利的其他资料。</w:t>
      </w:r>
    </w:p>
    <w:p>
      <w:pPr>
        <w:pStyle w:val="7"/>
        <w:spacing w:line="360" w:lineRule="auto"/>
        <w:ind w:firstLine="573" w:firstLineChars="238"/>
        <w:rPr>
          <w:rFonts w:hint="eastAsia" w:ascii="宋体" w:hAnsi="宋体"/>
          <w:b/>
          <w:sz w:val="24"/>
          <w:u w:val="single"/>
        </w:rPr>
      </w:pPr>
      <w:r>
        <w:rPr>
          <w:rFonts w:hint="eastAsia" w:ascii="宋体" w:hAnsi="宋体"/>
          <w:b/>
          <w:sz w:val="24"/>
          <w:u w:val="single"/>
        </w:rPr>
        <w:t>注：招标文件给定格式的按给定的格式填写，未给定格式的，由投标人自行编制，但需包含以上内容。</w:t>
      </w:r>
    </w:p>
    <w:p>
      <w:pPr>
        <w:pStyle w:val="6"/>
        <w:numPr>
          <w:ilvl w:val="0"/>
          <w:numId w:val="0"/>
        </w:numPr>
        <w:ind w:firstLine="480" w:firstLineChars="200"/>
        <w:rPr>
          <w:rFonts w:hint="eastAsia"/>
        </w:rPr>
      </w:pPr>
      <w:bookmarkStart w:id="105" w:name="_Toc212369518"/>
      <w:bookmarkStart w:id="106" w:name="_Toc13380"/>
      <w:r>
        <w:rPr>
          <w:rFonts w:hint="eastAsia"/>
        </w:rPr>
        <w:t>2.3.6投标内容填写说明</w:t>
      </w:r>
      <w:bookmarkEnd w:id="105"/>
      <w:bookmarkEnd w:id="106"/>
    </w:p>
    <w:p>
      <w:pPr>
        <w:numPr>
          <w:ilvl w:val="0"/>
          <w:numId w:val="12"/>
        </w:numPr>
        <w:tabs>
          <w:tab w:val="left" w:pos="0"/>
        </w:tabs>
        <w:spacing w:line="360" w:lineRule="auto"/>
        <w:ind w:firstLine="480" w:firstLineChars="200"/>
        <w:rPr>
          <w:rFonts w:hint="eastAsia" w:ascii="宋体" w:hAnsi="宋体"/>
          <w:sz w:val="24"/>
        </w:rPr>
      </w:pPr>
      <w:r>
        <w:rPr>
          <w:rFonts w:hint="eastAsia" w:ascii="宋体" w:hAnsi="宋体"/>
          <w:sz w:val="24"/>
        </w:rPr>
        <w:t>投标文件按统一格式填写，装订成册。</w:t>
      </w:r>
    </w:p>
    <w:p>
      <w:pPr>
        <w:numPr>
          <w:ilvl w:val="0"/>
          <w:numId w:val="12"/>
        </w:numPr>
        <w:tabs>
          <w:tab w:val="left" w:pos="0"/>
        </w:tabs>
        <w:spacing w:line="360" w:lineRule="auto"/>
        <w:ind w:firstLine="480" w:firstLineChars="200"/>
        <w:rPr>
          <w:rFonts w:hint="eastAsia" w:ascii="宋体" w:hAnsi="宋体"/>
          <w:b/>
          <w:sz w:val="24"/>
        </w:rPr>
      </w:pPr>
      <w:r>
        <w:rPr>
          <w:rFonts w:hint="eastAsia" w:ascii="宋体" w:hAnsi="宋体"/>
          <w:sz w:val="24"/>
        </w:rPr>
        <w:t>开标一览表为在开标仪式上唱标的内容，要求按格式填写、统一规范，不得自行增减内容。</w:t>
      </w:r>
    </w:p>
    <w:p>
      <w:pPr>
        <w:pStyle w:val="6"/>
        <w:numPr>
          <w:ilvl w:val="0"/>
          <w:numId w:val="0"/>
        </w:numPr>
        <w:ind w:firstLine="480" w:firstLineChars="200"/>
        <w:rPr>
          <w:rFonts w:hint="eastAsia"/>
        </w:rPr>
      </w:pPr>
      <w:bookmarkStart w:id="107" w:name="_Toc16173"/>
      <w:bookmarkStart w:id="108" w:name="_Toc212369519"/>
      <w:r>
        <w:rPr>
          <w:rFonts w:hint="eastAsia"/>
        </w:rPr>
        <w:t>2.3.7投标报价</w:t>
      </w:r>
      <w:bookmarkEnd w:id="107"/>
      <w:bookmarkEnd w:id="108"/>
    </w:p>
    <w:p>
      <w:pPr>
        <w:spacing w:before="144" w:beforeLines="60" w:line="360" w:lineRule="auto"/>
        <w:ind w:firstLine="480" w:firstLineChars="200"/>
        <w:jc w:val="left"/>
        <w:rPr>
          <w:rFonts w:hint="eastAsia" w:ascii="宋体" w:hAnsi="宋体" w:cs="宋体"/>
          <w:bCs/>
          <w:sz w:val="24"/>
          <w:szCs w:val="24"/>
        </w:rPr>
      </w:pPr>
      <w:r>
        <w:rPr>
          <w:rFonts w:hint="eastAsia" w:ascii="宋体" w:hAnsi="宋体"/>
          <w:sz w:val="24"/>
        </w:rPr>
        <w:t>投标报价总价包括：</w:t>
      </w:r>
      <w:r>
        <w:rPr>
          <w:rFonts w:hint="eastAsia" w:ascii="宋体" w:hAnsi="宋体" w:cs="宋体"/>
          <w:sz w:val="24"/>
          <w:szCs w:val="24"/>
        </w:rPr>
        <w:t>设备费、原厂服务费及相关配件、随机资料、保险、税费、运杂、安装调试、与其他专业配合及可预见的风险以及其它不可预见等全部费用</w:t>
      </w:r>
    </w:p>
    <w:p>
      <w:pPr>
        <w:spacing w:line="360" w:lineRule="auto"/>
        <w:ind w:firstLine="482" w:firstLineChars="200"/>
        <w:jc w:val="left"/>
        <w:rPr>
          <w:rFonts w:hint="eastAsia" w:ascii="宋体" w:hAnsi="宋体"/>
          <w:sz w:val="24"/>
        </w:rPr>
      </w:pPr>
      <w:r>
        <w:rPr>
          <w:rFonts w:hint="eastAsia" w:ascii="宋体" w:hAnsi="宋体" w:cs="宋体"/>
          <w:b/>
          <w:sz w:val="24"/>
          <w:szCs w:val="24"/>
        </w:rPr>
        <w:t>所有投标均以人民币报价,且每项报价均包含：税率、不含税价、含税价三种报价方式。</w:t>
      </w:r>
      <w:r>
        <w:rPr>
          <w:rFonts w:hint="eastAsia" w:ascii="宋体" w:hAnsi="宋体" w:cs="宋体"/>
          <w:sz w:val="24"/>
          <w:szCs w:val="24"/>
        </w:rPr>
        <w:t>其他要求如下：</w:t>
      </w:r>
    </w:p>
    <w:p>
      <w:pPr>
        <w:numPr>
          <w:ilvl w:val="0"/>
          <w:numId w:val="13"/>
        </w:numPr>
        <w:tabs>
          <w:tab w:val="left" w:pos="0"/>
        </w:tabs>
        <w:spacing w:line="360" w:lineRule="auto"/>
        <w:ind w:firstLine="480" w:firstLineChars="200"/>
        <w:rPr>
          <w:rFonts w:hint="eastAsia" w:ascii="宋体" w:hAnsi="宋体"/>
          <w:sz w:val="24"/>
        </w:rPr>
      </w:pPr>
      <w:bookmarkStart w:id="109" w:name="_Toc346372891"/>
      <w:bookmarkStart w:id="110" w:name="_Toc352332865"/>
      <w:bookmarkStart w:id="111" w:name="_Toc346306744"/>
      <w:r>
        <w:rPr>
          <w:rFonts w:hint="eastAsia" w:ascii="宋体" w:hAnsi="宋体"/>
          <w:sz w:val="24"/>
        </w:rPr>
        <w:t>投标人要按投标货物数量、价格表（统一格式）的内容填写产品单价、总价及其他事项，并由法人或授权代表人签署。</w:t>
      </w:r>
    </w:p>
    <w:p>
      <w:pPr>
        <w:numPr>
          <w:ilvl w:val="0"/>
          <w:numId w:val="13"/>
        </w:numPr>
        <w:tabs>
          <w:tab w:val="left" w:pos="0"/>
        </w:tabs>
        <w:spacing w:line="360" w:lineRule="auto"/>
        <w:ind w:firstLine="480" w:firstLineChars="200"/>
        <w:rPr>
          <w:rFonts w:hint="eastAsia" w:ascii="宋体" w:hAnsi="宋体"/>
          <w:sz w:val="24"/>
        </w:rPr>
      </w:pPr>
      <w:r>
        <w:rPr>
          <w:rFonts w:hint="eastAsia" w:ascii="宋体" w:hAnsi="宋体"/>
          <w:sz w:val="24"/>
        </w:rPr>
        <w:t>对于非标准货物的投标，还应填报价明细表（报价明细表格式由投标人自行设计）。</w:t>
      </w:r>
    </w:p>
    <w:p>
      <w:pPr>
        <w:numPr>
          <w:ilvl w:val="0"/>
          <w:numId w:val="13"/>
        </w:numPr>
        <w:tabs>
          <w:tab w:val="left" w:pos="0"/>
        </w:tabs>
        <w:spacing w:line="360" w:lineRule="auto"/>
        <w:ind w:firstLine="480" w:firstLineChars="200"/>
        <w:rPr>
          <w:rFonts w:hint="eastAsia" w:ascii="宋体" w:hAnsi="宋体"/>
          <w:sz w:val="24"/>
        </w:rPr>
      </w:pPr>
      <w:r>
        <w:rPr>
          <w:rFonts w:hint="eastAsia" w:ascii="宋体" w:hAnsi="宋体"/>
          <w:sz w:val="24"/>
        </w:rPr>
        <w:t>投标人如需用外汇购入某些投标货物，须折合人民币计入总报价中。</w:t>
      </w:r>
    </w:p>
    <w:p>
      <w:pPr>
        <w:numPr>
          <w:ilvl w:val="0"/>
          <w:numId w:val="13"/>
        </w:numPr>
        <w:tabs>
          <w:tab w:val="left" w:pos="0"/>
        </w:tabs>
        <w:spacing w:line="360" w:lineRule="auto"/>
        <w:ind w:firstLine="480" w:firstLineChars="200"/>
        <w:rPr>
          <w:rFonts w:hint="eastAsia" w:ascii="宋体" w:hAnsi="宋体"/>
          <w:sz w:val="24"/>
        </w:rPr>
      </w:pPr>
      <w:r>
        <w:rPr>
          <w:rFonts w:hint="eastAsia" w:ascii="宋体" w:hAnsi="宋体"/>
          <w:sz w:val="24"/>
        </w:rPr>
        <w:t>招标人不接受任何选择报价，对每一种货物只允许一个报价。</w:t>
      </w:r>
    </w:p>
    <w:p>
      <w:pPr>
        <w:numPr>
          <w:ilvl w:val="0"/>
          <w:numId w:val="13"/>
        </w:numPr>
        <w:tabs>
          <w:tab w:val="left" w:pos="0"/>
        </w:tabs>
        <w:spacing w:line="360" w:lineRule="auto"/>
        <w:ind w:firstLine="480" w:firstLineChars="200"/>
        <w:rPr>
          <w:rFonts w:hint="eastAsia" w:ascii="宋体" w:hAnsi="宋体"/>
          <w:sz w:val="24"/>
        </w:rPr>
      </w:pPr>
      <w:r>
        <w:rPr>
          <w:rFonts w:hint="eastAsia" w:ascii="宋体" w:hAnsi="宋体"/>
          <w:sz w:val="24"/>
        </w:rPr>
        <w:t>单独密封的“开标一览表”与投标文件正本不符，以“开标一览表”为准。</w:t>
      </w:r>
    </w:p>
    <w:p>
      <w:pPr>
        <w:numPr>
          <w:ilvl w:val="0"/>
          <w:numId w:val="13"/>
        </w:numPr>
        <w:tabs>
          <w:tab w:val="left" w:pos="0"/>
        </w:tabs>
        <w:spacing w:line="360" w:lineRule="auto"/>
        <w:ind w:firstLine="480" w:firstLineChars="200"/>
        <w:rPr>
          <w:rFonts w:hint="eastAsia" w:ascii="宋体" w:hAnsi="宋体"/>
          <w:sz w:val="24"/>
        </w:rPr>
      </w:pPr>
      <w:r>
        <w:rPr>
          <w:rFonts w:hint="eastAsia" w:ascii="宋体" w:hAnsi="宋体"/>
          <w:sz w:val="24"/>
        </w:rPr>
        <w:t>投标人须提供分项单价和报价总价，如果单价和总价不符，以单价为准，并根据单价修正总价。评标委员会认为单价有明显的小数点错误，应以标出的总价为准，并修改单价。（如有分项）</w:t>
      </w:r>
    </w:p>
    <w:p>
      <w:pPr>
        <w:numPr>
          <w:ilvl w:val="0"/>
          <w:numId w:val="13"/>
        </w:numPr>
        <w:tabs>
          <w:tab w:val="left" w:pos="0"/>
        </w:tabs>
        <w:spacing w:line="360" w:lineRule="auto"/>
        <w:ind w:firstLine="480" w:firstLineChars="200"/>
        <w:rPr>
          <w:rFonts w:hint="eastAsia" w:ascii="宋体" w:hAnsi="宋体"/>
          <w:sz w:val="24"/>
        </w:rPr>
      </w:pPr>
      <w:r>
        <w:rPr>
          <w:rFonts w:hint="eastAsia" w:ascii="宋体" w:hAnsi="宋体"/>
          <w:sz w:val="24"/>
        </w:rPr>
        <w:t>如果大写的金额和小写的金额不一致时，以大写的金额为准。</w:t>
      </w:r>
    </w:p>
    <w:p>
      <w:pPr>
        <w:numPr>
          <w:ilvl w:val="0"/>
          <w:numId w:val="13"/>
        </w:numPr>
        <w:tabs>
          <w:tab w:val="left" w:pos="0"/>
        </w:tabs>
        <w:spacing w:line="360" w:lineRule="auto"/>
        <w:ind w:firstLine="480" w:firstLineChars="200"/>
        <w:rPr>
          <w:rFonts w:hint="eastAsia" w:ascii="宋体" w:hAnsi="宋体"/>
          <w:sz w:val="24"/>
        </w:rPr>
      </w:pPr>
      <w:r>
        <w:rPr>
          <w:rFonts w:hint="eastAsia" w:ascii="宋体" w:hAnsi="宋体"/>
          <w:sz w:val="24"/>
        </w:rPr>
        <w:t>投标人免费提供的项目，应先填写该项目的实际价格，并注明免费。此项不计入总报价。</w:t>
      </w:r>
    </w:p>
    <w:p>
      <w:pPr>
        <w:numPr>
          <w:ilvl w:val="0"/>
          <w:numId w:val="13"/>
        </w:numPr>
        <w:tabs>
          <w:tab w:val="left" w:pos="0"/>
        </w:tabs>
        <w:spacing w:line="360" w:lineRule="auto"/>
        <w:ind w:firstLine="480" w:firstLineChars="200"/>
        <w:rPr>
          <w:rFonts w:hint="eastAsia" w:ascii="宋体" w:hAnsi="宋体"/>
          <w:sz w:val="24"/>
        </w:rPr>
      </w:pPr>
      <w:r>
        <w:rPr>
          <w:rFonts w:hint="eastAsia" w:ascii="宋体" w:hAnsi="宋体"/>
          <w:sz w:val="24"/>
        </w:rPr>
        <w:t>最低报价不能作为中标的保证。</w:t>
      </w:r>
    </w:p>
    <w:p>
      <w:pPr>
        <w:pStyle w:val="6"/>
        <w:numPr>
          <w:ilvl w:val="0"/>
          <w:numId w:val="0"/>
        </w:numPr>
        <w:ind w:firstLine="480" w:firstLineChars="200"/>
      </w:pPr>
      <w:bookmarkStart w:id="112" w:name="_Toc2256"/>
      <w:r>
        <w:rPr>
          <w:rFonts w:hint="eastAsia"/>
        </w:rPr>
        <w:t>2.3.8投标文件签署</w:t>
      </w:r>
      <w:bookmarkEnd w:id="109"/>
      <w:bookmarkEnd w:id="110"/>
      <w:bookmarkEnd w:id="111"/>
      <w:bookmarkEnd w:id="112"/>
    </w:p>
    <w:p>
      <w:pPr>
        <w:numPr>
          <w:ilvl w:val="0"/>
          <w:numId w:val="14"/>
        </w:numPr>
        <w:tabs>
          <w:tab w:val="left" w:pos="0"/>
        </w:tabs>
        <w:spacing w:line="360" w:lineRule="auto"/>
        <w:ind w:firstLine="480" w:firstLineChars="200"/>
        <w:rPr>
          <w:rFonts w:hint="eastAsia" w:ascii="宋体" w:hAnsi="宋体" w:cs="宋体"/>
          <w:sz w:val="24"/>
          <w:szCs w:val="24"/>
        </w:rPr>
      </w:pPr>
      <w:r>
        <w:rPr>
          <w:rFonts w:hint="eastAsia" w:ascii="宋体" w:hAnsi="宋体" w:cs="宋体"/>
          <w:sz w:val="24"/>
          <w:szCs w:val="24"/>
        </w:rPr>
        <w:t>投标文件应加盖投标人单位公章（不得使用其他形式如带有“专用章”等字样的印章）并经法定代表人或其委托代理人签字，</w:t>
      </w:r>
      <w:r>
        <w:rPr>
          <w:rFonts w:hint="eastAsia" w:ascii="宋体" w:hAnsi="宋体" w:cs="宋体"/>
          <w:b/>
          <w:bCs/>
          <w:sz w:val="24"/>
          <w:szCs w:val="24"/>
        </w:rPr>
        <w:t>签字须使用黑色或蓝色不可退色签字笔，由投标单位法人或委托代理人亲自签署</w:t>
      </w:r>
      <w:r>
        <w:rPr>
          <w:rFonts w:hint="eastAsia" w:ascii="宋体" w:hAnsi="宋体" w:cs="宋体"/>
          <w:sz w:val="24"/>
          <w:szCs w:val="24"/>
        </w:rPr>
        <w:t>，由委托代理人签字的投标文件中须附授权委托书。投标人代表必须按招标文件的规定签署投标文件（正本、副本及各附件）。</w:t>
      </w:r>
      <w:r>
        <w:rPr>
          <w:rFonts w:hint="eastAsia" w:ascii="宋体" w:hAnsi="宋体" w:cs="宋体"/>
          <w:bCs/>
          <w:sz w:val="24"/>
          <w:szCs w:val="24"/>
        </w:rPr>
        <w:t>否则，其投标文件按无效投标处理</w:t>
      </w:r>
      <w:r>
        <w:rPr>
          <w:rFonts w:hint="eastAsia" w:ascii="宋体" w:hAnsi="宋体" w:cs="宋体"/>
          <w:sz w:val="24"/>
          <w:szCs w:val="24"/>
        </w:rPr>
        <w:t>。</w:t>
      </w:r>
    </w:p>
    <w:p>
      <w:pPr>
        <w:numPr>
          <w:ilvl w:val="0"/>
          <w:numId w:val="14"/>
        </w:num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本招标文件提供的投标文件格式中，标注有盖公章、签字之处，应有投标人的盖章、委托代理人的签字或法定代表人的签字或盖章。</w:t>
      </w:r>
    </w:p>
    <w:p>
      <w:pPr>
        <w:pStyle w:val="6"/>
        <w:numPr>
          <w:ilvl w:val="0"/>
          <w:numId w:val="0"/>
        </w:numPr>
        <w:ind w:firstLine="480" w:firstLineChars="200"/>
      </w:pPr>
      <w:bookmarkStart w:id="113" w:name="_Toc352332866"/>
      <w:bookmarkStart w:id="114" w:name="_Toc346372892"/>
      <w:bookmarkStart w:id="115" w:name="_Toc27136"/>
      <w:bookmarkStart w:id="116" w:name="_Toc346306745"/>
      <w:r>
        <w:rPr>
          <w:rFonts w:hint="eastAsia"/>
        </w:rPr>
        <w:t>2.3.9投标文件密封和标记</w:t>
      </w:r>
      <w:bookmarkEnd w:id="113"/>
      <w:bookmarkEnd w:id="114"/>
      <w:bookmarkEnd w:id="115"/>
      <w:bookmarkEnd w:id="116"/>
    </w:p>
    <w:p>
      <w:pPr>
        <w:numPr>
          <w:ilvl w:val="0"/>
          <w:numId w:val="15"/>
        </w:numPr>
        <w:tabs>
          <w:tab w:val="left" w:pos="0"/>
        </w:tabs>
        <w:spacing w:line="360" w:lineRule="auto"/>
        <w:ind w:firstLine="480" w:firstLineChars="200"/>
        <w:rPr>
          <w:rFonts w:ascii="宋体" w:hAnsi="宋体"/>
          <w:sz w:val="24"/>
          <w:szCs w:val="24"/>
        </w:rPr>
      </w:pPr>
      <w:r>
        <w:rPr>
          <w:rFonts w:hint="eastAsia" w:ascii="宋体" w:hAnsi="宋体" w:cs="宋体"/>
          <w:sz w:val="24"/>
          <w:szCs w:val="24"/>
        </w:rPr>
        <w:t>投标人应准备的投标文件份数见投标人须知前附表第8项，投标人应在每一份投标文件上注明“正本”或“副本”字样。</w:t>
      </w:r>
    </w:p>
    <w:p>
      <w:pPr>
        <w:numPr>
          <w:ilvl w:val="0"/>
          <w:numId w:val="15"/>
        </w:numPr>
        <w:tabs>
          <w:tab w:val="left" w:pos="0"/>
        </w:tabs>
        <w:spacing w:line="360" w:lineRule="auto"/>
        <w:ind w:firstLine="480" w:firstLineChars="200"/>
        <w:rPr>
          <w:rFonts w:ascii="宋体" w:hAnsi="宋体"/>
          <w:sz w:val="24"/>
          <w:szCs w:val="24"/>
        </w:rPr>
      </w:pPr>
      <w:r>
        <w:rPr>
          <w:rFonts w:hint="eastAsia" w:ascii="宋体" w:hAnsi="宋体" w:cs="宋体"/>
          <w:sz w:val="24"/>
          <w:szCs w:val="24"/>
        </w:rPr>
        <w:t>投标文件的密封和标记详见投标人须知前附表第9项。</w:t>
      </w:r>
    </w:p>
    <w:p>
      <w:pPr>
        <w:pStyle w:val="6"/>
        <w:numPr>
          <w:ilvl w:val="0"/>
          <w:numId w:val="0"/>
        </w:numPr>
        <w:ind w:firstLine="480" w:firstLineChars="200"/>
      </w:pPr>
      <w:bookmarkStart w:id="117" w:name="_Toc346306741"/>
      <w:bookmarkStart w:id="118" w:name="_Toc352332862"/>
      <w:bookmarkStart w:id="119" w:name="_Toc21658"/>
      <w:bookmarkStart w:id="120" w:name="_Toc346372888"/>
      <w:bookmarkStart w:id="121" w:name="_Toc346372893"/>
      <w:bookmarkStart w:id="122" w:name="_Toc346306746"/>
      <w:bookmarkStart w:id="123" w:name="_Toc352332867"/>
      <w:r>
        <w:rPr>
          <w:rFonts w:hint="eastAsia"/>
        </w:rPr>
        <w:t>2.3.10投标文件装订</w:t>
      </w:r>
      <w:bookmarkEnd w:id="117"/>
      <w:bookmarkEnd w:id="118"/>
      <w:bookmarkEnd w:id="119"/>
      <w:bookmarkEnd w:id="120"/>
    </w:p>
    <w:p>
      <w:pPr>
        <w:pStyle w:val="7"/>
        <w:spacing w:after="0" w:line="360" w:lineRule="auto"/>
        <w:ind w:firstLine="600" w:firstLineChars="250"/>
        <w:rPr>
          <w:rFonts w:ascii="宋体" w:hAnsi="宋体"/>
          <w:sz w:val="24"/>
          <w:szCs w:val="24"/>
        </w:rPr>
      </w:pPr>
      <w:r>
        <w:rPr>
          <w:rFonts w:hint="eastAsia" w:ascii="宋体" w:hAnsi="宋体" w:cs="宋体"/>
          <w:sz w:val="24"/>
          <w:szCs w:val="24"/>
        </w:rPr>
        <w:t>详见投标人须知前附表第10项。</w:t>
      </w:r>
    </w:p>
    <w:p>
      <w:pPr>
        <w:pStyle w:val="6"/>
        <w:numPr>
          <w:ilvl w:val="0"/>
          <w:numId w:val="0"/>
        </w:numPr>
        <w:ind w:firstLine="480" w:firstLineChars="200"/>
      </w:pPr>
      <w:bookmarkStart w:id="124" w:name="_Toc20733"/>
      <w:r>
        <w:rPr>
          <w:rFonts w:hint="eastAsia"/>
        </w:rPr>
        <w:t>2.3.11投标保证金</w:t>
      </w:r>
      <w:bookmarkEnd w:id="121"/>
      <w:bookmarkEnd w:id="122"/>
      <w:bookmarkEnd w:id="123"/>
      <w:bookmarkEnd w:id="124"/>
    </w:p>
    <w:p>
      <w:pPr>
        <w:numPr>
          <w:ilvl w:val="0"/>
          <w:numId w:val="16"/>
        </w:num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投标人应按前附表第11项的规定提交投标保证金，作为其投标文件的一部分。未按本招标文件规定提交投标保证金的，按无效投标处理。</w:t>
      </w:r>
    </w:p>
    <w:p>
      <w:pPr>
        <w:numPr>
          <w:ilvl w:val="0"/>
          <w:numId w:val="16"/>
        </w:num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如投标人有下列情况，投标保证金不予退还，招标人有权依法向其提出索赔，投标人应当赔偿因此给招标人造成的全部损失：</w:t>
      </w:r>
    </w:p>
    <w:p>
      <w:pPr>
        <w:pStyle w:val="7"/>
        <w:numPr>
          <w:ilvl w:val="0"/>
          <w:numId w:val="17"/>
        </w:numPr>
        <w:spacing w:after="0" w:line="360" w:lineRule="auto"/>
        <w:rPr>
          <w:rFonts w:ascii="宋体" w:hAnsi="宋体"/>
          <w:sz w:val="24"/>
          <w:szCs w:val="24"/>
        </w:rPr>
      </w:pPr>
      <w:r>
        <w:rPr>
          <w:rFonts w:hint="eastAsia" w:ascii="宋体" w:hAnsi="宋体" w:cs="宋体"/>
          <w:sz w:val="24"/>
          <w:szCs w:val="24"/>
        </w:rPr>
        <w:t>开标后，投标人在投标有效期内撤回谈判的；</w:t>
      </w:r>
    </w:p>
    <w:p>
      <w:pPr>
        <w:pStyle w:val="7"/>
        <w:numPr>
          <w:ilvl w:val="0"/>
          <w:numId w:val="17"/>
        </w:numPr>
        <w:spacing w:after="0" w:line="360" w:lineRule="auto"/>
        <w:rPr>
          <w:rFonts w:ascii="宋体" w:hAnsi="宋体"/>
          <w:sz w:val="24"/>
          <w:szCs w:val="24"/>
        </w:rPr>
      </w:pPr>
      <w:r>
        <w:rPr>
          <w:rFonts w:hint="eastAsia" w:ascii="宋体" w:hAnsi="宋体" w:cs="宋体"/>
          <w:sz w:val="24"/>
          <w:szCs w:val="24"/>
        </w:rPr>
        <w:t>采取不正当手段诋毁、排挤其他投标人的；</w:t>
      </w:r>
    </w:p>
    <w:p>
      <w:pPr>
        <w:pStyle w:val="7"/>
        <w:numPr>
          <w:ilvl w:val="0"/>
          <w:numId w:val="17"/>
        </w:numPr>
        <w:spacing w:after="0" w:line="360" w:lineRule="auto"/>
        <w:rPr>
          <w:rFonts w:ascii="宋体" w:hAnsi="宋体"/>
          <w:sz w:val="24"/>
          <w:szCs w:val="24"/>
        </w:rPr>
      </w:pPr>
      <w:r>
        <w:rPr>
          <w:rFonts w:hint="eastAsia" w:ascii="宋体" w:hAnsi="宋体" w:cs="宋体"/>
          <w:sz w:val="24"/>
          <w:szCs w:val="24"/>
        </w:rPr>
        <w:t>与其他投标人或者招标人恶意串通的；</w:t>
      </w:r>
    </w:p>
    <w:p>
      <w:pPr>
        <w:pStyle w:val="7"/>
        <w:numPr>
          <w:ilvl w:val="0"/>
          <w:numId w:val="17"/>
        </w:numPr>
        <w:spacing w:after="0" w:line="360" w:lineRule="auto"/>
        <w:rPr>
          <w:rFonts w:ascii="宋体" w:hAnsi="宋体"/>
          <w:sz w:val="24"/>
          <w:szCs w:val="24"/>
        </w:rPr>
      </w:pPr>
      <w:r>
        <w:rPr>
          <w:rFonts w:hint="eastAsia" w:ascii="宋体" w:hAnsi="宋体" w:cs="宋体"/>
          <w:sz w:val="24"/>
          <w:szCs w:val="24"/>
        </w:rPr>
        <w:t>向招标人行贿或者提供其他不正当利益的；</w:t>
      </w:r>
    </w:p>
    <w:p>
      <w:pPr>
        <w:pStyle w:val="7"/>
        <w:numPr>
          <w:ilvl w:val="0"/>
          <w:numId w:val="17"/>
        </w:numPr>
        <w:spacing w:after="0" w:line="360" w:lineRule="auto"/>
        <w:rPr>
          <w:rFonts w:ascii="宋体" w:hAnsi="宋体"/>
          <w:sz w:val="24"/>
          <w:szCs w:val="24"/>
        </w:rPr>
      </w:pPr>
      <w:r>
        <w:rPr>
          <w:rFonts w:hint="eastAsia" w:ascii="宋体" w:hAnsi="宋体" w:cs="宋体"/>
          <w:sz w:val="24"/>
          <w:szCs w:val="24"/>
        </w:rPr>
        <w:t>投标人在投标文件中提供虚假材料的；</w:t>
      </w:r>
    </w:p>
    <w:p>
      <w:pPr>
        <w:pStyle w:val="7"/>
        <w:numPr>
          <w:ilvl w:val="0"/>
          <w:numId w:val="17"/>
        </w:numPr>
        <w:spacing w:after="0" w:line="360" w:lineRule="auto"/>
        <w:rPr>
          <w:rFonts w:hint="eastAsia" w:ascii="宋体" w:hAnsi="宋体"/>
          <w:sz w:val="24"/>
          <w:szCs w:val="24"/>
        </w:rPr>
      </w:pPr>
      <w:r>
        <w:rPr>
          <w:rFonts w:hint="eastAsia" w:ascii="宋体" w:hAnsi="宋体" w:cs="宋体"/>
          <w:sz w:val="24"/>
          <w:szCs w:val="24"/>
        </w:rPr>
        <w:t>中标人无正当理由未能按规定与招标人签订合同的；</w:t>
      </w:r>
    </w:p>
    <w:p>
      <w:pPr>
        <w:pStyle w:val="7"/>
        <w:numPr>
          <w:ilvl w:val="0"/>
          <w:numId w:val="17"/>
        </w:numPr>
        <w:spacing w:after="0" w:line="360" w:lineRule="auto"/>
        <w:rPr>
          <w:rFonts w:hint="eastAsia" w:ascii="宋体" w:hAnsi="宋体" w:cs="宋体"/>
          <w:sz w:val="24"/>
          <w:szCs w:val="24"/>
        </w:rPr>
      </w:pPr>
      <w:r>
        <w:rPr>
          <w:rFonts w:ascii="宋体" w:hAnsi="宋体" w:cs="宋体"/>
          <w:sz w:val="24"/>
          <w:szCs w:val="24"/>
        </w:rPr>
        <w:t>投标人在投标过程中被查实有串标、围标、陪标等违规违纪行为的</w:t>
      </w:r>
      <w:r>
        <w:rPr>
          <w:rFonts w:hint="eastAsia" w:ascii="宋体" w:hAnsi="宋体" w:cs="宋体"/>
          <w:sz w:val="24"/>
          <w:szCs w:val="24"/>
        </w:rPr>
        <w:t>；</w:t>
      </w:r>
    </w:p>
    <w:p>
      <w:pPr>
        <w:pStyle w:val="7"/>
        <w:numPr>
          <w:ilvl w:val="0"/>
          <w:numId w:val="17"/>
        </w:numPr>
        <w:spacing w:after="0" w:line="360" w:lineRule="auto"/>
        <w:rPr>
          <w:rFonts w:ascii="宋体" w:hAnsi="宋体" w:cs="宋体"/>
          <w:sz w:val="24"/>
          <w:szCs w:val="24"/>
        </w:rPr>
      </w:pPr>
      <w:r>
        <w:rPr>
          <w:rFonts w:ascii="宋体" w:hAnsi="宋体" w:cs="宋体"/>
          <w:sz w:val="24"/>
          <w:szCs w:val="24"/>
        </w:rPr>
        <w:t>投标人有违约违规行为或被投诉、举报的，在调查处理期间，保证金暂不退还，待调查处理结束后按有关规定处理</w:t>
      </w:r>
      <w:r>
        <w:rPr>
          <w:rFonts w:hint="eastAsia" w:ascii="宋体" w:hAnsi="宋体" w:cs="宋体"/>
          <w:sz w:val="24"/>
          <w:szCs w:val="24"/>
        </w:rPr>
        <w:t>；</w:t>
      </w:r>
    </w:p>
    <w:p>
      <w:pPr>
        <w:pStyle w:val="7"/>
        <w:numPr>
          <w:ilvl w:val="0"/>
          <w:numId w:val="17"/>
        </w:numPr>
        <w:spacing w:after="0" w:line="360" w:lineRule="auto"/>
        <w:rPr>
          <w:rFonts w:ascii="宋体" w:hAnsi="宋体"/>
          <w:sz w:val="24"/>
          <w:szCs w:val="24"/>
        </w:rPr>
      </w:pPr>
      <w:r>
        <w:rPr>
          <w:rFonts w:hint="eastAsia" w:ascii="宋体" w:hAnsi="宋体" w:cs="宋体"/>
          <w:sz w:val="24"/>
          <w:szCs w:val="24"/>
        </w:rPr>
        <w:t>法律法规和招标文件规定的其他情形。</w:t>
      </w:r>
    </w:p>
    <w:p>
      <w:pPr>
        <w:numPr>
          <w:ilvl w:val="0"/>
          <w:numId w:val="16"/>
        </w:numPr>
        <w:tabs>
          <w:tab w:val="left" w:pos="0"/>
        </w:tabs>
        <w:spacing w:line="360" w:lineRule="auto"/>
        <w:ind w:firstLine="480" w:firstLineChars="200"/>
        <w:rPr>
          <w:rFonts w:ascii="宋体" w:hAnsi="宋体"/>
          <w:sz w:val="24"/>
          <w:szCs w:val="24"/>
        </w:rPr>
      </w:pPr>
      <w:r>
        <w:rPr>
          <w:rFonts w:hint="eastAsia" w:ascii="宋体" w:hAnsi="宋体" w:cs="宋体"/>
          <w:sz w:val="24"/>
          <w:szCs w:val="24"/>
        </w:rPr>
        <w:t>保证金</w:t>
      </w:r>
      <w:r>
        <w:rPr>
          <w:rFonts w:hint="eastAsia" w:ascii="宋体" w:hAnsi="宋体" w:cs="宋体"/>
          <w:kern w:val="0"/>
          <w:sz w:val="24"/>
          <w:szCs w:val="24"/>
        </w:rPr>
        <w:t>的退还：</w:t>
      </w:r>
    </w:p>
    <w:p>
      <w:pPr>
        <w:pStyle w:val="7"/>
        <w:numPr>
          <w:ilvl w:val="0"/>
          <w:numId w:val="18"/>
        </w:numPr>
        <w:spacing w:after="0" w:line="360" w:lineRule="auto"/>
        <w:rPr>
          <w:rFonts w:ascii="宋体" w:hAnsi="宋体"/>
          <w:sz w:val="24"/>
          <w:szCs w:val="24"/>
        </w:rPr>
      </w:pPr>
      <w:r>
        <w:rPr>
          <w:rFonts w:hint="eastAsia" w:ascii="宋体" w:hAnsi="宋体" w:cs="宋体"/>
          <w:sz w:val="24"/>
          <w:szCs w:val="24"/>
        </w:rPr>
        <w:t>未中标人的保证金，在中标通知书发出后次月月底前无息退还；</w:t>
      </w:r>
    </w:p>
    <w:p>
      <w:pPr>
        <w:pStyle w:val="7"/>
        <w:numPr>
          <w:ilvl w:val="0"/>
          <w:numId w:val="18"/>
        </w:numPr>
        <w:spacing w:after="0" w:line="360" w:lineRule="auto"/>
        <w:rPr>
          <w:rFonts w:ascii="宋体" w:hAnsi="宋体"/>
          <w:sz w:val="24"/>
          <w:szCs w:val="24"/>
        </w:rPr>
      </w:pPr>
      <w:r>
        <w:rPr>
          <w:rFonts w:hint="eastAsia" w:ascii="宋体" w:hAnsi="宋体" w:cs="宋体"/>
          <w:sz w:val="24"/>
          <w:szCs w:val="24"/>
        </w:rPr>
        <w:t>中标人的保证金在签订合同后次月月底前无息退还。</w:t>
      </w:r>
    </w:p>
    <w:p>
      <w:pPr>
        <w:numPr>
          <w:ilvl w:val="0"/>
          <w:numId w:val="16"/>
        </w:numPr>
        <w:tabs>
          <w:tab w:val="left" w:pos="0"/>
        </w:tabs>
        <w:spacing w:line="360" w:lineRule="auto"/>
        <w:ind w:firstLine="480" w:firstLineChars="200"/>
      </w:pPr>
      <w:bookmarkStart w:id="125" w:name="_Toc352332868"/>
      <w:bookmarkStart w:id="126" w:name="_Toc346372894"/>
      <w:bookmarkStart w:id="127" w:name="_Toc346306747"/>
      <w:r>
        <w:rPr>
          <w:rFonts w:hint="eastAsia" w:ascii="宋体" w:hAnsi="宋体" w:cs="宋体"/>
          <w:sz w:val="24"/>
          <w:szCs w:val="24"/>
        </w:rPr>
        <w:t>投标</w:t>
      </w:r>
      <w:r>
        <w:rPr>
          <w:rFonts w:hint="eastAsia" w:ascii="宋体" w:hAnsi="宋体" w:cs="宋体"/>
          <w:kern w:val="0"/>
          <w:sz w:val="24"/>
          <w:szCs w:val="24"/>
        </w:rPr>
        <w:t>有效期</w:t>
      </w:r>
      <w:bookmarkEnd w:id="125"/>
      <w:bookmarkEnd w:id="126"/>
      <w:bookmarkEnd w:id="127"/>
    </w:p>
    <w:p>
      <w:pPr>
        <w:pStyle w:val="7"/>
        <w:numPr>
          <w:ilvl w:val="0"/>
          <w:numId w:val="19"/>
        </w:numPr>
        <w:spacing w:after="0" w:line="360" w:lineRule="auto"/>
        <w:ind w:left="0" w:firstLine="480" w:firstLineChars="200"/>
        <w:rPr>
          <w:rFonts w:ascii="宋体" w:hAnsi="宋体"/>
          <w:sz w:val="24"/>
          <w:szCs w:val="24"/>
        </w:rPr>
      </w:pPr>
      <w:r>
        <w:rPr>
          <w:rFonts w:hint="eastAsia" w:ascii="宋体" w:hAnsi="宋体" w:cs="宋体"/>
          <w:sz w:val="24"/>
          <w:szCs w:val="24"/>
        </w:rPr>
        <w:t>本项目投标有效期见投标人须知前附表12项。投标函的有效期比本须知规定的有效期短的，将被视为非响应性投标，</w:t>
      </w:r>
      <w:r>
        <w:rPr>
          <w:rFonts w:hint="eastAsia" w:ascii="宋体" w:hAnsi="宋体" w:cs="宋体"/>
          <w:bCs/>
          <w:sz w:val="24"/>
          <w:szCs w:val="24"/>
        </w:rPr>
        <w:t>该投标文件按无效投标处理。</w:t>
      </w:r>
    </w:p>
    <w:p>
      <w:pPr>
        <w:pStyle w:val="7"/>
        <w:numPr>
          <w:ilvl w:val="0"/>
          <w:numId w:val="19"/>
        </w:numPr>
        <w:spacing w:after="0" w:line="360" w:lineRule="auto"/>
        <w:ind w:left="0" w:firstLine="480" w:firstLineChars="200"/>
        <w:rPr>
          <w:rFonts w:ascii="宋体" w:hAnsi="宋体"/>
          <w:sz w:val="24"/>
          <w:szCs w:val="24"/>
        </w:rPr>
      </w:pPr>
      <w:r>
        <w:rPr>
          <w:rFonts w:hint="eastAsia" w:ascii="宋体" w:hAnsi="宋体" w:cs="宋体"/>
          <w:sz w:val="24"/>
          <w:szCs w:val="24"/>
        </w:rPr>
        <w:t>特殊情况下，在投标有效期满之前，招标人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pPr>
        <w:pStyle w:val="4"/>
        <w:spacing w:before="120"/>
        <w:ind w:firstLine="482"/>
      </w:pPr>
      <w:bookmarkStart w:id="128" w:name="_Toc28970"/>
      <w:bookmarkStart w:id="129" w:name="_Toc13102"/>
      <w:bookmarkStart w:id="130" w:name="_Toc12951"/>
      <w:r>
        <w:rPr>
          <w:rFonts w:hint="eastAsia"/>
        </w:rPr>
        <w:t>投标文件递交</w:t>
      </w:r>
      <w:bookmarkEnd w:id="128"/>
      <w:bookmarkEnd w:id="129"/>
      <w:bookmarkEnd w:id="130"/>
    </w:p>
    <w:p>
      <w:pPr>
        <w:spacing w:line="360" w:lineRule="auto"/>
        <w:ind w:firstLine="480" w:firstLineChars="200"/>
        <w:rPr>
          <w:sz w:val="24"/>
          <w:szCs w:val="24"/>
        </w:rPr>
      </w:pPr>
      <w:bookmarkStart w:id="131" w:name="_Toc352332870"/>
      <w:bookmarkStart w:id="132" w:name="_Toc346372896"/>
      <w:bookmarkStart w:id="133" w:name="_Toc346306749"/>
      <w:bookmarkStart w:id="134" w:name="_Toc129697462"/>
      <w:r>
        <w:rPr>
          <w:rFonts w:hint="eastAsia"/>
          <w:sz w:val="24"/>
          <w:szCs w:val="24"/>
        </w:rPr>
        <w:t>2.4.1投标文件递交时间和地点</w:t>
      </w:r>
      <w:bookmarkEnd w:id="131"/>
      <w:bookmarkEnd w:id="132"/>
      <w:bookmarkEnd w:id="133"/>
      <w:bookmarkEnd w:id="134"/>
    </w:p>
    <w:p>
      <w:pPr>
        <w:numPr>
          <w:ilvl w:val="0"/>
          <w:numId w:val="20"/>
        </w:numPr>
        <w:tabs>
          <w:tab w:val="left" w:pos="0"/>
        </w:tabs>
        <w:spacing w:line="360" w:lineRule="auto"/>
        <w:ind w:firstLine="480" w:firstLineChars="200"/>
        <w:rPr>
          <w:rFonts w:ascii="宋体" w:hAnsi="宋体"/>
          <w:sz w:val="24"/>
          <w:szCs w:val="24"/>
        </w:rPr>
      </w:pPr>
      <w:r>
        <w:rPr>
          <w:rFonts w:hint="eastAsia" w:ascii="宋体" w:hAnsi="宋体" w:cs="宋体"/>
          <w:sz w:val="24"/>
          <w:szCs w:val="24"/>
        </w:rPr>
        <w:t>投标文件递交时间、投标截止时间及地点详见投标人须知前附表第</w:t>
      </w:r>
      <w:r>
        <w:rPr>
          <w:rFonts w:ascii="宋体" w:hAnsi="宋体" w:cs="宋体"/>
          <w:sz w:val="24"/>
          <w:szCs w:val="24"/>
        </w:rPr>
        <w:t>1</w:t>
      </w:r>
      <w:r>
        <w:rPr>
          <w:rFonts w:hint="eastAsia" w:ascii="宋体" w:hAnsi="宋体" w:cs="宋体"/>
          <w:sz w:val="24"/>
          <w:szCs w:val="24"/>
        </w:rPr>
        <w:t>3项。</w:t>
      </w:r>
    </w:p>
    <w:p>
      <w:pPr>
        <w:numPr>
          <w:ilvl w:val="0"/>
          <w:numId w:val="20"/>
        </w:numPr>
        <w:tabs>
          <w:tab w:val="left" w:pos="0"/>
        </w:tabs>
        <w:spacing w:line="360" w:lineRule="auto"/>
        <w:ind w:firstLine="480" w:firstLineChars="200"/>
        <w:rPr>
          <w:rFonts w:ascii="宋体" w:hAnsi="宋体"/>
          <w:sz w:val="24"/>
          <w:szCs w:val="24"/>
        </w:rPr>
      </w:pPr>
      <w:r>
        <w:rPr>
          <w:rFonts w:hint="eastAsia" w:ascii="宋体" w:hAnsi="宋体" w:cs="宋体"/>
          <w:sz w:val="24"/>
          <w:szCs w:val="24"/>
        </w:rPr>
        <w:t>投标人代表必须在投标截止时间前将投标文件送达指定地点。如因招标文件的修改推迟投标截止日期的，则按招标人另行通知规定的时间递交。</w:t>
      </w:r>
    </w:p>
    <w:p>
      <w:pPr>
        <w:numPr>
          <w:ilvl w:val="0"/>
          <w:numId w:val="20"/>
        </w:numPr>
        <w:tabs>
          <w:tab w:val="left" w:pos="0"/>
        </w:tabs>
        <w:spacing w:line="360" w:lineRule="auto"/>
        <w:ind w:firstLine="480" w:firstLineChars="200"/>
        <w:rPr>
          <w:rFonts w:ascii="宋体" w:hAnsi="宋体"/>
          <w:sz w:val="24"/>
          <w:szCs w:val="24"/>
        </w:rPr>
      </w:pPr>
      <w:r>
        <w:rPr>
          <w:rFonts w:hint="eastAsia" w:ascii="宋体" w:hAnsi="宋体" w:cs="宋体"/>
          <w:sz w:val="24"/>
          <w:szCs w:val="24"/>
        </w:rPr>
        <w:t>招标人不接收投标截止时间后送达的投标文件。</w:t>
      </w:r>
    </w:p>
    <w:p>
      <w:pPr>
        <w:spacing w:line="360" w:lineRule="auto"/>
        <w:ind w:firstLine="480" w:firstLineChars="200"/>
        <w:rPr>
          <w:rFonts w:hint="eastAsia"/>
          <w:sz w:val="24"/>
          <w:szCs w:val="24"/>
        </w:rPr>
      </w:pPr>
      <w:bookmarkStart w:id="135" w:name="_Toc352332871"/>
      <w:bookmarkStart w:id="136" w:name="_Toc346306750"/>
      <w:bookmarkStart w:id="137" w:name="_Toc129697463"/>
      <w:bookmarkStart w:id="138" w:name="_Toc346372897"/>
      <w:r>
        <w:rPr>
          <w:rFonts w:hint="eastAsia"/>
          <w:sz w:val="24"/>
          <w:szCs w:val="24"/>
        </w:rPr>
        <w:t>2.4.2投标文件签收</w:t>
      </w:r>
      <w:bookmarkEnd w:id="135"/>
      <w:bookmarkEnd w:id="136"/>
      <w:bookmarkEnd w:id="137"/>
      <w:bookmarkEnd w:id="138"/>
    </w:p>
    <w:p>
      <w:pPr>
        <w:numPr>
          <w:ilvl w:val="0"/>
          <w:numId w:val="21"/>
        </w:numPr>
        <w:tabs>
          <w:tab w:val="left" w:pos="0"/>
        </w:tabs>
        <w:spacing w:line="360" w:lineRule="auto"/>
        <w:ind w:firstLine="480" w:firstLineChars="200"/>
        <w:rPr>
          <w:rFonts w:hint="default" w:eastAsia="宋体"/>
          <w:lang w:val="en-US" w:eastAsia="zh-CN"/>
        </w:rPr>
      </w:pPr>
      <w:r>
        <w:rPr>
          <w:rFonts w:hint="eastAsia" w:ascii="宋体" w:hAnsi="宋体" w:cs="宋体"/>
          <w:sz w:val="24"/>
          <w:szCs w:val="24"/>
        </w:rPr>
        <w:t>本项目现场递交书面形式的标书和</w:t>
      </w:r>
      <w:r>
        <w:rPr>
          <w:rFonts w:hint="eastAsia" w:ascii="宋体" w:hAnsi="宋体" w:cs="宋体"/>
          <w:sz w:val="24"/>
        </w:rPr>
        <w:t>电子版投标文件</w:t>
      </w:r>
      <w:r>
        <w:rPr>
          <w:rFonts w:hint="eastAsia" w:ascii="宋体" w:hAnsi="宋体" w:cs="宋体"/>
          <w:b/>
          <w:bCs/>
          <w:sz w:val="24"/>
          <w:szCs w:val="24"/>
        </w:rPr>
        <w:t>。</w:t>
      </w:r>
    </w:p>
    <w:p>
      <w:pPr>
        <w:numPr>
          <w:ilvl w:val="0"/>
          <w:numId w:val="21"/>
        </w:num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投标截止时间后对投标人已提交的投标文件不予退还。</w:t>
      </w:r>
    </w:p>
    <w:p>
      <w:pPr>
        <w:spacing w:line="360" w:lineRule="auto"/>
        <w:ind w:firstLine="480" w:firstLineChars="200"/>
        <w:rPr>
          <w:sz w:val="24"/>
          <w:szCs w:val="24"/>
        </w:rPr>
      </w:pPr>
      <w:bookmarkStart w:id="139" w:name="_Toc346306751"/>
      <w:bookmarkStart w:id="140" w:name="_Toc129697464"/>
      <w:bookmarkStart w:id="141" w:name="_Toc346372898"/>
      <w:bookmarkStart w:id="142" w:name="_Toc352332872"/>
      <w:r>
        <w:rPr>
          <w:rFonts w:hint="eastAsia"/>
          <w:sz w:val="24"/>
          <w:szCs w:val="24"/>
        </w:rPr>
        <w:t>2.4.3投标文件修改与撤回</w:t>
      </w:r>
      <w:bookmarkEnd w:id="139"/>
      <w:bookmarkEnd w:id="140"/>
      <w:bookmarkEnd w:id="141"/>
      <w:bookmarkEnd w:id="142"/>
    </w:p>
    <w:p>
      <w:pPr>
        <w:numPr>
          <w:ilvl w:val="0"/>
          <w:numId w:val="22"/>
        </w:num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投标人在招标文件要求提交投标文件的截止时间前，可以修改或者撤回已提交的投标文件，并书面形式通知招标人。</w:t>
      </w:r>
    </w:p>
    <w:p>
      <w:pPr>
        <w:numPr>
          <w:ilvl w:val="0"/>
          <w:numId w:val="22"/>
        </w:num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任何修改内容必须由投标人的法定代表人或其授权代理人签字，不得涂抹。经法定代表人或其授权代理人正式签署的修改文件组成投标文件的一部分，份数和密封要求同投标文件一致。</w:t>
      </w:r>
    </w:p>
    <w:p>
      <w:pPr>
        <w:numPr>
          <w:ilvl w:val="0"/>
          <w:numId w:val="22"/>
        </w:num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投标截止时间后不允许对投标文件做实质性修改。</w:t>
      </w:r>
    </w:p>
    <w:p>
      <w:pPr>
        <w:numPr>
          <w:ilvl w:val="0"/>
          <w:numId w:val="22"/>
        </w:num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投标有效期内不得撤回投标。</w:t>
      </w:r>
    </w:p>
    <w:p>
      <w:pPr>
        <w:pStyle w:val="4"/>
        <w:spacing w:before="120"/>
        <w:ind w:firstLine="482"/>
      </w:pPr>
      <w:bookmarkStart w:id="143" w:name="_Toc8894"/>
      <w:bookmarkStart w:id="144" w:name="_Toc11728"/>
      <w:bookmarkStart w:id="145" w:name="_Toc5117"/>
      <w:r>
        <w:rPr>
          <w:rFonts w:hint="eastAsia"/>
        </w:rPr>
        <w:t>开标与评标</w:t>
      </w:r>
      <w:bookmarkEnd w:id="143"/>
      <w:bookmarkEnd w:id="144"/>
      <w:bookmarkEnd w:id="145"/>
    </w:p>
    <w:p>
      <w:pPr>
        <w:spacing w:line="360" w:lineRule="auto"/>
        <w:ind w:firstLine="480" w:firstLineChars="200"/>
        <w:rPr>
          <w:rFonts w:hint="eastAsia"/>
          <w:sz w:val="24"/>
          <w:szCs w:val="24"/>
        </w:rPr>
      </w:pPr>
      <w:bookmarkStart w:id="146" w:name="_Toc212369527"/>
      <w:bookmarkStart w:id="147" w:name="_Toc129697466"/>
      <w:r>
        <w:rPr>
          <w:rFonts w:hint="eastAsia"/>
          <w:sz w:val="24"/>
          <w:szCs w:val="24"/>
        </w:rPr>
        <w:t>2.5.1开标</w:t>
      </w:r>
      <w:bookmarkEnd w:id="146"/>
      <w:bookmarkEnd w:id="147"/>
    </w:p>
    <w:p>
      <w:pPr>
        <w:spacing w:line="360" w:lineRule="auto"/>
        <w:ind w:firstLine="480" w:firstLineChars="200"/>
        <w:rPr>
          <w:sz w:val="24"/>
          <w:szCs w:val="24"/>
        </w:rPr>
      </w:pPr>
      <w:bookmarkStart w:id="148" w:name="_Toc129697467"/>
      <w:r>
        <w:rPr>
          <w:rFonts w:hint="eastAsia"/>
          <w:sz w:val="24"/>
          <w:szCs w:val="24"/>
        </w:rPr>
        <w:t>本次招标的开标、评标由招标人依法组织实施。</w:t>
      </w:r>
      <w:bookmarkEnd w:id="148"/>
      <w:bookmarkStart w:id="149" w:name="_Toc129697468"/>
      <w:r>
        <w:rPr>
          <w:rFonts w:hint="eastAsia"/>
          <w:sz w:val="24"/>
          <w:szCs w:val="24"/>
        </w:rPr>
        <w:t>本项目开标时间和地点见投标人须知前附表。开标会议由招标人组织并主持。招标人邀请各投标人派员参加开标会议。投标人未参加开标的，视同认可开标结果。</w:t>
      </w:r>
      <w:bookmarkEnd w:id="149"/>
    </w:p>
    <w:p>
      <w:pPr>
        <w:spacing w:line="360" w:lineRule="auto"/>
        <w:ind w:firstLine="480" w:firstLineChars="200"/>
        <w:rPr>
          <w:rFonts w:hint="eastAsia"/>
          <w:sz w:val="24"/>
          <w:szCs w:val="24"/>
        </w:rPr>
      </w:pPr>
      <w:bookmarkStart w:id="150" w:name="_Toc129697469"/>
      <w:r>
        <w:rPr>
          <w:rFonts w:hint="eastAsia"/>
          <w:sz w:val="24"/>
          <w:szCs w:val="24"/>
        </w:rPr>
        <w:t>2.5.2开标程序</w:t>
      </w:r>
      <w:bookmarkEnd w:id="150"/>
    </w:p>
    <w:p>
      <w:pPr>
        <w:pStyle w:val="7"/>
        <w:adjustRightInd w:val="0"/>
        <w:snapToGrid w:val="0"/>
        <w:spacing w:before="72" w:beforeLines="30" w:after="50" w:line="360" w:lineRule="auto"/>
        <w:ind w:left="714" w:leftChars="180" w:hanging="336" w:hangingChars="140"/>
        <w:rPr>
          <w:rFonts w:hint="eastAsia" w:ascii="宋体" w:hAnsi="宋体"/>
          <w:sz w:val="24"/>
        </w:rPr>
      </w:pPr>
      <w:r>
        <w:rPr>
          <w:rFonts w:hint="eastAsia" w:ascii="宋体" w:hAnsi="宋体"/>
          <w:sz w:val="24"/>
        </w:rPr>
        <w:t>（1）宣布开标会议开始并宣读开标纪律。</w:t>
      </w:r>
    </w:p>
    <w:p>
      <w:pPr>
        <w:pStyle w:val="7"/>
        <w:adjustRightInd w:val="0"/>
        <w:snapToGrid w:val="0"/>
        <w:spacing w:before="72" w:beforeLines="30" w:after="50" w:line="360" w:lineRule="auto"/>
        <w:ind w:left="714" w:leftChars="180" w:hanging="336" w:hangingChars="140"/>
        <w:rPr>
          <w:rFonts w:hint="eastAsia" w:ascii="宋体" w:hAnsi="宋体"/>
          <w:sz w:val="24"/>
        </w:rPr>
      </w:pPr>
      <w:r>
        <w:rPr>
          <w:rFonts w:hint="eastAsia" w:ascii="宋体" w:hAnsi="宋体"/>
          <w:sz w:val="24"/>
        </w:rPr>
        <w:t>（2）介绍与会人员。</w:t>
      </w:r>
    </w:p>
    <w:p>
      <w:pPr>
        <w:pStyle w:val="7"/>
        <w:adjustRightInd w:val="0"/>
        <w:snapToGrid w:val="0"/>
        <w:spacing w:before="72" w:beforeLines="30" w:after="50" w:line="360" w:lineRule="auto"/>
        <w:ind w:left="714" w:leftChars="180" w:hanging="336" w:hangingChars="140"/>
        <w:rPr>
          <w:rFonts w:hint="eastAsia" w:ascii="宋体" w:hAnsi="宋体"/>
          <w:sz w:val="24"/>
        </w:rPr>
      </w:pPr>
      <w:r>
        <w:rPr>
          <w:rFonts w:hint="eastAsia" w:ascii="宋体" w:hAnsi="宋体"/>
          <w:sz w:val="24"/>
        </w:rPr>
        <w:t>（3）核验投标人资格证明文件。</w:t>
      </w:r>
    </w:p>
    <w:p>
      <w:pPr>
        <w:pStyle w:val="7"/>
        <w:adjustRightInd w:val="0"/>
        <w:snapToGrid w:val="0"/>
        <w:spacing w:before="72" w:beforeLines="30" w:after="50" w:line="360" w:lineRule="auto"/>
        <w:ind w:left="714" w:leftChars="180" w:hanging="336" w:hangingChars="140"/>
        <w:rPr>
          <w:rFonts w:ascii="宋体" w:hAnsi="宋体"/>
          <w:sz w:val="24"/>
        </w:rPr>
      </w:pPr>
      <w:r>
        <w:rPr>
          <w:rFonts w:hint="eastAsia" w:ascii="宋体" w:hAnsi="宋体"/>
          <w:sz w:val="24"/>
        </w:rPr>
        <w:t>（4）</w:t>
      </w:r>
      <w:r>
        <w:rPr>
          <w:rFonts w:hint="eastAsia" w:ascii="宋体" w:hAnsi="宋体"/>
          <w:b/>
          <w:bCs/>
          <w:sz w:val="24"/>
        </w:rPr>
        <w:t>经资质审查通过后，进行开唱标工作，须统一按照技术配置要求分解报价。</w:t>
      </w:r>
    </w:p>
    <w:p>
      <w:pPr>
        <w:pStyle w:val="7"/>
        <w:adjustRightInd w:val="0"/>
        <w:snapToGrid w:val="0"/>
        <w:spacing w:before="72" w:beforeLines="30" w:after="50" w:line="360" w:lineRule="auto"/>
        <w:ind w:left="714" w:leftChars="180" w:hanging="336" w:hangingChars="140"/>
        <w:rPr>
          <w:rFonts w:hint="eastAsia" w:ascii="宋体" w:hAnsi="宋体"/>
          <w:sz w:val="24"/>
        </w:rPr>
      </w:pPr>
      <w:r>
        <w:rPr>
          <w:rFonts w:hint="eastAsia" w:ascii="宋体" w:hAnsi="宋体"/>
          <w:sz w:val="24"/>
        </w:rPr>
        <w:t>（5）投标人或投标人推选的代表对投标文件密封情况进行检查（投标人未参加开标会议的，视同认可投标文件密封完好）。</w:t>
      </w:r>
    </w:p>
    <w:p>
      <w:pPr>
        <w:pStyle w:val="7"/>
        <w:adjustRightInd w:val="0"/>
        <w:snapToGrid w:val="0"/>
        <w:spacing w:before="72" w:beforeLines="30" w:after="50" w:line="360" w:lineRule="auto"/>
        <w:ind w:left="714" w:leftChars="180" w:hanging="336" w:hangingChars="140"/>
        <w:rPr>
          <w:rFonts w:hint="eastAsia" w:ascii="宋体" w:hAns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）经确认无误后，由工作人员当众拆封技术标书，由评标专家组对所有投标方的技术标部分综合评定和打分，确定进入商务标评比资格的投标方。</w:t>
      </w:r>
    </w:p>
    <w:p>
      <w:pPr>
        <w:pStyle w:val="7"/>
        <w:adjustRightInd w:val="0"/>
        <w:snapToGrid w:val="0"/>
        <w:spacing w:before="72" w:beforeLines="30" w:after="50" w:line="360" w:lineRule="auto"/>
        <w:ind w:left="714" w:leftChars="180" w:hanging="336" w:hangingChars="140"/>
        <w:rPr>
          <w:rFonts w:hint="eastAsia" w:ascii="宋体" w:hAnsi="宋体"/>
          <w:sz w:val="24"/>
          <w:highlight w:val="none"/>
        </w:rPr>
      </w:pPr>
      <w:r>
        <w:rPr>
          <w:rFonts w:hint="eastAsia" w:ascii="宋体" w:hAnsi="宋体"/>
          <w:sz w:val="24"/>
          <w:highlight w:val="none"/>
        </w:rPr>
        <w:t>（</w:t>
      </w:r>
      <w:r>
        <w:rPr>
          <w:rFonts w:ascii="宋体" w:hAnsi="宋体"/>
          <w:sz w:val="24"/>
          <w:highlight w:val="none"/>
        </w:rPr>
        <w:t>7</w:t>
      </w:r>
      <w:r>
        <w:rPr>
          <w:rFonts w:hint="eastAsia" w:ascii="宋体" w:hAnsi="宋体"/>
          <w:sz w:val="24"/>
          <w:highlight w:val="none"/>
        </w:rPr>
        <w:t>）由工作人员当众拆封入围商务标投标方的开标一览表和商务标书，宣读投标人名称、投标价格和投标文件的其他主要内容，投标人授权代表现场确认。</w:t>
      </w:r>
    </w:p>
    <w:p>
      <w:pPr>
        <w:pStyle w:val="7"/>
        <w:adjustRightInd w:val="0"/>
        <w:snapToGrid w:val="0"/>
        <w:spacing w:before="72" w:beforeLines="30" w:after="50" w:line="360" w:lineRule="auto"/>
        <w:ind w:left="714" w:leftChars="180" w:hanging="336" w:hangingChars="140"/>
        <w:rPr>
          <w:rFonts w:hint="eastAsia" w:ascii="宋体" w:hAnsi="宋体"/>
          <w:sz w:val="24"/>
          <w:highlight w:val="none"/>
        </w:rPr>
      </w:pPr>
      <w:r>
        <w:rPr>
          <w:rFonts w:hint="eastAsia" w:ascii="宋体" w:hAnsi="宋体"/>
          <w:sz w:val="24"/>
          <w:highlight w:val="none"/>
        </w:rPr>
        <w:t>（</w:t>
      </w:r>
      <w:r>
        <w:rPr>
          <w:rFonts w:ascii="宋体" w:hAnsi="宋体"/>
          <w:sz w:val="24"/>
          <w:highlight w:val="none"/>
        </w:rPr>
        <w:t>8</w:t>
      </w:r>
      <w:r>
        <w:rPr>
          <w:rFonts w:hint="eastAsia" w:ascii="宋体" w:hAnsi="宋体"/>
          <w:sz w:val="24"/>
          <w:highlight w:val="none"/>
        </w:rPr>
        <w:t>）进行商务标的评标，招标人有权根据项目情况，采取多轮评标模式，最终根据商务标</w:t>
      </w:r>
      <w:r>
        <w:rPr>
          <w:rFonts w:hint="eastAsia" w:ascii="宋体" w:hAnsi="宋体"/>
          <w:sz w:val="24"/>
          <w:highlight w:val="none"/>
          <w:lang w:val="en-US" w:eastAsia="zh-CN"/>
        </w:rPr>
        <w:t>价格</w:t>
      </w:r>
      <w:r>
        <w:rPr>
          <w:rFonts w:hint="eastAsia" w:ascii="宋体" w:hAnsi="宋体"/>
          <w:sz w:val="24"/>
          <w:highlight w:val="none"/>
        </w:rPr>
        <w:t>顺序确定各投标人排序，原则上按照合理最低价选择中标厂家。</w:t>
      </w:r>
    </w:p>
    <w:p>
      <w:pPr>
        <w:spacing w:line="360" w:lineRule="auto"/>
        <w:ind w:firstLine="480" w:firstLineChars="200"/>
        <w:rPr>
          <w:rFonts w:hint="eastAsia"/>
          <w:sz w:val="24"/>
          <w:szCs w:val="24"/>
        </w:rPr>
      </w:pPr>
      <w:bookmarkStart w:id="151" w:name="_Toc129697470"/>
      <w:bookmarkStart w:id="152" w:name="_Toc92678127"/>
      <w:r>
        <w:rPr>
          <w:rFonts w:hint="eastAsia"/>
          <w:sz w:val="24"/>
          <w:szCs w:val="24"/>
        </w:rPr>
        <w:t>2.5.3评标委员会</w:t>
      </w:r>
      <w:bookmarkEnd w:id="151"/>
      <w:bookmarkEnd w:id="152"/>
    </w:p>
    <w:p>
      <w:pPr>
        <w:pStyle w:val="7"/>
        <w:adjustRightInd w:val="0"/>
        <w:snapToGrid w:val="0"/>
        <w:spacing w:before="72" w:beforeLines="30" w:after="50" w:line="360" w:lineRule="auto"/>
        <w:ind w:left="-3" w:firstLine="480" w:firstLineChars="200"/>
        <w:rPr>
          <w:rFonts w:ascii="宋体" w:hAnsi="宋体"/>
          <w:sz w:val="24"/>
        </w:rPr>
      </w:pPr>
      <w:r>
        <w:rPr>
          <w:rFonts w:hint="eastAsia" w:ascii="宋体" w:hAnsi="宋体"/>
          <w:sz w:val="24"/>
        </w:rPr>
        <w:t>评标委员会的组成见投标人须知前附表16项，评标委员会负责对投标文件进行审查、质疑、评标，提出书面评标报告，并向招标人推荐中标候选人排序名单。</w:t>
      </w:r>
    </w:p>
    <w:p>
      <w:pPr>
        <w:spacing w:line="360" w:lineRule="auto"/>
        <w:ind w:firstLine="480" w:firstLineChars="200"/>
        <w:rPr>
          <w:rFonts w:hint="eastAsia"/>
          <w:sz w:val="24"/>
          <w:szCs w:val="24"/>
        </w:rPr>
      </w:pPr>
      <w:bookmarkStart w:id="153" w:name="_Toc92678128"/>
      <w:bookmarkStart w:id="154" w:name="_Toc212369528"/>
      <w:bookmarkStart w:id="155" w:name="_Toc129697471"/>
      <w:r>
        <w:rPr>
          <w:rFonts w:hint="eastAsia"/>
          <w:sz w:val="24"/>
          <w:szCs w:val="24"/>
        </w:rPr>
        <w:t>2.5.4评标原则</w:t>
      </w:r>
      <w:bookmarkEnd w:id="153"/>
      <w:bookmarkEnd w:id="154"/>
      <w:bookmarkEnd w:id="155"/>
    </w:p>
    <w:p>
      <w:pPr>
        <w:spacing w:line="360" w:lineRule="auto"/>
        <w:ind w:left="-3" w:firstLine="480" w:firstLineChars="200"/>
        <w:jc w:val="left"/>
        <w:rPr>
          <w:rFonts w:hint="eastAsia" w:ascii="宋体" w:hAnsi="宋体"/>
          <w:sz w:val="24"/>
        </w:rPr>
      </w:pPr>
      <w:bookmarkStart w:id="156" w:name="_Toc212369529"/>
      <w:r>
        <w:rPr>
          <w:rFonts w:hint="eastAsia" w:ascii="宋体" w:hAnsi="宋体"/>
          <w:sz w:val="24"/>
        </w:rPr>
        <w:t>“公平、公正、科学、择优”为本次评标的基本原则，评标委员会按照这一原则的要求，公正、平等地对待各投标人。同时，在评标过程中恪守以下原则：</w:t>
      </w:r>
      <w:bookmarkEnd w:id="156"/>
    </w:p>
    <w:p>
      <w:pPr>
        <w:pStyle w:val="337"/>
        <w:numPr>
          <w:ilvl w:val="0"/>
          <w:numId w:val="23"/>
        </w:numPr>
        <w:ind w:left="714" w:leftChars="180" w:hanging="336" w:hangingChars="140"/>
        <w:rPr>
          <w:rFonts w:hint="eastAsia"/>
          <w:color w:val="auto"/>
        </w:rPr>
      </w:pPr>
      <w:r>
        <w:rPr>
          <w:rFonts w:hint="eastAsia"/>
          <w:color w:val="auto"/>
        </w:rPr>
        <w:t>客观性原则：评标委员会将严格按照招标文件要求的内容，对投标人的投标文件进行认真评审；评标委员会对投标文件的评审仅依据投标文件本身，而不依靠投标文件以外的任何因素；</w:t>
      </w:r>
    </w:p>
    <w:p>
      <w:pPr>
        <w:pStyle w:val="337"/>
        <w:numPr>
          <w:ilvl w:val="0"/>
          <w:numId w:val="23"/>
        </w:numPr>
        <w:ind w:left="714" w:leftChars="180" w:hanging="336" w:hangingChars="140"/>
        <w:rPr>
          <w:rFonts w:hint="eastAsia"/>
          <w:color w:val="auto"/>
        </w:rPr>
      </w:pPr>
      <w:r>
        <w:rPr>
          <w:rFonts w:hint="eastAsia"/>
          <w:color w:val="auto"/>
        </w:rPr>
        <w:t>统一性原则：评标委员会将按照统一的评标原则和评标办法，用同一标准进行评审。</w:t>
      </w:r>
    </w:p>
    <w:p>
      <w:pPr>
        <w:pStyle w:val="337"/>
        <w:numPr>
          <w:ilvl w:val="0"/>
          <w:numId w:val="23"/>
        </w:numPr>
        <w:ind w:left="714" w:leftChars="180" w:hanging="336" w:hangingChars="140"/>
        <w:rPr>
          <w:color w:val="auto"/>
        </w:rPr>
      </w:pPr>
      <w:r>
        <w:rPr>
          <w:rFonts w:hint="eastAsia"/>
          <w:color w:val="auto"/>
        </w:rPr>
        <w:t>独立性原则：评标工作在评标委员会内部独立进行，不受外界任何因素的干扰和影响。评标委员会成员对出具的评审意见承担个人责任。</w:t>
      </w:r>
    </w:p>
    <w:p>
      <w:pPr>
        <w:pStyle w:val="337"/>
        <w:numPr>
          <w:ilvl w:val="0"/>
          <w:numId w:val="23"/>
        </w:numPr>
        <w:ind w:left="714" w:leftChars="180" w:hanging="336" w:hangingChars="140"/>
        <w:rPr>
          <w:rFonts w:hint="eastAsia"/>
          <w:color w:val="auto"/>
        </w:rPr>
      </w:pPr>
      <w:r>
        <w:rPr>
          <w:rFonts w:hint="eastAsia"/>
          <w:color w:val="auto"/>
        </w:rPr>
        <w:t>保密性原则：招标人应当采取必要的措施，保证评标在严格保密的情况下进行。</w:t>
      </w:r>
    </w:p>
    <w:p>
      <w:pPr>
        <w:pStyle w:val="337"/>
        <w:numPr>
          <w:ilvl w:val="0"/>
          <w:numId w:val="23"/>
        </w:numPr>
        <w:ind w:left="714" w:leftChars="180" w:hanging="336" w:hangingChars="140"/>
        <w:rPr>
          <w:rFonts w:hint="eastAsia"/>
          <w:color w:val="auto"/>
        </w:rPr>
      </w:pPr>
      <w:r>
        <w:rPr>
          <w:rFonts w:hint="eastAsia"/>
          <w:color w:val="auto"/>
        </w:rPr>
        <w:t>综合性原则：评标委员会将综合分析、评审投标人的各项指标，而不以单项指标的优劣评定出中标人。</w:t>
      </w:r>
    </w:p>
    <w:p>
      <w:pPr>
        <w:spacing w:line="360" w:lineRule="auto"/>
        <w:ind w:firstLine="480" w:firstLineChars="200"/>
        <w:rPr>
          <w:rFonts w:hint="eastAsia"/>
          <w:sz w:val="24"/>
          <w:szCs w:val="24"/>
        </w:rPr>
      </w:pPr>
      <w:bookmarkStart w:id="157" w:name="_Toc129697472"/>
      <w:r>
        <w:rPr>
          <w:rFonts w:hint="eastAsia"/>
          <w:sz w:val="24"/>
          <w:szCs w:val="24"/>
        </w:rPr>
        <w:t>2.5.5出现下列情形之一，招标人有权否决所有投标人的投标，并终止招标</w:t>
      </w:r>
      <w:bookmarkEnd w:id="157"/>
      <w:r>
        <w:rPr>
          <w:rFonts w:hint="eastAsia"/>
          <w:sz w:val="24"/>
          <w:szCs w:val="24"/>
        </w:rPr>
        <w:t>：</w:t>
      </w:r>
    </w:p>
    <w:p>
      <w:pPr>
        <w:pStyle w:val="337"/>
        <w:ind w:left="714" w:leftChars="180" w:hanging="336" w:hangingChars="140"/>
        <w:rPr>
          <w:rFonts w:hint="eastAsia"/>
          <w:b/>
          <w:color w:val="auto"/>
        </w:rPr>
      </w:pPr>
      <w:r>
        <w:rPr>
          <w:rFonts w:hint="eastAsia"/>
          <w:color w:val="auto"/>
        </w:rPr>
        <w:t>（1）符合条件的投标人或者对招标文件做实质响应的投标人不足三家的。</w:t>
      </w:r>
    </w:p>
    <w:p>
      <w:pPr>
        <w:pStyle w:val="337"/>
        <w:ind w:left="714" w:leftChars="180" w:hanging="336" w:hangingChars="140"/>
        <w:rPr>
          <w:rFonts w:hint="eastAsia"/>
          <w:color w:val="auto"/>
        </w:rPr>
      </w:pPr>
      <w:r>
        <w:rPr>
          <w:rFonts w:hint="eastAsia"/>
          <w:color w:val="auto"/>
        </w:rPr>
        <w:t>（2）出现影响采购公正的违法、违规行为的；</w:t>
      </w:r>
    </w:p>
    <w:p>
      <w:pPr>
        <w:pStyle w:val="337"/>
        <w:ind w:left="714" w:leftChars="180" w:hanging="336" w:hangingChars="140"/>
        <w:rPr>
          <w:rFonts w:hint="eastAsia"/>
          <w:color w:val="auto"/>
        </w:rPr>
      </w:pPr>
      <w:r>
        <w:rPr>
          <w:rFonts w:hint="eastAsia"/>
          <w:color w:val="auto"/>
        </w:rPr>
        <w:t>（3）因重大变故，采购任务取消的；</w:t>
      </w:r>
    </w:p>
    <w:p>
      <w:pPr>
        <w:pStyle w:val="337"/>
        <w:ind w:left="714" w:leftChars="180" w:hanging="336" w:hangingChars="140"/>
        <w:rPr>
          <w:rFonts w:hint="eastAsia" w:hAnsi="Courier New"/>
          <w:color w:val="auto"/>
        </w:rPr>
      </w:pPr>
      <w:r>
        <w:rPr>
          <w:rFonts w:hint="eastAsia" w:hAnsi="Courier New"/>
          <w:color w:val="auto"/>
        </w:rPr>
        <w:t>（4）评标委员会经评审，认为所有投标都不符合招标文件要求的；</w:t>
      </w:r>
    </w:p>
    <w:p>
      <w:pPr>
        <w:pStyle w:val="337"/>
        <w:ind w:left="714" w:leftChars="180" w:hanging="336" w:hangingChars="140"/>
        <w:rPr>
          <w:rFonts w:hint="eastAsia"/>
          <w:color w:val="auto"/>
        </w:rPr>
      </w:pPr>
      <w:r>
        <w:rPr>
          <w:rFonts w:hint="eastAsia"/>
          <w:color w:val="auto"/>
        </w:rPr>
        <w:t>（5）招标人认为其他应终止招标的情形。</w:t>
      </w:r>
    </w:p>
    <w:p>
      <w:pPr>
        <w:spacing w:line="360" w:lineRule="auto"/>
        <w:ind w:firstLine="480" w:firstLineChars="200"/>
        <w:rPr>
          <w:rFonts w:hint="eastAsia"/>
          <w:sz w:val="24"/>
          <w:szCs w:val="24"/>
        </w:rPr>
      </w:pPr>
      <w:bookmarkStart w:id="158" w:name="_Toc129697473"/>
      <w:r>
        <w:rPr>
          <w:rFonts w:hint="eastAsia"/>
          <w:sz w:val="24"/>
          <w:szCs w:val="24"/>
        </w:rPr>
        <w:t>2.5.6投标人有下列情形之一，其投标将被视为废标，招标人将严格按照《中华人民共和国招标投标法》及相关法律、法规及规章制度的规定行使权利。投标人给招标人造成损失的，招标人有索赔的权利，投标人应予以赔偿。</w:t>
      </w:r>
      <w:bookmarkEnd w:id="158"/>
    </w:p>
    <w:p>
      <w:pPr>
        <w:pStyle w:val="337"/>
        <w:ind w:left="714" w:leftChars="180" w:hanging="336" w:hangingChars="140"/>
        <w:rPr>
          <w:rFonts w:hint="eastAsia"/>
          <w:color w:val="auto"/>
        </w:rPr>
      </w:pPr>
      <w:r>
        <w:rPr>
          <w:rFonts w:hint="eastAsia"/>
          <w:color w:val="auto"/>
        </w:rPr>
        <w:t>（1）投标人提供的有关资格、资质证明文件不合格、不真实或提供虚假投标材料；</w:t>
      </w:r>
    </w:p>
    <w:p>
      <w:pPr>
        <w:pStyle w:val="337"/>
        <w:ind w:left="714" w:leftChars="180" w:hanging="336" w:hangingChars="140"/>
        <w:rPr>
          <w:rFonts w:hint="eastAsia"/>
          <w:color w:val="auto"/>
        </w:rPr>
      </w:pPr>
      <w:r>
        <w:rPr>
          <w:rFonts w:hint="eastAsia"/>
          <w:color w:val="auto"/>
        </w:rPr>
        <w:t>（2）投标人在报价有效期内撤回投标；</w:t>
      </w:r>
    </w:p>
    <w:p>
      <w:pPr>
        <w:pStyle w:val="337"/>
        <w:ind w:left="714" w:leftChars="180" w:hanging="336" w:hangingChars="140"/>
        <w:rPr>
          <w:rFonts w:hint="eastAsia"/>
          <w:color w:val="auto"/>
        </w:rPr>
      </w:pPr>
      <w:r>
        <w:rPr>
          <w:rFonts w:hint="eastAsia"/>
          <w:color w:val="auto"/>
        </w:rPr>
        <w:t>（3）在整个评标过程中，投标人有企图影响评标结果公正性的任何活动；</w:t>
      </w:r>
    </w:p>
    <w:p>
      <w:pPr>
        <w:pStyle w:val="337"/>
        <w:ind w:left="714" w:leftChars="180" w:hanging="336" w:hangingChars="140"/>
        <w:rPr>
          <w:rFonts w:hint="eastAsia"/>
          <w:color w:val="auto"/>
        </w:rPr>
      </w:pPr>
      <w:r>
        <w:rPr>
          <w:rFonts w:hint="eastAsia"/>
          <w:color w:val="auto"/>
        </w:rPr>
        <w:t>（4）投标人以任何方式诋毁其他投标人；</w:t>
      </w:r>
    </w:p>
    <w:p>
      <w:pPr>
        <w:pStyle w:val="337"/>
        <w:ind w:left="714" w:leftChars="180" w:hanging="336" w:hangingChars="140"/>
        <w:rPr>
          <w:rFonts w:hint="eastAsia"/>
          <w:color w:val="auto"/>
        </w:rPr>
      </w:pPr>
      <w:r>
        <w:rPr>
          <w:rFonts w:hint="eastAsia"/>
          <w:color w:val="auto"/>
        </w:rPr>
        <w:t>（5）投标人串通投标；</w:t>
      </w:r>
    </w:p>
    <w:p>
      <w:pPr>
        <w:pStyle w:val="337"/>
        <w:ind w:left="714" w:leftChars="180" w:hanging="336" w:hangingChars="140"/>
        <w:rPr>
          <w:rFonts w:hint="eastAsia"/>
          <w:color w:val="auto"/>
        </w:rPr>
      </w:pPr>
      <w:r>
        <w:rPr>
          <w:rFonts w:hint="eastAsia"/>
          <w:color w:val="auto"/>
        </w:rPr>
        <w:t>（6）以他人名义投标或者以其他方式弄虚作假，骗取中标的；</w:t>
      </w:r>
    </w:p>
    <w:p>
      <w:pPr>
        <w:pStyle w:val="337"/>
        <w:ind w:left="714" w:leftChars="180" w:hanging="336" w:hangingChars="140"/>
        <w:rPr>
          <w:rFonts w:hint="eastAsia"/>
          <w:color w:val="auto"/>
        </w:rPr>
      </w:pPr>
      <w:r>
        <w:rPr>
          <w:rFonts w:hint="eastAsia"/>
          <w:color w:val="auto"/>
        </w:rPr>
        <w:t>（7）投标人被举报、检举，并经招标方查实无误的；</w:t>
      </w:r>
    </w:p>
    <w:p>
      <w:pPr>
        <w:pStyle w:val="337"/>
        <w:ind w:left="714" w:leftChars="180" w:hanging="336" w:hangingChars="140"/>
        <w:rPr>
          <w:rFonts w:hint="eastAsia"/>
          <w:color w:val="auto"/>
        </w:rPr>
      </w:pPr>
      <w:r>
        <w:rPr>
          <w:rFonts w:hint="eastAsia"/>
          <w:color w:val="auto"/>
        </w:rPr>
        <w:t>（8）不同单位的投标人负责人为同一人或者存在控股、管理关系的；</w:t>
      </w:r>
    </w:p>
    <w:p>
      <w:pPr>
        <w:spacing w:line="360" w:lineRule="auto"/>
        <w:ind w:left="714" w:leftChars="180" w:right="2" w:hanging="336" w:hangingChars="140"/>
        <w:rPr>
          <w:rFonts w:hint="eastAsia" w:ascii="宋体" w:hAnsi="宋体"/>
          <w:sz w:val="24"/>
          <w:szCs w:val="24"/>
        </w:rPr>
      </w:pPr>
      <w:r>
        <w:rPr>
          <w:rFonts w:hint="eastAsia" w:ascii="宋体" w:hAnsi="宋体"/>
          <w:sz w:val="24"/>
          <w:szCs w:val="24"/>
        </w:rPr>
        <w:t>（9）技术标评审后入围投标人少于3家；</w:t>
      </w:r>
    </w:p>
    <w:p>
      <w:pPr>
        <w:spacing w:line="360" w:lineRule="auto"/>
        <w:ind w:left="714" w:leftChars="180" w:right="2" w:hanging="336" w:hangingChars="140"/>
        <w:rPr>
          <w:rFonts w:hint="eastAsia" w:ascii="宋体" w:hAnsi="宋体"/>
          <w:sz w:val="24"/>
          <w:szCs w:val="24"/>
        </w:rPr>
      </w:pPr>
      <w:r>
        <w:rPr>
          <w:rFonts w:hint="eastAsia" w:ascii="宋体" w:hAnsi="宋体"/>
          <w:sz w:val="24"/>
          <w:szCs w:val="24"/>
        </w:rPr>
        <w:t>（10）不同投标人的投标文件异常一致或者投标报价呈规律性差异的；</w:t>
      </w:r>
    </w:p>
    <w:p>
      <w:pPr>
        <w:spacing w:line="360" w:lineRule="auto"/>
        <w:ind w:left="714" w:leftChars="180" w:right="2" w:hanging="336" w:hangingChars="140"/>
        <w:rPr>
          <w:rFonts w:hint="eastAsia" w:ascii="宋体" w:hAnsi="宋体"/>
          <w:sz w:val="24"/>
          <w:szCs w:val="24"/>
        </w:rPr>
      </w:pPr>
      <w:r>
        <w:rPr>
          <w:rFonts w:hint="eastAsia" w:ascii="宋体" w:hAnsi="宋体"/>
          <w:sz w:val="24"/>
          <w:szCs w:val="24"/>
        </w:rPr>
        <w:t>（11）中标人不按规定签订合同；</w:t>
      </w:r>
    </w:p>
    <w:p>
      <w:pPr>
        <w:spacing w:line="360" w:lineRule="auto"/>
        <w:ind w:left="714" w:leftChars="180" w:right="2" w:hanging="336" w:hangingChars="140"/>
        <w:rPr>
          <w:rFonts w:hint="eastAsia" w:ascii="宋体" w:hAnsi="宋体"/>
          <w:sz w:val="24"/>
          <w:szCs w:val="24"/>
        </w:rPr>
      </w:pPr>
      <w:r>
        <w:rPr>
          <w:rFonts w:hint="eastAsia" w:ascii="宋体" w:hAnsi="宋体"/>
          <w:sz w:val="24"/>
          <w:szCs w:val="24"/>
        </w:rPr>
        <w:t>（12）技术标出现报价的；</w:t>
      </w:r>
    </w:p>
    <w:p>
      <w:pPr>
        <w:spacing w:line="360" w:lineRule="auto"/>
        <w:ind w:left="714" w:leftChars="180" w:right="2" w:hanging="336" w:hangingChars="140"/>
        <w:rPr>
          <w:rFonts w:hint="eastAsia"/>
        </w:rPr>
      </w:pPr>
      <w:r>
        <w:rPr>
          <w:rFonts w:hint="eastAsia" w:ascii="宋体" w:hAnsi="宋体"/>
          <w:sz w:val="24"/>
          <w:szCs w:val="24"/>
        </w:rPr>
        <w:t>（13）法律、法规规定的其他情况。</w:t>
      </w:r>
    </w:p>
    <w:p>
      <w:pPr>
        <w:pStyle w:val="4"/>
        <w:spacing w:before="120"/>
        <w:ind w:firstLine="482"/>
      </w:pPr>
      <w:bookmarkStart w:id="159" w:name="_Toc9069"/>
      <w:bookmarkStart w:id="160" w:name="_Toc32020"/>
      <w:bookmarkStart w:id="161" w:name="_Toc24781"/>
      <w:r>
        <w:rPr>
          <w:rFonts w:hint="eastAsia"/>
        </w:rPr>
        <w:t>授予合同</w:t>
      </w:r>
      <w:bookmarkEnd w:id="159"/>
      <w:bookmarkEnd w:id="160"/>
      <w:bookmarkEnd w:id="161"/>
    </w:p>
    <w:p>
      <w:pPr>
        <w:pStyle w:val="7"/>
        <w:spacing w:after="0" w:line="360" w:lineRule="auto"/>
        <w:ind w:firstLine="480" w:firstLineChars="200"/>
        <w:rPr>
          <w:rFonts w:hint="eastAsia" w:ascii="宋体" w:hAnsi="宋体" w:cs="宋体"/>
          <w:sz w:val="24"/>
          <w:szCs w:val="24"/>
        </w:rPr>
      </w:pPr>
      <w:bookmarkStart w:id="162" w:name="_Toc129697475"/>
      <w:r>
        <w:rPr>
          <w:rFonts w:hint="eastAsia" w:ascii="宋体" w:hAnsi="宋体" w:cs="宋体"/>
          <w:sz w:val="24"/>
          <w:szCs w:val="24"/>
        </w:rPr>
        <w:t>2.6.1定标</w:t>
      </w:r>
      <w:bookmarkEnd w:id="162"/>
    </w:p>
    <w:p>
      <w:pPr>
        <w:pStyle w:val="7"/>
        <w:spacing w:after="0" w:line="360" w:lineRule="auto"/>
        <w:ind w:firstLine="480" w:firstLineChars="200"/>
        <w:rPr>
          <w:rFonts w:hint="eastAsia" w:ascii="宋体" w:hAnsi="宋体" w:cs="宋体"/>
          <w:sz w:val="24"/>
          <w:szCs w:val="24"/>
        </w:rPr>
      </w:pPr>
      <w:r>
        <w:rPr>
          <w:rFonts w:hint="eastAsia" w:ascii="仿宋" w:hAnsi="仿宋" w:eastAsia="仿宋" w:cs="仿宋"/>
          <w:sz w:val="24"/>
          <w:szCs w:val="24"/>
        </w:rPr>
        <w:t xml:space="preserve">⑴ </w:t>
      </w:r>
      <w:r>
        <w:rPr>
          <w:rFonts w:hint="eastAsia" w:ascii="宋体" w:hAnsi="宋体" w:cs="宋体"/>
          <w:sz w:val="24"/>
          <w:szCs w:val="24"/>
        </w:rPr>
        <w:t>招标人对评标委员会推荐的中标候选人进行审查。</w:t>
      </w:r>
    </w:p>
    <w:p>
      <w:pPr>
        <w:pStyle w:val="7"/>
        <w:spacing w:after="0" w:line="360" w:lineRule="auto"/>
        <w:ind w:firstLine="480" w:firstLineChars="200"/>
        <w:rPr>
          <w:rFonts w:hint="eastAsia" w:ascii="宋体" w:hAnsi="宋体" w:cs="宋体"/>
          <w:sz w:val="24"/>
          <w:szCs w:val="24"/>
        </w:rPr>
      </w:pPr>
      <w:r>
        <w:rPr>
          <w:rFonts w:hint="eastAsia" w:ascii="仿宋" w:hAnsi="仿宋" w:eastAsia="仿宋" w:cs="仿宋"/>
          <w:sz w:val="24"/>
          <w:szCs w:val="24"/>
        </w:rPr>
        <w:t xml:space="preserve">⑵ </w:t>
      </w:r>
      <w:r>
        <w:rPr>
          <w:rFonts w:hint="eastAsia" w:ascii="宋体" w:hAnsi="宋体" w:cs="宋体"/>
          <w:sz w:val="24"/>
          <w:szCs w:val="24"/>
        </w:rPr>
        <w:t>最终审查的对象是招标项目的中标候选人。</w:t>
      </w:r>
    </w:p>
    <w:p>
      <w:pPr>
        <w:pStyle w:val="7"/>
        <w:spacing w:after="0" w:line="360" w:lineRule="auto"/>
        <w:ind w:firstLine="480" w:firstLineChars="200"/>
        <w:rPr>
          <w:rFonts w:hint="eastAsia" w:ascii="宋体" w:hAnsi="宋体" w:cs="宋体"/>
          <w:sz w:val="24"/>
          <w:szCs w:val="24"/>
        </w:rPr>
      </w:pPr>
      <w:r>
        <w:rPr>
          <w:rFonts w:hint="eastAsia" w:ascii="仿宋" w:hAnsi="仿宋" w:eastAsia="仿宋" w:cs="仿宋"/>
          <w:sz w:val="24"/>
          <w:szCs w:val="24"/>
        </w:rPr>
        <w:t xml:space="preserve">⑶ </w:t>
      </w:r>
      <w:r>
        <w:rPr>
          <w:rFonts w:hint="eastAsia" w:ascii="宋体" w:hAnsi="宋体" w:cs="宋体"/>
          <w:sz w:val="24"/>
          <w:szCs w:val="24"/>
        </w:rPr>
        <w:t>最终审查的内容是对中标候选人所报货物的产品性能及性价比、安装方案、调试方案、技术状况、生产条件、产品质量、交付时间、投标人信誉以及招标人认为有必要了解的其它问题作进一步的审查或了解。</w:t>
      </w:r>
    </w:p>
    <w:p>
      <w:pPr>
        <w:pStyle w:val="7"/>
        <w:spacing w:after="0" w:line="360" w:lineRule="auto"/>
        <w:ind w:firstLine="480" w:firstLineChars="200"/>
        <w:rPr>
          <w:rFonts w:hint="eastAsia" w:ascii="宋体" w:hAnsi="宋体" w:cs="宋体"/>
          <w:sz w:val="24"/>
          <w:szCs w:val="24"/>
        </w:rPr>
      </w:pPr>
      <w:bookmarkStart w:id="163" w:name="_Toc129697476"/>
      <w:r>
        <w:rPr>
          <w:rFonts w:hint="eastAsia" w:ascii="宋体" w:hAnsi="宋体" w:cs="宋体"/>
          <w:sz w:val="24"/>
          <w:szCs w:val="24"/>
        </w:rPr>
        <w:t>2.6.2最终审查的方式：</w:t>
      </w:r>
      <w:bookmarkEnd w:id="163"/>
    </w:p>
    <w:p>
      <w:pPr>
        <w:pStyle w:val="7"/>
        <w:spacing w:after="0" w:line="360" w:lineRule="auto"/>
        <w:ind w:firstLine="480" w:firstLineChars="200"/>
        <w:rPr>
          <w:rFonts w:hint="eastAsia" w:ascii="宋体" w:hAnsi="宋体" w:cs="宋体"/>
          <w:sz w:val="24"/>
          <w:szCs w:val="24"/>
        </w:rPr>
      </w:pPr>
      <w:r>
        <w:rPr>
          <w:rFonts w:hint="eastAsia" w:ascii="宋体" w:hAnsi="宋体" w:cs="宋体"/>
          <w:sz w:val="24"/>
          <w:szCs w:val="24"/>
        </w:rPr>
        <w:t>对中标候选人进行询问或对中标候选人进行实地考察。</w:t>
      </w:r>
    </w:p>
    <w:p>
      <w:pPr>
        <w:pStyle w:val="7"/>
        <w:spacing w:after="0" w:line="360" w:lineRule="auto"/>
        <w:ind w:firstLine="480" w:firstLineChars="200"/>
        <w:rPr>
          <w:rFonts w:hint="eastAsia" w:ascii="宋体" w:hAnsi="宋体" w:cs="宋体"/>
          <w:sz w:val="24"/>
          <w:szCs w:val="24"/>
        </w:rPr>
      </w:pPr>
      <w:bookmarkStart w:id="164" w:name="_Toc129697477"/>
      <w:r>
        <w:rPr>
          <w:rFonts w:hint="eastAsia" w:ascii="宋体" w:hAnsi="宋体" w:cs="宋体"/>
          <w:sz w:val="24"/>
          <w:szCs w:val="24"/>
        </w:rPr>
        <w:t>2.6.3通过对中标候选人的最终审查确定中标人。</w:t>
      </w:r>
      <w:bookmarkEnd w:id="164"/>
    </w:p>
    <w:p>
      <w:pPr>
        <w:pStyle w:val="7"/>
        <w:spacing w:after="0" w:line="360" w:lineRule="auto"/>
        <w:ind w:firstLine="480" w:firstLineChars="200"/>
        <w:rPr>
          <w:rFonts w:hint="eastAsia" w:ascii="宋体" w:hAnsi="宋体" w:cs="宋体"/>
          <w:sz w:val="24"/>
          <w:szCs w:val="24"/>
        </w:rPr>
      </w:pPr>
      <w:bookmarkStart w:id="165" w:name="_Toc129697478"/>
      <w:r>
        <w:rPr>
          <w:rFonts w:hint="eastAsia" w:ascii="宋体" w:hAnsi="宋体" w:cs="宋体"/>
          <w:sz w:val="24"/>
          <w:szCs w:val="24"/>
        </w:rPr>
        <w:t>2.6.4招标人在授标时有变更数量的权利。</w:t>
      </w:r>
      <w:bookmarkEnd w:id="165"/>
    </w:p>
    <w:p>
      <w:pPr>
        <w:pStyle w:val="7"/>
        <w:spacing w:after="0" w:line="360" w:lineRule="auto"/>
        <w:ind w:firstLine="480" w:firstLineChars="200"/>
        <w:rPr>
          <w:rFonts w:hint="eastAsia" w:ascii="宋体" w:hAnsi="宋体" w:cs="宋体"/>
          <w:sz w:val="24"/>
          <w:szCs w:val="24"/>
        </w:rPr>
      </w:pPr>
      <w:r>
        <w:rPr>
          <w:rFonts w:hint="eastAsia" w:ascii="宋体" w:hAnsi="宋体" w:cs="宋体"/>
          <w:sz w:val="24"/>
          <w:szCs w:val="24"/>
        </w:rPr>
        <w:t>在向投标人授予中标通知书时，在保证采购设备规格型号不变的前提下招标人有变更数量的权利。</w:t>
      </w:r>
    </w:p>
    <w:p>
      <w:pPr>
        <w:pStyle w:val="7"/>
        <w:spacing w:after="0" w:line="360" w:lineRule="auto"/>
        <w:ind w:firstLine="480" w:firstLineChars="200"/>
        <w:rPr>
          <w:rFonts w:hint="eastAsia" w:ascii="宋体" w:hAnsi="宋体" w:cs="宋体"/>
          <w:sz w:val="24"/>
          <w:szCs w:val="24"/>
        </w:rPr>
      </w:pPr>
      <w:bookmarkStart w:id="166" w:name="_Toc129697479"/>
      <w:r>
        <w:rPr>
          <w:rFonts w:hint="eastAsia" w:ascii="宋体" w:hAnsi="宋体" w:cs="宋体"/>
          <w:sz w:val="24"/>
          <w:szCs w:val="24"/>
        </w:rPr>
        <w:t>2.6.5招标人接受和拒绝任何一个或所有投标的权利</w:t>
      </w:r>
      <w:bookmarkEnd w:id="166"/>
    </w:p>
    <w:p>
      <w:pPr>
        <w:pStyle w:val="7"/>
        <w:spacing w:after="0" w:line="360" w:lineRule="auto"/>
        <w:ind w:firstLine="480" w:firstLineChars="200"/>
        <w:rPr>
          <w:rFonts w:hint="eastAsia" w:ascii="宋体" w:hAnsi="宋体" w:cs="宋体"/>
          <w:sz w:val="24"/>
          <w:szCs w:val="24"/>
        </w:rPr>
      </w:pPr>
      <w:r>
        <w:rPr>
          <w:rFonts w:hint="eastAsia" w:ascii="宋体" w:hAnsi="宋体" w:cs="宋体"/>
          <w:sz w:val="24"/>
          <w:szCs w:val="24"/>
        </w:rPr>
        <w:t>招标人和买方在中标通知书发出之前任何时候仍有选择或拒绝任何投标人中标或宣布招标无效的权利。对受影响的投标人不承担任何责任，也无义务向受影响的投标人解释采取这一行动的理由。</w:t>
      </w:r>
    </w:p>
    <w:p>
      <w:pPr>
        <w:pStyle w:val="7"/>
        <w:spacing w:after="0" w:line="360" w:lineRule="auto"/>
        <w:ind w:firstLine="480" w:firstLineChars="200"/>
        <w:rPr>
          <w:rFonts w:hint="eastAsia" w:ascii="宋体" w:hAnsi="宋体" w:cs="宋体"/>
          <w:sz w:val="24"/>
          <w:szCs w:val="24"/>
        </w:rPr>
      </w:pPr>
      <w:bookmarkStart w:id="167" w:name="_Toc129697480"/>
      <w:r>
        <w:rPr>
          <w:rFonts w:hint="eastAsia" w:ascii="宋体" w:hAnsi="宋体" w:cs="宋体"/>
          <w:sz w:val="24"/>
          <w:szCs w:val="24"/>
        </w:rPr>
        <w:t>2.6.6中标通知</w:t>
      </w:r>
      <w:bookmarkEnd w:id="167"/>
    </w:p>
    <w:p>
      <w:pPr>
        <w:pStyle w:val="7"/>
        <w:spacing w:after="0" w:line="360" w:lineRule="auto"/>
        <w:ind w:firstLine="480" w:firstLineChars="200"/>
        <w:rPr>
          <w:rFonts w:hint="eastAsia" w:ascii="宋体" w:hAnsi="宋体" w:cs="宋体"/>
          <w:sz w:val="24"/>
          <w:szCs w:val="24"/>
        </w:rPr>
      </w:pPr>
      <w:bookmarkStart w:id="168" w:name="_Toc129697481"/>
      <w:r>
        <w:rPr>
          <w:rFonts w:hint="eastAsia" w:ascii="宋体" w:hAnsi="宋体" w:cs="宋体"/>
          <w:sz w:val="24"/>
          <w:szCs w:val="24"/>
        </w:rPr>
        <w:t>确定中标结果后，招标人向中标人签发《中标通知书》。</w:t>
      </w:r>
      <w:bookmarkEnd w:id="168"/>
      <w:bookmarkStart w:id="169" w:name="_Toc129697482"/>
      <w:r>
        <w:rPr>
          <w:rFonts w:hint="eastAsia" w:ascii="宋体" w:hAnsi="宋体" w:cs="宋体"/>
          <w:sz w:val="24"/>
          <w:szCs w:val="24"/>
        </w:rPr>
        <w:t>中标通知书将是合同的组成部分。</w:t>
      </w:r>
      <w:bookmarkEnd w:id="169"/>
    </w:p>
    <w:p>
      <w:pPr>
        <w:pStyle w:val="4"/>
        <w:spacing w:before="120"/>
        <w:ind w:left="718" w:leftChars="180" w:hanging="340" w:hangingChars="141"/>
        <w:rPr>
          <w:rFonts w:hint="eastAsia"/>
        </w:rPr>
      </w:pPr>
      <w:bookmarkStart w:id="170" w:name="_Toc28855"/>
      <w:bookmarkStart w:id="171" w:name="_Toc15031"/>
      <w:bookmarkStart w:id="172" w:name="_Toc13795"/>
      <w:r>
        <w:rPr>
          <w:rFonts w:hint="eastAsia"/>
        </w:rPr>
        <w:t>签订合同</w:t>
      </w:r>
      <w:bookmarkEnd w:id="170"/>
      <w:bookmarkEnd w:id="171"/>
      <w:bookmarkEnd w:id="172"/>
    </w:p>
    <w:p>
      <w:pPr>
        <w:pStyle w:val="7"/>
        <w:spacing w:after="0" w:line="360" w:lineRule="auto"/>
        <w:ind w:firstLine="480" w:firstLineChars="200"/>
        <w:rPr>
          <w:rFonts w:hint="eastAsia" w:ascii="宋体" w:hAnsi="宋体" w:cs="宋体"/>
          <w:sz w:val="24"/>
          <w:szCs w:val="24"/>
        </w:rPr>
      </w:pPr>
      <w:bookmarkStart w:id="173" w:name="_Toc129697484"/>
      <w:r>
        <w:rPr>
          <w:rFonts w:hint="eastAsia" w:ascii="宋体" w:hAnsi="宋体" w:cs="宋体"/>
          <w:sz w:val="24"/>
          <w:szCs w:val="24"/>
        </w:rPr>
        <w:t>2.7.1中标人应按中标通知书中规定的时间、地点与买方签订中标经济合同，否则按开标后撤回投标处理。</w:t>
      </w:r>
      <w:bookmarkEnd w:id="173"/>
    </w:p>
    <w:p>
      <w:pPr>
        <w:pStyle w:val="7"/>
        <w:spacing w:after="0" w:line="360" w:lineRule="auto"/>
        <w:ind w:firstLine="480" w:firstLineChars="200"/>
        <w:rPr>
          <w:rFonts w:hint="eastAsia" w:ascii="宋体" w:hAnsi="宋体" w:cs="宋体"/>
          <w:sz w:val="24"/>
          <w:szCs w:val="24"/>
        </w:rPr>
      </w:pPr>
      <w:bookmarkStart w:id="174" w:name="_Toc129697485"/>
      <w:r>
        <w:rPr>
          <w:rFonts w:hint="eastAsia" w:ascii="宋体" w:hAnsi="宋体" w:cs="宋体"/>
          <w:sz w:val="24"/>
          <w:szCs w:val="24"/>
        </w:rPr>
        <w:t>2.7.2招标文件、中标人的投标文件及评标过程中有关澄清文件均应作为合同附件。</w:t>
      </w:r>
      <w:bookmarkEnd w:id="174"/>
    </w:p>
    <w:p>
      <w:pPr>
        <w:pStyle w:val="7"/>
        <w:spacing w:after="0" w:line="360" w:lineRule="auto"/>
        <w:ind w:firstLine="480" w:firstLineChars="200"/>
        <w:rPr>
          <w:rFonts w:hint="eastAsia" w:ascii="宋体" w:hAnsi="宋体" w:cs="宋体"/>
          <w:sz w:val="24"/>
          <w:szCs w:val="24"/>
        </w:rPr>
      </w:pPr>
      <w:bookmarkStart w:id="175" w:name="_Toc129697486"/>
      <w:r>
        <w:rPr>
          <w:rFonts w:hint="eastAsia" w:ascii="宋体" w:hAnsi="宋体" w:cs="宋体"/>
          <w:sz w:val="24"/>
          <w:szCs w:val="24"/>
        </w:rPr>
        <w:t>2.7.3合同以双方最终签署的版本为准。</w:t>
      </w:r>
      <w:bookmarkEnd w:id="175"/>
    </w:p>
    <w:p>
      <w:pPr>
        <w:pStyle w:val="4"/>
        <w:spacing w:before="120"/>
        <w:ind w:firstLine="482"/>
      </w:pPr>
      <w:bookmarkStart w:id="176" w:name="_Toc21711"/>
      <w:bookmarkStart w:id="177" w:name="_Toc2886"/>
      <w:bookmarkStart w:id="178" w:name="_Toc26910"/>
      <w:r>
        <w:rPr>
          <w:rFonts w:hint="eastAsia"/>
        </w:rPr>
        <w:t>相关费用</w:t>
      </w:r>
      <w:bookmarkEnd w:id="176"/>
      <w:bookmarkEnd w:id="177"/>
      <w:bookmarkEnd w:id="178"/>
    </w:p>
    <w:p>
      <w:pPr>
        <w:pStyle w:val="7"/>
        <w:spacing w:after="0" w:line="360" w:lineRule="auto"/>
        <w:ind w:firstLine="480" w:firstLineChars="200"/>
        <w:rPr>
          <w:rFonts w:ascii="宋体" w:hAnsi="宋体"/>
          <w:sz w:val="24"/>
          <w:szCs w:val="24"/>
        </w:rPr>
      </w:pPr>
      <w:r>
        <w:rPr>
          <w:rFonts w:hint="eastAsia" w:ascii="宋体" w:hAnsi="宋体" w:cs="宋体"/>
          <w:sz w:val="24"/>
          <w:szCs w:val="24"/>
        </w:rPr>
        <w:t>本项目招标相关费用详见投标人须知前附表第19项。</w:t>
      </w:r>
    </w:p>
    <w:p>
      <w:pPr>
        <w:pStyle w:val="4"/>
        <w:spacing w:before="120"/>
        <w:ind w:firstLine="482"/>
      </w:pPr>
      <w:bookmarkStart w:id="179" w:name="_Toc6627"/>
      <w:bookmarkStart w:id="180" w:name="_Toc22194"/>
      <w:bookmarkStart w:id="181" w:name="_Toc18633"/>
      <w:r>
        <w:rPr>
          <w:rFonts w:hint="eastAsia"/>
        </w:rPr>
        <w:t>解释权</w:t>
      </w:r>
      <w:bookmarkEnd w:id="179"/>
      <w:bookmarkEnd w:id="180"/>
      <w:bookmarkEnd w:id="181"/>
    </w:p>
    <w:p>
      <w:pPr>
        <w:pStyle w:val="7"/>
        <w:spacing w:after="0" w:line="360" w:lineRule="auto"/>
        <w:ind w:firstLine="480" w:firstLineChars="200"/>
        <w:rPr>
          <w:rFonts w:hint="eastAsia" w:ascii="宋体" w:hAnsi="宋体" w:cs="宋体"/>
          <w:sz w:val="24"/>
          <w:szCs w:val="24"/>
        </w:rPr>
      </w:pPr>
      <w:r>
        <w:rPr>
          <w:rFonts w:hint="eastAsia" w:ascii="宋体" w:hAnsi="宋体" w:cs="宋体"/>
          <w:sz w:val="24"/>
          <w:szCs w:val="24"/>
        </w:rPr>
        <w:t>本招标文件的最终解释权归招标人，当对一个问题有多种解释时以招标人的书面解释为准。招标文件未做明示，而又有相关法律、法规规定的，招标人对此所做解释以相关的法律、法规规定为依据。</w:t>
      </w:r>
    </w:p>
    <w:p>
      <w:pPr>
        <w:pStyle w:val="4"/>
        <w:spacing w:before="120"/>
        <w:ind w:firstLine="482"/>
        <w:rPr>
          <w:rFonts w:hint="eastAsia" w:ascii="宋体" w:hAnsi="宋体" w:cs="宋体"/>
          <w:sz w:val="24"/>
          <w:szCs w:val="24"/>
        </w:rPr>
      </w:pPr>
      <w:r>
        <w:rPr>
          <w:rFonts w:hint="eastAsia" w:ascii="Times New Roman" w:hAnsi="Times New Roman" w:eastAsia="宋体" w:cs="Times New Roman"/>
          <w:b/>
          <w:bCs w:val="0"/>
        </w:rPr>
        <w:t>中标人瑕疵之后处理原则</w:t>
      </w:r>
    </w:p>
    <w:p>
      <w:pPr>
        <w:pStyle w:val="7"/>
        <w:spacing w:after="0" w:line="360" w:lineRule="auto"/>
        <w:ind w:firstLine="480" w:firstLineChars="200"/>
        <w:rPr>
          <w:rFonts w:ascii="宋体" w:hAnsi="宋体" w:cs="宋体"/>
          <w:sz w:val="24"/>
          <w:szCs w:val="24"/>
        </w:rPr>
      </w:pPr>
      <w:bookmarkStart w:id="182" w:name="_Toc500420375"/>
      <w:bookmarkStart w:id="183" w:name="_Toc500420293"/>
      <w:r>
        <w:rPr>
          <w:rFonts w:hint="eastAsia" w:ascii="宋体" w:hAnsi="宋体" w:cs="宋体"/>
          <w:sz w:val="24"/>
          <w:szCs w:val="24"/>
        </w:rPr>
        <w:t>无论基于何种原因，各项本应作为拒绝处理的情形即便未被及时发现而使该中标人通过了资格审核、初评、现场复审、终评或其他所有相关程序，包括已签订合同的情形，招标人均有权拒绝或取消中标人资格，一旦中标人被拒绝或该中标人此前的评议结果被取消，相关的一切损失均由该中标人承担。</w:t>
      </w:r>
    </w:p>
    <w:p>
      <w:pPr>
        <w:pStyle w:val="74"/>
        <w:spacing w:line="460" w:lineRule="exact"/>
        <w:rPr>
          <w:rFonts w:hint="eastAsia"/>
          <w:i/>
          <w:iCs/>
        </w:rPr>
      </w:pPr>
      <w:r>
        <w:rPr>
          <w:rFonts w:cs="宋体"/>
          <w:sz w:val="24"/>
          <w:szCs w:val="24"/>
        </w:rPr>
        <w:br w:type="page"/>
      </w:r>
      <w:bookmarkStart w:id="184" w:name="_Toc25382"/>
      <w:bookmarkStart w:id="185" w:name="_Toc16277"/>
      <w:bookmarkStart w:id="186" w:name="_Toc16986"/>
      <w:r>
        <w:rPr>
          <w:rFonts w:hint="eastAsia"/>
        </w:rPr>
        <w:t>评标方法</w:t>
      </w:r>
      <w:bookmarkEnd w:id="184"/>
      <w:bookmarkEnd w:id="185"/>
      <w:bookmarkEnd w:id="186"/>
    </w:p>
    <w:p>
      <w:pPr>
        <w:spacing w:line="360" w:lineRule="auto"/>
        <w:ind w:firstLine="480" w:firstLineChars="200"/>
        <w:rPr>
          <w:rFonts w:hint="eastAsia" w:ascii="宋体" w:hAnsi="宋体" w:cs="宋体"/>
          <w:sz w:val="24"/>
        </w:rPr>
      </w:pPr>
      <w:r>
        <w:rPr>
          <w:rFonts w:hint="eastAsia" w:ascii="宋体" w:hAnsi="宋体" w:cs="宋体"/>
          <w:sz w:val="24"/>
        </w:rPr>
        <w:t>本次评标采用技术标和商务标多轮招标的模式。首先进行技术标评审，由评标专家组对所有投标方的技术标进行综合评定和打分，确定进入商务标评审资格的投标方（技术标评分不带入商务标）；然后进行商务标评审，招标人有权根据项目情况，采取多轮评标模式，原则上按照合理</w:t>
      </w:r>
      <w:r>
        <w:rPr>
          <w:rFonts w:hint="eastAsia" w:ascii="宋体" w:hAnsi="宋体" w:cs="宋体"/>
          <w:color w:val="FF0000"/>
          <w:sz w:val="24"/>
        </w:rPr>
        <w:t>最低价选择中标厂家</w:t>
      </w:r>
      <w:r>
        <w:rPr>
          <w:rFonts w:hint="eastAsia" w:ascii="宋体" w:hAnsi="宋体" w:cs="宋体"/>
          <w:sz w:val="24"/>
        </w:rPr>
        <w:t>。评分细则如下：</w:t>
      </w:r>
    </w:p>
    <w:tbl>
      <w:tblPr>
        <w:tblStyle w:val="78"/>
        <w:tblpPr w:leftFromText="180" w:rightFromText="180" w:vertAnchor="text" w:horzAnchor="page" w:tblpX="1320" w:tblpY="242"/>
        <w:tblOverlap w:val="never"/>
        <w:tblW w:w="9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15"/>
        <w:gridCol w:w="7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82" w:type="dxa"/>
            <w:tcBorders>
              <w:top w:val="single" w:color="auto" w:sz="4" w:space="0"/>
              <w:left w:val="single" w:color="auto" w:sz="4" w:space="0"/>
              <w:bottom w:val="single" w:color="auto" w:sz="4" w:space="0"/>
              <w:right w:val="single" w:color="auto" w:sz="4" w:space="0"/>
            </w:tcBorders>
            <w:noWrap w:val="0"/>
            <w:vAlign w:val="center"/>
          </w:tcPr>
          <w:p>
            <w:pPr>
              <w:spacing w:after="200" w:line="360" w:lineRule="auto"/>
              <w:jc w:val="center"/>
              <w:rPr>
                <w:rFonts w:hint="eastAsia" w:ascii="宋体" w:hAnsi="宋体" w:cs="宋体"/>
                <w:sz w:val="24"/>
                <w:szCs w:val="24"/>
              </w:rPr>
            </w:pPr>
            <w:r>
              <w:rPr>
                <w:rFonts w:hint="eastAsia" w:ascii="宋体" w:hAnsi="宋体" w:cs="宋体"/>
                <w:sz w:val="24"/>
                <w:szCs w:val="24"/>
              </w:rPr>
              <w:t>得分项</w:t>
            </w:r>
          </w:p>
        </w:tc>
        <w:tc>
          <w:tcPr>
            <w:tcW w:w="8467" w:type="dxa"/>
            <w:gridSpan w:val="2"/>
            <w:tcBorders>
              <w:top w:val="single" w:color="auto" w:sz="4" w:space="0"/>
              <w:left w:val="single" w:color="auto" w:sz="4" w:space="0"/>
              <w:bottom w:val="single" w:color="auto" w:sz="4" w:space="0"/>
              <w:right w:val="single" w:color="auto" w:sz="4" w:space="0"/>
            </w:tcBorders>
            <w:noWrap w:val="0"/>
            <w:vAlign w:val="center"/>
          </w:tcPr>
          <w:p>
            <w:pPr>
              <w:spacing w:after="200" w:line="360" w:lineRule="auto"/>
              <w:jc w:val="center"/>
              <w:rPr>
                <w:rFonts w:hint="eastAsia" w:ascii="宋体" w:hAnsi="宋体" w:cs="宋体"/>
                <w:bCs/>
                <w:sz w:val="24"/>
                <w:szCs w:val="24"/>
              </w:rPr>
            </w:pPr>
            <w:r>
              <w:rPr>
                <w:rFonts w:hint="eastAsia" w:ascii="宋体" w:hAnsi="宋体" w:cs="宋体"/>
                <w:bCs/>
                <w:sz w:val="24"/>
                <w:szCs w:val="24"/>
              </w:rPr>
              <w:t>评审内容（共100分）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82" w:type="dxa"/>
            <w:vMerge w:val="restart"/>
            <w:noWrap w:val="0"/>
            <w:vAlign w:val="center"/>
          </w:tcPr>
          <w:p>
            <w:pPr>
              <w:spacing w:after="200" w:line="360" w:lineRule="auto"/>
              <w:jc w:val="center"/>
              <w:rPr>
                <w:rFonts w:hint="eastAsia" w:ascii="宋体" w:hAnsi="宋体" w:cs="宋体"/>
                <w:sz w:val="24"/>
                <w:szCs w:val="24"/>
              </w:rPr>
            </w:pPr>
            <w:r>
              <w:rPr>
                <w:rFonts w:hint="eastAsia" w:ascii="宋体" w:hAnsi="宋体" w:cs="宋体"/>
                <w:sz w:val="24"/>
                <w:szCs w:val="24"/>
              </w:rPr>
              <w:t>技术标</w:t>
            </w:r>
          </w:p>
          <w:p>
            <w:pPr>
              <w:pStyle w:val="7"/>
              <w:spacing w:line="360" w:lineRule="auto"/>
              <w:jc w:val="center"/>
              <w:rPr>
                <w:rFonts w:hint="eastAsia" w:ascii="宋体" w:hAnsi="宋体" w:cs="宋体"/>
                <w:sz w:val="24"/>
                <w:szCs w:val="24"/>
              </w:rPr>
            </w:pPr>
          </w:p>
        </w:tc>
        <w:tc>
          <w:tcPr>
            <w:tcW w:w="1215" w:type="dxa"/>
            <w:noWrap w:val="0"/>
            <w:vAlign w:val="center"/>
          </w:tcPr>
          <w:p>
            <w:pPr>
              <w:widowControl/>
              <w:spacing w:line="360" w:lineRule="auto"/>
              <w:jc w:val="center"/>
              <w:rPr>
                <w:rFonts w:hint="eastAsia" w:ascii="宋体" w:hAnsi="宋体"/>
                <w:spacing w:val="4"/>
                <w:sz w:val="20"/>
                <w:szCs w:val="20"/>
              </w:rPr>
            </w:pPr>
            <w:r>
              <w:rPr>
                <w:rFonts w:hint="eastAsia" w:ascii="宋体" w:hAnsi="宋体"/>
                <w:spacing w:val="4"/>
                <w:sz w:val="20"/>
                <w:szCs w:val="20"/>
              </w:rPr>
              <w:t>实施方案</w:t>
            </w:r>
          </w:p>
          <w:p>
            <w:pPr>
              <w:widowControl/>
              <w:spacing w:line="360" w:lineRule="auto"/>
              <w:jc w:val="center"/>
              <w:rPr>
                <w:rFonts w:hint="eastAsia"/>
                <w:sz w:val="20"/>
                <w:szCs w:val="20"/>
              </w:rPr>
            </w:pPr>
            <w:r>
              <w:rPr>
                <w:rFonts w:hint="eastAsia" w:ascii="宋体" w:hAnsi="宋体" w:cs="宋体"/>
                <w:sz w:val="20"/>
                <w:szCs w:val="20"/>
              </w:rPr>
              <w:t>2</w:t>
            </w:r>
            <w:r>
              <w:rPr>
                <w:rFonts w:ascii="宋体" w:hAnsi="宋体" w:cs="宋体"/>
                <w:sz w:val="20"/>
                <w:szCs w:val="20"/>
              </w:rPr>
              <w:t>0</w:t>
            </w:r>
            <w:r>
              <w:rPr>
                <w:rFonts w:hint="eastAsia" w:ascii="宋体" w:hAnsi="宋体" w:cs="宋体"/>
                <w:sz w:val="20"/>
                <w:szCs w:val="20"/>
              </w:rPr>
              <w:t>分</w:t>
            </w:r>
          </w:p>
        </w:tc>
        <w:tc>
          <w:tcPr>
            <w:tcW w:w="7252" w:type="dxa"/>
            <w:noWrap w:val="0"/>
            <w:vAlign w:val="center"/>
          </w:tcPr>
          <w:p>
            <w:pPr>
              <w:widowControl/>
              <w:spacing w:line="360" w:lineRule="auto"/>
              <w:ind w:firstLine="420" w:firstLineChars="200"/>
              <w:jc w:val="left"/>
              <w:textAlignment w:val="center"/>
              <w:rPr>
                <w:rFonts w:hint="eastAsia" w:ascii="宋体" w:hAnsi="宋体" w:cs="宋体"/>
                <w:sz w:val="20"/>
                <w:szCs w:val="20"/>
              </w:rPr>
            </w:pPr>
            <w:r>
              <w:rPr>
                <w:rFonts w:hint="eastAsia" w:ascii="宋体" w:hAnsi="宋体"/>
              </w:rPr>
              <w:t>1.根据方案的科学性、规范性、可行性打分，第一名得2</w:t>
            </w:r>
            <w:r>
              <w:rPr>
                <w:rFonts w:ascii="宋体" w:hAnsi="宋体"/>
              </w:rPr>
              <w:t>0分，第二名得</w:t>
            </w:r>
            <w:r>
              <w:rPr>
                <w:rFonts w:hint="eastAsia" w:ascii="宋体" w:hAnsi="宋体"/>
              </w:rPr>
              <w:t>15</w:t>
            </w:r>
            <w:r>
              <w:rPr>
                <w:rFonts w:ascii="宋体" w:hAnsi="宋体"/>
              </w:rPr>
              <w:t>分，第三名得</w:t>
            </w:r>
            <w:r>
              <w:rPr>
                <w:rFonts w:hint="eastAsia" w:ascii="宋体" w:hAnsi="宋体"/>
              </w:rPr>
              <w:t>1</w:t>
            </w:r>
            <w:r>
              <w:rPr>
                <w:rFonts w:ascii="宋体" w:hAnsi="宋体"/>
              </w:rPr>
              <w:t>0分，第四名得</w:t>
            </w:r>
            <w:r>
              <w:rPr>
                <w:rFonts w:hint="eastAsia" w:ascii="宋体" w:hAnsi="宋体"/>
              </w:rPr>
              <w:t>5</w:t>
            </w:r>
            <w:r>
              <w:rPr>
                <w:rFonts w:ascii="宋体" w:hAnsi="宋体"/>
              </w:rPr>
              <w:t>分，其余得0分。此项最多得</w:t>
            </w:r>
            <w:r>
              <w:rPr>
                <w:rFonts w:hint="eastAsia" w:ascii="宋体" w:hAnsi="宋体"/>
              </w:rPr>
              <w:t>2</w:t>
            </w:r>
            <w:r>
              <w:rPr>
                <w:rFonts w:ascii="宋体" w:hAnsi="宋体"/>
              </w:rPr>
              <w:t>0分，最低得0分。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982" w:type="dxa"/>
            <w:vMerge w:val="continue"/>
            <w:noWrap w:val="0"/>
            <w:vAlign w:val="center"/>
          </w:tcPr>
          <w:p>
            <w:pPr>
              <w:spacing w:after="200" w:line="360" w:lineRule="auto"/>
              <w:jc w:val="center"/>
              <w:rPr>
                <w:rFonts w:hint="eastAsia" w:ascii="宋体" w:hAnsi="宋体" w:cs="宋体"/>
                <w:sz w:val="24"/>
                <w:szCs w:val="24"/>
              </w:rPr>
            </w:pPr>
          </w:p>
        </w:tc>
        <w:tc>
          <w:tcPr>
            <w:tcW w:w="1215" w:type="dxa"/>
            <w:noWrap w:val="0"/>
            <w:vAlign w:val="center"/>
          </w:tcPr>
          <w:p>
            <w:pPr>
              <w:widowControl/>
              <w:spacing w:line="360" w:lineRule="auto"/>
              <w:jc w:val="center"/>
              <w:rPr>
                <w:rFonts w:hint="eastAsia" w:ascii="宋体" w:hAnsi="宋体" w:cs="宋体"/>
                <w:sz w:val="20"/>
                <w:szCs w:val="20"/>
              </w:rPr>
            </w:pPr>
            <w:r>
              <w:rPr>
                <w:rFonts w:hint="eastAsia" w:ascii="宋体" w:hAnsi="宋体" w:cs="宋体"/>
                <w:sz w:val="20"/>
                <w:szCs w:val="20"/>
              </w:rPr>
              <w:t>参数要求4</w:t>
            </w:r>
            <w:r>
              <w:rPr>
                <w:rFonts w:ascii="宋体" w:hAnsi="宋体" w:cs="宋体"/>
                <w:sz w:val="20"/>
                <w:szCs w:val="20"/>
              </w:rPr>
              <w:t>0</w:t>
            </w:r>
            <w:r>
              <w:rPr>
                <w:rFonts w:hint="eastAsia" w:ascii="宋体" w:hAnsi="宋体" w:cs="宋体"/>
                <w:sz w:val="20"/>
                <w:szCs w:val="20"/>
              </w:rPr>
              <w:t>分</w:t>
            </w:r>
          </w:p>
        </w:tc>
        <w:tc>
          <w:tcPr>
            <w:tcW w:w="7252" w:type="dxa"/>
            <w:noWrap w:val="0"/>
            <w:vAlign w:val="center"/>
          </w:tcPr>
          <w:p>
            <w:pPr>
              <w:widowControl/>
              <w:spacing w:line="360" w:lineRule="auto"/>
              <w:ind w:firstLine="420" w:firstLineChars="200"/>
              <w:jc w:val="left"/>
              <w:textAlignment w:val="center"/>
              <w:rPr>
                <w:rFonts w:hint="eastAsia" w:ascii="宋体" w:hAnsi="宋体" w:cs="宋体"/>
                <w:sz w:val="20"/>
                <w:szCs w:val="20"/>
              </w:rPr>
            </w:pPr>
            <w:r>
              <w:rPr>
                <w:rFonts w:hint="eastAsia" w:ascii="宋体" w:hAnsi="宋体"/>
              </w:rPr>
              <w:t>1.对技术协议书中产品指标（包括证明材料，功能截图，产品资质证书）进行评价：完全满足采购要求得4</w:t>
            </w:r>
            <w:r>
              <w:rPr>
                <w:rFonts w:ascii="宋体" w:hAnsi="宋体"/>
              </w:rPr>
              <w:t>0</w:t>
            </w:r>
            <w:r>
              <w:rPr>
                <w:rFonts w:hint="eastAsia" w:ascii="宋体" w:hAnsi="宋体"/>
              </w:rPr>
              <w:t>分，正偏离不加分，每存在一条负偏离扣2分，扣完为止。如技术指标中要求提供相关证明材料的，不提供或提供材料不符的视为不满足。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trPr>
        <w:tc>
          <w:tcPr>
            <w:tcW w:w="982" w:type="dxa"/>
            <w:vMerge w:val="continue"/>
            <w:noWrap w:val="0"/>
            <w:vAlign w:val="center"/>
          </w:tcPr>
          <w:p>
            <w:pPr>
              <w:spacing w:after="200" w:line="360" w:lineRule="auto"/>
              <w:jc w:val="center"/>
              <w:rPr>
                <w:rFonts w:hint="eastAsia" w:ascii="宋体" w:hAnsi="宋体" w:cs="宋体"/>
                <w:sz w:val="24"/>
                <w:szCs w:val="24"/>
              </w:rPr>
            </w:pPr>
          </w:p>
        </w:tc>
        <w:tc>
          <w:tcPr>
            <w:tcW w:w="1215" w:type="dxa"/>
            <w:noWrap w:val="0"/>
            <w:vAlign w:val="center"/>
          </w:tcPr>
          <w:p>
            <w:pPr>
              <w:spacing w:line="360" w:lineRule="auto"/>
              <w:jc w:val="center"/>
              <w:rPr>
                <w:rFonts w:hint="eastAsia" w:ascii="宋体" w:hAnsi="宋体" w:cs="宋体"/>
                <w:kern w:val="0"/>
                <w:sz w:val="20"/>
                <w:szCs w:val="20"/>
                <w:lang w:bidi="ar"/>
              </w:rPr>
            </w:pPr>
            <w:r>
              <w:rPr>
                <w:rFonts w:hint="eastAsia" w:ascii="宋体" w:hAnsi="宋体" w:cs="宋体"/>
                <w:kern w:val="0"/>
                <w:sz w:val="20"/>
                <w:szCs w:val="20"/>
                <w:lang w:bidi="ar"/>
              </w:rPr>
              <w:t>设备厂商实力10分</w:t>
            </w:r>
          </w:p>
        </w:tc>
        <w:tc>
          <w:tcPr>
            <w:tcW w:w="7252" w:type="dxa"/>
            <w:noWrap w:val="0"/>
            <w:vAlign w:val="center"/>
          </w:tcPr>
          <w:p>
            <w:pPr>
              <w:widowControl/>
              <w:spacing w:line="360" w:lineRule="auto"/>
              <w:ind w:firstLine="420" w:firstLineChars="200"/>
              <w:jc w:val="left"/>
              <w:textAlignment w:val="center"/>
              <w:rPr>
                <w:rFonts w:hint="eastAsia"/>
              </w:rPr>
            </w:pPr>
            <w:r>
              <w:rPr>
                <w:rFonts w:hint="eastAsia"/>
              </w:rPr>
              <w:t>1.所投防火墙设备厂家具备</w:t>
            </w:r>
            <w:r>
              <w:rPr>
                <w:rFonts w:hint="eastAsia" w:ascii="宋体" w:hAnsi="宋体" w:cs="宋体"/>
              </w:rPr>
              <w:t>2014年及以后至少连续八年入选Gartner企业防火墙魔力象限，</w:t>
            </w:r>
            <w:r>
              <w:rPr>
                <w:rFonts w:hint="eastAsia"/>
              </w:rPr>
              <w:t>提供证明材料并加盖原厂公章，得</w:t>
            </w:r>
            <w:r>
              <w:rPr>
                <w:rFonts w:hint="eastAsia"/>
                <w:lang w:val="en-US" w:eastAsia="zh-CN"/>
              </w:rPr>
              <w:t>3</w:t>
            </w:r>
            <w:r>
              <w:rPr>
                <w:rFonts w:hint="eastAsia"/>
              </w:rPr>
              <w:t>分；</w:t>
            </w:r>
          </w:p>
          <w:p>
            <w:pPr>
              <w:widowControl/>
              <w:spacing w:line="360" w:lineRule="auto"/>
              <w:ind w:firstLine="420" w:firstLineChars="200"/>
              <w:jc w:val="left"/>
              <w:textAlignment w:val="center"/>
              <w:rPr>
                <w:rFonts w:hint="eastAsia"/>
              </w:rPr>
            </w:pPr>
            <w:r>
              <w:rPr>
                <w:rFonts w:hint="eastAsia"/>
              </w:rPr>
              <w:t>2.所投入侵防御设备厂家具备中国网络安全审查技术与认证中心颁发的“信息安全服务资质认证证书：风险评估一级、安全运维一级、安全集成一级、应急处理一级”提供证明材料并加盖原厂公章，得</w:t>
            </w:r>
            <w:r>
              <w:rPr>
                <w:rFonts w:hint="eastAsia"/>
                <w:lang w:val="en-US" w:eastAsia="zh-CN"/>
              </w:rPr>
              <w:t>3</w:t>
            </w:r>
            <w:r>
              <w:rPr>
                <w:rFonts w:hint="eastAsia"/>
              </w:rPr>
              <w:t>分。</w:t>
            </w:r>
          </w:p>
          <w:p>
            <w:pPr>
              <w:spacing w:line="360" w:lineRule="auto"/>
              <w:ind w:firstLine="420" w:firstLineChars="200"/>
              <w:rPr>
                <w:rFonts w:hint="eastAsia"/>
              </w:rPr>
            </w:pPr>
            <w:r>
              <w:rPr>
                <w:rFonts w:hint="eastAsia"/>
                <w:lang w:val="en-US" w:eastAsia="zh-CN"/>
              </w:rPr>
              <w:t>3</w:t>
            </w:r>
            <w:r>
              <w:rPr>
                <w:rFonts w:hint="eastAsia"/>
              </w:rPr>
              <w:t>.所投态势感知设备厂家具备“隐私管理体系认证证书”提供证明材料并加盖原厂公章，得</w:t>
            </w:r>
            <w:r>
              <w:rPr>
                <w:rFonts w:hint="eastAsia"/>
                <w:lang w:val="en-US" w:eastAsia="zh-CN"/>
              </w:rPr>
              <w:t>4</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82" w:type="dxa"/>
            <w:vMerge w:val="continue"/>
            <w:noWrap w:val="0"/>
            <w:vAlign w:val="center"/>
          </w:tcPr>
          <w:p>
            <w:pPr>
              <w:spacing w:after="200" w:line="360" w:lineRule="auto"/>
              <w:jc w:val="center"/>
              <w:rPr>
                <w:rFonts w:hint="eastAsia" w:ascii="宋体" w:hAnsi="宋体" w:cs="宋体"/>
                <w:bCs/>
                <w:sz w:val="24"/>
                <w:szCs w:val="24"/>
              </w:rPr>
            </w:pPr>
          </w:p>
        </w:tc>
        <w:tc>
          <w:tcPr>
            <w:tcW w:w="1215" w:type="dxa"/>
            <w:noWrap w:val="0"/>
            <w:vAlign w:val="center"/>
          </w:tcPr>
          <w:p>
            <w:pPr>
              <w:pStyle w:val="22"/>
              <w:spacing w:line="360" w:lineRule="auto"/>
              <w:ind w:firstLine="0" w:firstLineChars="0"/>
              <w:jc w:val="center"/>
              <w:rPr>
                <w:rFonts w:hint="eastAsia" w:ascii="宋体" w:hAnsi="宋体" w:cs="宋体"/>
                <w:sz w:val="20"/>
                <w:szCs w:val="20"/>
              </w:rPr>
            </w:pPr>
            <w:r>
              <w:rPr>
                <w:rFonts w:hint="eastAsia" w:ascii="宋体" w:hAnsi="宋体" w:cs="宋体"/>
                <w:sz w:val="20"/>
                <w:szCs w:val="20"/>
              </w:rPr>
              <w:t>投标人实力</w:t>
            </w:r>
          </w:p>
          <w:p>
            <w:pPr>
              <w:pStyle w:val="22"/>
              <w:spacing w:line="360" w:lineRule="auto"/>
              <w:ind w:firstLine="0" w:firstLineChars="0"/>
              <w:jc w:val="center"/>
              <w:rPr>
                <w:rFonts w:ascii="宋体" w:hAnsi="宋体" w:cs="宋体"/>
                <w:sz w:val="20"/>
                <w:szCs w:val="20"/>
              </w:rPr>
            </w:pPr>
            <w:r>
              <w:rPr>
                <w:rFonts w:hint="eastAsia" w:ascii="宋体" w:hAnsi="宋体" w:cs="宋体"/>
                <w:sz w:val="20"/>
                <w:szCs w:val="20"/>
              </w:rPr>
              <w:t>10分</w:t>
            </w:r>
          </w:p>
        </w:tc>
        <w:tc>
          <w:tcPr>
            <w:tcW w:w="7252" w:type="dxa"/>
            <w:noWrap w:val="0"/>
            <w:vAlign w:val="center"/>
          </w:tcPr>
          <w:p>
            <w:pPr>
              <w:widowControl/>
              <w:spacing w:line="360" w:lineRule="auto"/>
              <w:ind w:firstLine="420" w:firstLineChars="200"/>
              <w:jc w:val="left"/>
              <w:textAlignment w:val="center"/>
              <w:rPr>
                <w:rFonts w:hint="eastAsia"/>
              </w:rPr>
            </w:pPr>
            <w:r>
              <w:rPr>
                <w:rFonts w:hint="eastAsia"/>
              </w:rPr>
              <w:t>1.投标人具有有效的“ISO20000信息技术服务管理体系认证证书”提供证明材料并加盖公章，得2分；</w:t>
            </w:r>
          </w:p>
          <w:p>
            <w:pPr>
              <w:widowControl/>
              <w:spacing w:line="360" w:lineRule="auto"/>
              <w:ind w:firstLine="420" w:firstLineChars="200"/>
              <w:jc w:val="left"/>
              <w:textAlignment w:val="center"/>
              <w:rPr>
                <w:rFonts w:hint="eastAsia"/>
              </w:rPr>
            </w:pPr>
            <w:r>
              <w:rPr>
                <w:rFonts w:hint="eastAsia"/>
              </w:rPr>
              <w:t>2.</w:t>
            </w:r>
            <w:r>
              <w:t>投标人具有有效的</w:t>
            </w:r>
            <w:r>
              <w:rPr>
                <w:rFonts w:hint="eastAsia"/>
              </w:rPr>
              <w:t>“</w:t>
            </w:r>
            <w:r>
              <w:t>ISO9001质量管理体系认证证书</w:t>
            </w:r>
            <w:r>
              <w:rPr>
                <w:rFonts w:hint="eastAsia"/>
              </w:rPr>
              <w:t>”提供证明材料并加盖公章，得2分；</w:t>
            </w:r>
          </w:p>
          <w:p>
            <w:pPr>
              <w:widowControl/>
              <w:spacing w:line="360" w:lineRule="auto"/>
              <w:ind w:firstLine="420" w:firstLineChars="200"/>
              <w:jc w:val="left"/>
              <w:textAlignment w:val="center"/>
              <w:rPr>
                <w:rFonts w:hint="eastAsia"/>
              </w:rPr>
            </w:pPr>
            <w:r>
              <w:rPr>
                <w:rFonts w:hint="eastAsia"/>
              </w:rPr>
              <w:t>3.</w:t>
            </w:r>
            <w:r>
              <w:t>投标人具有有效的</w:t>
            </w:r>
            <w:r>
              <w:rPr>
                <w:rFonts w:hint="eastAsia"/>
              </w:rPr>
              <w:t>“ISO27001信息安全管理体系认证证书”提供证明材料并加盖公章，得2分；</w:t>
            </w:r>
          </w:p>
          <w:p>
            <w:pPr>
              <w:pStyle w:val="54"/>
              <w:spacing w:line="360" w:lineRule="auto"/>
              <w:ind w:firstLine="420" w:firstLineChars="200"/>
            </w:pPr>
            <w:r>
              <w:rPr>
                <w:rFonts w:hint="eastAsia"/>
                <w:b w:val="0"/>
                <w:bCs w:val="0"/>
                <w:caps w:val="0"/>
                <w:sz w:val="21"/>
                <w:szCs w:val="21"/>
              </w:rPr>
              <w:t>4.投标人具有“智能安全运营管理系统”软件著作权或入网许可证提供证明材料并加盖公章，得2分；</w:t>
            </w:r>
          </w:p>
          <w:p>
            <w:pPr>
              <w:pStyle w:val="54"/>
              <w:spacing w:line="360" w:lineRule="auto"/>
              <w:ind w:firstLine="420" w:firstLineChars="200"/>
            </w:pPr>
            <w:r>
              <w:rPr>
                <w:rFonts w:hint="eastAsia"/>
                <w:b w:val="0"/>
                <w:bCs w:val="0"/>
                <w:caps w:val="0"/>
                <w:sz w:val="21"/>
                <w:szCs w:val="21"/>
              </w:rPr>
              <w:t>5.投标人具有“资产暴漏面管理系统”软件著作权或入网许可证提供证明材料并加盖公章，得2分；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982" w:type="dxa"/>
            <w:vMerge w:val="continue"/>
            <w:noWrap w:val="0"/>
            <w:vAlign w:val="center"/>
          </w:tcPr>
          <w:p>
            <w:pPr>
              <w:spacing w:after="200" w:line="360" w:lineRule="auto"/>
              <w:jc w:val="center"/>
              <w:rPr>
                <w:rFonts w:hint="eastAsia" w:ascii="宋体" w:hAnsi="宋体" w:cs="宋体"/>
                <w:bCs/>
                <w:sz w:val="24"/>
                <w:szCs w:val="24"/>
              </w:rPr>
            </w:pPr>
          </w:p>
        </w:tc>
        <w:tc>
          <w:tcPr>
            <w:tcW w:w="1215" w:type="dxa"/>
            <w:noWrap w:val="0"/>
            <w:vAlign w:val="center"/>
          </w:tcPr>
          <w:p>
            <w:pPr>
              <w:spacing w:line="360" w:lineRule="auto"/>
              <w:jc w:val="center"/>
              <w:rPr>
                <w:rFonts w:hint="eastAsia" w:ascii="宋体" w:hAnsi="宋体" w:cs="宋体"/>
                <w:sz w:val="20"/>
                <w:szCs w:val="20"/>
              </w:rPr>
            </w:pPr>
            <w:r>
              <w:rPr>
                <w:rFonts w:hint="eastAsia" w:ascii="宋体" w:hAnsi="宋体" w:cs="宋体"/>
                <w:kern w:val="0"/>
                <w:sz w:val="20"/>
                <w:szCs w:val="20"/>
                <w:lang w:bidi="ar"/>
              </w:rPr>
              <w:t>类似业绩 16</w:t>
            </w:r>
            <w:r>
              <w:rPr>
                <w:rFonts w:hint="eastAsia" w:ascii="宋体" w:hAnsi="宋体" w:cs="宋体"/>
                <w:sz w:val="20"/>
                <w:szCs w:val="20"/>
              </w:rPr>
              <w:t>分</w:t>
            </w:r>
          </w:p>
        </w:tc>
        <w:tc>
          <w:tcPr>
            <w:tcW w:w="7252" w:type="dxa"/>
            <w:noWrap w:val="0"/>
            <w:vAlign w:val="center"/>
          </w:tcPr>
          <w:p>
            <w:pPr>
              <w:spacing w:line="360" w:lineRule="auto"/>
              <w:ind w:firstLine="420" w:firstLineChars="200"/>
              <w:jc w:val="left"/>
              <w:rPr>
                <w:rFonts w:hint="eastAsia" w:ascii="宋体" w:hAnsi="宋体" w:cs="宋体"/>
                <w:sz w:val="20"/>
                <w:szCs w:val="20"/>
              </w:rPr>
            </w:pPr>
            <w:r>
              <w:rPr>
                <w:rFonts w:hint="eastAsia" w:ascii="宋体" w:hAnsi="宋体" w:cs="宋体"/>
                <w:kern w:val="0"/>
                <w:sz w:val="21"/>
                <w:szCs w:val="21"/>
                <w:lang w:bidi="ar"/>
              </w:rPr>
              <w:t>1.具有集团内同类产品成功类似业绩（合同额大于15万），每有1项加2分，最多加16分(必须提供合同原件或彩色扫描件,现场核验，否则不得分。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982" w:type="dxa"/>
            <w:vMerge w:val="continue"/>
            <w:noWrap w:val="0"/>
            <w:vAlign w:val="center"/>
          </w:tcPr>
          <w:p>
            <w:pPr>
              <w:spacing w:after="200" w:line="360" w:lineRule="auto"/>
              <w:jc w:val="center"/>
              <w:rPr>
                <w:rFonts w:hint="eastAsia" w:ascii="宋体" w:hAnsi="宋体" w:cs="宋体"/>
                <w:bCs/>
                <w:sz w:val="24"/>
                <w:szCs w:val="24"/>
              </w:rPr>
            </w:pPr>
          </w:p>
        </w:tc>
        <w:tc>
          <w:tcPr>
            <w:tcW w:w="1215" w:type="dxa"/>
            <w:noWrap w:val="0"/>
            <w:vAlign w:val="center"/>
          </w:tcPr>
          <w:p>
            <w:pPr>
              <w:spacing w:line="360" w:lineRule="auto"/>
              <w:jc w:val="center"/>
              <w:rPr>
                <w:rFonts w:hint="eastAsia" w:ascii="宋体" w:hAnsi="宋体" w:cs="宋体"/>
                <w:sz w:val="20"/>
                <w:szCs w:val="20"/>
              </w:rPr>
            </w:pPr>
            <w:r>
              <w:rPr>
                <w:rFonts w:hint="eastAsia" w:ascii="宋体" w:hAnsi="宋体" w:cs="宋体"/>
                <w:kern w:val="0"/>
                <w:sz w:val="20"/>
                <w:szCs w:val="20"/>
                <w:lang w:bidi="ar"/>
              </w:rPr>
              <w:t>培训服务 4</w:t>
            </w:r>
            <w:r>
              <w:rPr>
                <w:rFonts w:hint="eastAsia" w:ascii="宋体" w:hAnsi="宋体" w:cs="宋体"/>
                <w:sz w:val="20"/>
                <w:szCs w:val="20"/>
              </w:rPr>
              <w:t>分</w:t>
            </w:r>
          </w:p>
        </w:tc>
        <w:tc>
          <w:tcPr>
            <w:tcW w:w="7252" w:type="dxa"/>
            <w:noWrap w:val="0"/>
            <w:vAlign w:val="center"/>
          </w:tcPr>
          <w:p>
            <w:pPr>
              <w:widowControl/>
              <w:spacing w:line="360" w:lineRule="auto"/>
              <w:ind w:firstLine="420" w:firstLineChars="200"/>
              <w:rPr>
                <w:rFonts w:ascii="宋体" w:hAnsi="宋体" w:cs="宋体"/>
                <w:sz w:val="20"/>
                <w:szCs w:val="20"/>
              </w:rPr>
            </w:pPr>
            <w:r>
              <w:rPr>
                <w:rFonts w:hint="eastAsia" w:ascii="宋体" w:hAnsi="宋体"/>
              </w:rPr>
              <w:t>1</w:t>
            </w:r>
            <w:r>
              <w:rPr>
                <w:rFonts w:ascii="宋体" w:hAnsi="宋体"/>
              </w:rPr>
              <w:t>.</w:t>
            </w:r>
            <w:r>
              <w:rPr>
                <w:rFonts w:hint="eastAsia" w:ascii="宋体" w:hAnsi="宋体"/>
              </w:rPr>
              <w:t>承诺提供专业的网络安全相关培训，需说明培训形式、时间、人数。根据培训的力度和人数，每提供</w:t>
            </w:r>
            <w:r>
              <w:rPr>
                <w:rFonts w:ascii="宋体" w:hAnsi="宋体"/>
              </w:rPr>
              <w:t>1</w:t>
            </w:r>
            <w:r>
              <w:rPr>
                <w:rFonts w:hint="eastAsia" w:ascii="宋体" w:hAnsi="宋体"/>
              </w:rPr>
              <w:t>人/次得2分，最高4分，提供针对本项目的培训承诺书有效。</w:t>
            </w:r>
          </w:p>
        </w:tc>
      </w:tr>
    </w:tbl>
    <w:p>
      <w:pPr>
        <w:pStyle w:val="22"/>
      </w:pPr>
    </w:p>
    <w:p>
      <w:pPr>
        <w:spacing w:line="460" w:lineRule="exact"/>
        <w:rPr>
          <w:rFonts w:ascii="宋体" w:hAnsi="宋体" w:cs="宋体"/>
          <w:kern w:val="0"/>
          <w:sz w:val="24"/>
        </w:rPr>
      </w:pPr>
      <w:r>
        <w:rPr>
          <w:rFonts w:hint="eastAsia" w:ascii="宋体" w:hAnsi="宋体"/>
          <w:b/>
          <w:bCs/>
          <w:sz w:val="24"/>
          <w:szCs w:val="24"/>
        </w:rPr>
        <w:t>注：</w:t>
      </w:r>
      <w:r>
        <w:rPr>
          <w:rFonts w:hint="eastAsia" w:ascii="宋体" w:hAnsi="宋体" w:cs="宋体"/>
          <w:kern w:val="0"/>
          <w:sz w:val="24"/>
        </w:rPr>
        <w:t>投标人综合评审得分取所有评委对该投标人计分之和的算术平均值，最终得分小数点后保留2位有效数字，</w:t>
      </w:r>
      <w:r>
        <w:rPr>
          <w:rFonts w:hint="eastAsia" w:ascii="宋体" w:hAnsi="宋体" w:cs="宋体"/>
          <w:sz w:val="24"/>
          <w:szCs w:val="24"/>
        </w:rPr>
        <w:t>第3位四舍五入</w:t>
      </w:r>
      <w:r>
        <w:rPr>
          <w:rFonts w:hint="eastAsia" w:ascii="宋体" w:hAnsi="宋体" w:cs="宋体"/>
          <w:kern w:val="0"/>
          <w:sz w:val="24"/>
        </w:rPr>
        <w:t>。</w:t>
      </w:r>
    </w:p>
    <w:p>
      <w:pPr>
        <w:pStyle w:val="22"/>
      </w:pPr>
    </w:p>
    <w:p/>
    <w:p>
      <w:pPr>
        <w:pStyle w:val="22"/>
      </w:pPr>
    </w:p>
    <w:p>
      <w:pPr>
        <w:rPr>
          <w:rFonts w:hint="eastAsia"/>
        </w:rPr>
      </w:pPr>
    </w:p>
    <w:p>
      <w:pPr>
        <w:pStyle w:val="22"/>
        <w:ind w:firstLine="480"/>
        <w:rPr>
          <w:rFonts w:hint="eastAsia" w:ascii="宋体" w:hAnsi="宋体"/>
          <w:sz w:val="24"/>
          <w:szCs w:val="24"/>
        </w:rPr>
      </w:pPr>
    </w:p>
    <w:p>
      <w:pPr>
        <w:pStyle w:val="74"/>
        <w:rPr>
          <w:rFonts w:hint="eastAsia"/>
        </w:rPr>
      </w:pPr>
      <w:r>
        <w:br w:type="page"/>
      </w:r>
      <w:bookmarkStart w:id="187" w:name="_Toc4760"/>
      <w:bookmarkStart w:id="188" w:name="_Toc16286"/>
      <w:bookmarkStart w:id="189" w:name="_Toc27723"/>
      <w:r>
        <w:rPr>
          <w:rFonts w:hint="eastAsia"/>
        </w:rPr>
        <w:t>技术规格及技术要求</w:t>
      </w:r>
      <w:bookmarkEnd w:id="187"/>
      <w:bookmarkEnd w:id="188"/>
      <w:bookmarkEnd w:id="189"/>
    </w:p>
    <w:bookmarkEnd w:id="182"/>
    <w:bookmarkEnd w:id="183"/>
    <w:p>
      <w:pPr>
        <w:jc w:val="center"/>
        <w:rPr>
          <w:rFonts w:ascii="宋体" w:hAnsi="宋体" w:cs="宋体"/>
          <w:b/>
          <w:bCs/>
          <w:sz w:val="40"/>
          <w:szCs w:val="40"/>
        </w:rPr>
      </w:pPr>
      <w:bookmarkStart w:id="190" w:name="_Toc283814116"/>
    </w:p>
    <w:tbl>
      <w:tblPr>
        <w:tblStyle w:val="7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805"/>
        <w:gridCol w:w="7098"/>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noWrap w:val="0"/>
            <w:vAlign w:val="top"/>
          </w:tcPr>
          <w:p>
            <w:pPr>
              <w:spacing w:after="200" w:line="276" w:lineRule="auto"/>
              <w:jc w:val="center"/>
              <w:rPr>
                <w:rFonts w:ascii="宋体" w:hAnsi="宋体" w:cs="宋体"/>
              </w:rPr>
            </w:pPr>
            <w:r>
              <w:rPr>
                <w:rFonts w:hint="eastAsia" w:ascii="宋体" w:hAnsi="宋体" w:cs="宋体"/>
              </w:rPr>
              <w:t>序号</w:t>
            </w:r>
          </w:p>
        </w:tc>
        <w:tc>
          <w:tcPr>
            <w:tcW w:w="433" w:type="pct"/>
            <w:noWrap w:val="0"/>
            <w:vAlign w:val="top"/>
          </w:tcPr>
          <w:p>
            <w:pPr>
              <w:spacing w:after="200" w:line="276" w:lineRule="auto"/>
              <w:jc w:val="center"/>
              <w:rPr>
                <w:rFonts w:ascii="宋体" w:hAnsi="宋体" w:cs="宋体"/>
              </w:rPr>
            </w:pPr>
            <w:r>
              <w:rPr>
                <w:rFonts w:hint="eastAsia" w:ascii="宋体" w:hAnsi="宋体" w:cs="宋体"/>
              </w:rPr>
              <w:t>产品名称</w:t>
            </w:r>
          </w:p>
        </w:tc>
        <w:tc>
          <w:tcPr>
            <w:tcW w:w="3819" w:type="pct"/>
            <w:noWrap w:val="0"/>
            <w:vAlign w:val="top"/>
          </w:tcPr>
          <w:p>
            <w:pPr>
              <w:spacing w:after="200" w:line="276" w:lineRule="auto"/>
              <w:jc w:val="left"/>
              <w:rPr>
                <w:rFonts w:ascii="宋体" w:hAnsi="宋体" w:cs="宋体"/>
              </w:rPr>
            </w:pPr>
            <w:r>
              <w:rPr>
                <w:rFonts w:hint="eastAsia" w:ascii="宋体" w:hAnsi="宋体" w:cs="宋体"/>
              </w:rPr>
              <w:t>产品描述</w:t>
            </w:r>
          </w:p>
        </w:tc>
        <w:tc>
          <w:tcPr>
            <w:tcW w:w="461" w:type="pct"/>
            <w:noWrap w:val="0"/>
            <w:vAlign w:val="top"/>
          </w:tcPr>
          <w:p>
            <w:pPr>
              <w:spacing w:after="200" w:line="276" w:lineRule="auto"/>
              <w:jc w:val="center"/>
              <w:rPr>
                <w:rFonts w:ascii="宋体" w:hAnsi="宋体" w:cs="宋体"/>
              </w:rPr>
            </w:pPr>
            <w:r>
              <w:rPr>
                <w:rFonts w:hint="eastAsia" w:ascii="宋体" w:hAnsi="宋体" w:cs="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noWrap w:val="0"/>
            <w:vAlign w:val="top"/>
          </w:tcPr>
          <w:p>
            <w:pPr>
              <w:spacing w:after="200" w:line="276" w:lineRule="auto"/>
              <w:jc w:val="center"/>
              <w:rPr>
                <w:rFonts w:ascii="宋体" w:hAnsi="宋体" w:cs="宋体"/>
              </w:rPr>
            </w:pPr>
            <w:r>
              <w:rPr>
                <w:rFonts w:hint="eastAsia" w:ascii="宋体" w:hAnsi="宋体" w:cs="宋体"/>
              </w:rPr>
              <w:t>1</w:t>
            </w:r>
          </w:p>
        </w:tc>
        <w:tc>
          <w:tcPr>
            <w:tcW w:w="433" w:type="pct"/>
            <w:noWrap w:val="0"/>
            <w:vAlign w:val="top"/>
          </w:tcPr>
          <w:p>
            <w:pPr>
              <w:spacing w:after="200" w:line="276" w:lineRule="auto"/>
              <w:rPr>
                <w:rFonts w:ascii="宋体" w:hAnsi="宋体" w:cs="宋体"/>
              </w:rPr>
            </w:pPr>
            <w:r>
              <w:rPr>
                <w:rFonts w:hint="eastAsia" w:ascii="宋体" w:hAnsi="宋体" w:cs="宋体"/>
              </w:rPr>
              <w:t>下一代防火墙</w:t>
            </w:r>
          </w:p>
        </w:tc>
        <w:tc>
          <w:tcPr>
            <w:tcW w:w="3819" w:type="pct"/>
            <w:noWrap w:val="0"/>
            <w:vAlign w:val="top"/>
          </w:tcPr>
          <w:p>
            <w:pPr>
              <w:spacing w:after="200" w:line="276" w:lineRule="auto"/>
              <w:rPr>
                <w:rFonts w:ascii="宋体" w:hAnsi="宋体" w:cs="宋体"/>
                <w:b/>
                <w:bCs/>
                <w:sz w:val="24"/>
                <w:szCs w:val="24"/>
              </w:rPr>
            </w:pPr>
            <w:r>
              <w:rPr>
                <w:rFonts w:hint="eastAsia" w:ascii="宋体" w:hAnsi="宋体" w:cs="宋体"/>
                <w:b/>
                <w:bCs/>
                <w:sz w:val="24"/>
                <w:szCs w:val="24"/>
              </w:rPr>
              <w:t>基础要求：</w:t>
            </w:r>
          </w:p>
          <w:p>
            <w:pPr>
              <w:spacing w:after="200" w:line="276" w:lineRule="auto"/>
              <w:ind w:firstLine="420" w:firstLineChars="200"/>
              <w:rPr>
                <w:rFonts w:ascii="宋体" w:hAnsi="宋体" w:cs="宋体"/>
              </w:rPr>
            </w:pPr>
            <w:r>
              <w:rPr>
                <w:rFonts w:hint="eastAsia" w:ascii="宋体" w:hAnsi="宋体" w:cs="宋体"/>
              </w:rPr>
              <w:t xml:space="preserve"> 网络吞吐量不少于 6Gbps，不少于2 个万兆光口、8 个千兆电口、8 个千兆光口。实配IPSec_vpn用户同时在线≥20个，SSL VPN ≥</w:t>
            </w:r>
            <w:r>
              <w:rPr>
                <w:rFonts w:ascii="宋体" w:hAnsi="宋体" w:cs="宋体"/>
              </w:rPr>
              <w:t>300</w:t>
            </w:r>
            <w:r>
              <w:rPr>
                <w:rFonts w:hint="eastAsia" w:ascii="宋体" w:hAnsi="宋体" w:cs="宋体"/>
              </w:rPr>
              <w:t>个。实际配置AV防病毒、C2僵尸网络防御、IP信誉库、链路负载、应用负载、虚拟路由器、虚拟交换机、SSL VPN、IPSEC VPN、上网行为审计、轻量级云沙箱检测功能模块，提供维保期限内的特征库升级授权。</w:t>
            </w:r>
          </w:p>
          <w:p>
            <w:pPr>
              <w:spacing w:after="200" w:line="276" w:lineRule="auto"/>
              <w:rPr>
                <w:rFonts w:ascii="宋体" w:hAnsi="宋体" w:cs="宋体"/>
                <w:b/>
                <w:bCs/>
                <w:sz w:val="24"/>
                <w:szCs w:val="24"/>
              </w:rPr>
            </w:pPr>
            <w:r>
              <w:rPr>
                <w:rFonts w:hint="eastAsia" w:ascii="宋体" w:hAnsi="宋体" w:cs="宋体"/>
                <w:b/>
                <w:bCs/>
                <w:sz w:val="24"/>
                <w:szCs w:val="24"/>
              </w:rPr>
              <w:t>功能要求：</w:t>
            </w:r>
          </w:p>
          <w:p>
            <w:pPr>
              <w:spacing w:after="200" w:line="276" w:lineRule="auto"/>
              <w:ind w:firstLine="420" w:firstLineChars="200"/>
              <w:rPr>
                <w:rFonts w:ascii="宋体" w:hAnsi="宋体" w:cs="宋体"/>
              </w:rPr>
            </w:pPr>
            <w:r>
              <w:rPr>
                <w:rFonts w:hint="eastAsia" w:ascii="宋体" w:hAnsi="宋体" w:cs="宋体"/>
              </w:rPr>
              <w:t>★1、支持定制开发加入集团的防火墙集中管理平台，具备访问控制(根据会话状态信息为数据流提供明确的允许/拒绝访问的能力，控制粒度为端口级</w:t>
            </w:r>
            <w:r>
              <w:rPr>
                <w:rFonts w:hint="eastAsia" w:ascii="宋体" w:hAnsi="宋体" w:cs="宋体"/>
                <w:lang w:eastAsia="zh-CN"/>
              </w:rPr>
              <w:t>；</w:t>
            </w:r>
            <w:r>
              <w:rPr>
                <w:rFonts w:hint="eastAsia" w:ascii="宋体" w:hAnsi="宋体" w:cs="宋体"/>
              </w:rPr>
              <w:t>应对进出网络的信息内容进行过滤实现对应用层 HTTP、FTP、TELNET、SMTP、POP3 等协议</w:t>
            </w:r>
            <w:r>
              <w:rPr>
                <w:rFonts w:hint="eastAsia" w:ascii="宋体" w:hAnsi="宋体" w:cs="宋体"/>
                <w:lang w:val="en-US" w:eastAsia="zh-CN"/>
              </w:rPr>
              <w:t>命令</w:t>
            </w:r>
            <w:r>
              <w:rPr>
                <w:rFonts w:hint="eastAsia" w:ascii="宋体" w:hAnsi="宋体" w:cs="宋体"/>
              </w:rPr>
              <w:t xml:space="preserve">级的控制)、具备抗 DDOS、零信任访问控制、应用识别与控制僵尸主机检测与控制、URL 和域名访问控制、互联网恶意 IP </w:t>
            </w:r>
            <w:r>
              <w:rPr>
                <w:rFonts w:hint="eastAsia" w:ascii="宋体" w:hAnsi="宋体" w:cs="宋体"/>
                <w:lang w:val="en-US" w:eastAsia="zh-CN"/>
              </w:rPr>
              <w:t>阻</w:t>
            </w:r>
            <w:r>
              <w:rPr>
                <w:rFonts w:hint="eastAsia" w:ascii="宋体" w:hAnsi="宋体" w:cs="宋体"/>
              </w:rPr>
              <w:t>断功能。提供功能截图并加盖原厂公章。</w:t>
            </w:r>
          </w:p>
          <w:p>
            <w:pPr>
              <w:spacing w:after="200" w:line="276" w:lineRule="auto"/>
              <w:ind w:firstLine="420" w:firstLineChars="200"/>
              <w:rPr>
                <w:rFonts w:ascii="宋体" w:hAnsi="宋体" w:cs="宋体"/>
              </w:rPr>
            </w:pPr>
            <w:r>
              <w:rPr>
                <w:rFonts w:hint="eastAsia" w:ascii="宋体" w:hAnsi="宋体" w:cs="宋体"/>
              </w:rPr>
              <w:t>2、网络适应性：支持双机部署。支持孪生模式部署，支持配置同步、会话同步，提供更优化的流量数据转发功能，解决非对称流量问题，要求提供信息产业信息安全测评中心出具的功能检测报告。支持通过VLAN标签转换方式实现二层旁挂引流部署；提供功能截图并加盖原厂公章。</w:t>
            </w:r>
          </w:p>
          <w:p>
            <w:pPr>
              <w:spacing w:after="200" w:line="276" w:lineRule="auto"/>
              <w:ind w:firstLine="420" w:firstLineChars="200"/>
              <w:rPr>
                <w:rFonts w:ascii="宋体" w:hAnsi="宋体" w:cs="宋体"/>
              </w:rPr>
            </w:pPr>
            <w:r>
              <w:rPr>
                <w:rFonts w:hint="eastAsia" w:ascii="宋体" w:hAnsi="宋体" w:cs="宋体"/>
              </w:rPr>
              <w:t>3、安全控制与防护：支持策略助手功能，策略助手能够提取命中指定策略ID的流量作为流量数据分析源，生成服务并且根据管理员设置的替换规则、聚合规则优化流量数据，最后自动生成符合管理员期望的安全策略规则。</w:t>
            </w:r>
          </w:p>
          <w:p>
            <w:pPr>
              <w:spacing w:after="200" w:line="276" w:lineRule="auto"/>
              <w:ind w:firstLine="420" w:firstLineChars="200"/>
              <w:rPr>
                <w:rFonts w:ascii="宋体" w:hAnsi="宋体" w:cs="宋体"/>
              </w:rPr>
            </w:pPr>
            <w:r>
              <w:rPr>
                <w:rFonts w:hint="eastAsia" w:ascii="宋体" w:hAnsi="宋体" w:cs="宋体"/>
              </w:rPr>
              <w:t>4、移动端APP管理：支持连接云平台功能，实现云平台对设备的远程监控。云平台支持将设备信息、流量数据、威胁事件、系统日志等在云端提供可视化的展示。支持通过Web方式或者手机APP方式进行远程监控设备状态信息、获取报表、威胁分析等。提供功能截图并加盖原厂公章。</w:t>
            </w:r>
          </w:p>
          <w:p>
            <w:pPr>
              <w:spacing w:after="200" w:line="276" w:lineRule="auto"/>
              <w:ind w:firstLine="420" w:firstLineChars="200"/>
              <w:rPr>
                <w:rFonts w:ascii="宋体" w:hAnsi="宋体" w:cs="宋体"/>
              </w:rPr>
            </w:pPr>
            <w:r>
              <w:rPr>
                <w:rFonts w:hint="eastAsia" w:ascii="宋体" w:hAnsi="宋体" w:cs="宋体"/>
              </w:rPr>
              <w:t>5、IOT：应支持IoT监控功能，通过分析流经设备的流量，识别视频监控专网中的IPC（网络摄像机）和NVR（网络硬盘录像机）等网络视频监控设备，并对识别出的设备进行实时监控，根据自定义配置对出现非法行为的网络视频监控设备进行阻断等操作。</w:t>
            </w:r>
          </w:p>
          <w:p>
            <w:pPr>
              <w:spacing w:after="200" w:line="276" w:lineRule="auto"/>
              <w:ind w:firstLine="420" w:firstLineChars="200"/>
              <w:rPr>
                <w:rFonts w:ascii="宋体" w:hAnsi="宋体" w:cs="宋体"/>
              </w:rPr>
            </w:pPr>
            <w:r>
              <w:rPr>
                <w:rFonts w:hint="eastAsia" w:ascii="宋体" w:hAnsi="宋体" w:cs="宋体"/>
              </w:rPr>
              <w:t xml:space="preserve">6、僵尸网络C&amp;C防御：支持僵尸网络C&amp;C防御功能，应能够根据特征库中的地址及时发现用户内网的僵尸主机，并且根据自定义配置对发现的僵尸主机进行处理，从而避免发生进一步的威胁攻击。应支持基于安全域和基于策略的僵尸网络C&amp;C防御配置方式。要求提供信息产业信息安全测评中心出具的功能检测报告。包含3年特征库升级服务。    </w:t>
            </w:r>
          </w:p>
          <w:p>
            <w:pPr>
              <w:spacing w:after="200" w:line="276" w:lineRule="auto"/>
              <w:ind w:firstLine="420" w:firstLineChars="200"/>
              <w:rPr>
                <w:rFonts w:ascii="宋体" w:hAnsi="宋体" w:cs="宋体"/>
              </w:rPr>
            </w:pPr>
            <w:r>
              <w:rPr>
                <w:rFonts w:hint="eastAsia" w:ascii="宋体" w:hAnsi="宋体" w:cs="宋体"/>
              </w:rPr>
              <w:t>7、提供AV防病毒功能：具备200万种以上病毒特征库规则，支持基于安全策略和安全域启用防病毒功能，检测到病毒和恶意网站时，支持填充、重置连接、只记录日志等处理方式，支持对加密文件进行自定义病毒防护处理，包含3年AV特征库升级服务。</w:t>
            </w:r>
          </w:p>
          <w:p>
            <w:pPr>
              <w:spacing w:after="200" w:line="276" w:lineRule="auto"/>
              <w:rPr>
                <w:rFonts w:ascii="宋体" w:hAnsi="宋体" w:cs="宋体"/>
                <w:b/>
                <w:bCs/>
                <w:sz w:val="24"/>
                <w:szCs w:val="24"/>
              </w:rPr>
            </w:pPr>
            <w:r>
              <w:rPr>
                <w:rFonts w:hint="eastAsia" w:ascii="宋体" w:hAnsi="宋体" w:cs="宋体"/>
                <w:b/>
                <w:bCs/>
                <w:sz w:val="24"/>
                <w:szCs w:val="24"/>
              </w:rPr>
              <w:t>资质要求：</w:t>
            </w:r>
          </w:p>
          <w:p>
            <w:pPr>
              <w:spacing w:after="200" w:line="276" w:lineRule="auto"/>
              <w:ind w:firstLine="420" w:firstLineChars="200"/>
              <w:rPr>
                <w:rFonts w:hint="eastAsia" w:ascii="宋体" w:hAnsi="宋体" w:cs="宋体"/>
              </w:rPr>
            </w:pPr>
            <w:r>
              <w:rPr>
                <w:rFonts w:hint="eastAsia" w:ascii="宋体" w:hAnsi="宋体" w:cs="宋体"/>
              </w:rPr>
              <w:t>1、要求2014年及以后至少连续八年入选Gartner企业防火墙魔力象限，并提供证明材料；</w:t>
            </w:r>
          </w:p>
          <w:p>
            <w:pPr>
              <w:spacing w:after="200" w:line="276" w:lineRule="auto"/>
              <w:ind w:firstLine="420" w:firstLineChars="200"/>
              <w:rPr>
                <w:rFonts w:hint="eastAsia" w:ascii="宋体" w:hAnsi="宋体" w:cs="宋体"/>
              </w:rPr>
            </w:pPr>
            <w:r>
              <w:rPr>
                <w:rFonts w:hint="eastAsia" w:ascii="宋体" w:hAnsi="宋体" w:cs="宋体"/>
              </w:rPr>
              <w:t xml:space="preserve">2、具有中华人民共和国公安部颁发的《计算机信息系统安全专用产品销售许可证》； </w:t>
            </w:r>
          </w:p>
          <w:p>
            <w:pPr>
              <w:spacing w:after="200" w:line="276" w:lineRule="auto"/>
              <w:ind w:firstLine="420" w:firstLineChars="200"/>
              <w:rPr>
                <w:rFonts w:hint="eastAsia" w:ascii="宋体" w:hAnsi="宋体" w:cs="宋体"/>
              </w:rPr>
            </w:pPr>
            <w:r>
              <w:rPr>
                <w:rFonts w:hint="eastAsia" w:ascii="宋体" w:hAnsi="宋体" w:cs="宋体"/>
              </w:rPr>
              <w:t>3、具有中国网络安全审查技术与认证中心《IT产品信息安全认证证书EAL4》</w:t>
            </w:r>
          </w:p>
        </w:tc>
        <w:tc>
          <w:tcPr>
            <w:tcW w:w="461" w:type="pct"/>
            <w:noWrap w:val="0"/>
            <w:vAlign w:val="top"/>
          </w:tcPr>
          <w:p>
            <w:pPr>
              <w:spacing w:after="200" w:line="276" w:lineRule="auto"/>
              <w:jc w:val="center"/>
              <w:rPr>
                <w:rFonts w:ascii="宋体" w:hAnsi="宋体" w:cs="宋体"/>
              </w:rPr>
            </w:pPr>
            <w:r>
              <w:rPr>
                <w:rFonts w:hint="eastAsia" w:ascii="宋体" w:hAnsi="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noWrap w:val="0"/>
            <w:vAlign w:val="top"/>
          </w:tcPr>
          <w:p>
            <w:pPr>
              <w:spacing w:after="200" w:line="276" w:lineRule="auto"/>
              <w:rPr>
                <w:rFonts w:ascii="宋体" w:hAnsi="宋体" w:cs="宋体"/>
              </w:rPr>
            </w:pPr>
            <w:r>
              <w:rPr>
                <w:rFonts w:hint="eastAsia" w:ascii="宋体" w:hAnsi="宋体" w:cs="宋体"/>
              </w:rPr>
              <w:t>2</w:t>
            </w:r>
          </w:p>
        </w:tc>
        <w:tc>
          <w:tcPr>
            <w:tcW w:w="433" w:type="pct"/>
            <w:noWrap w:val="0"/>
            <w:vAlign w:val="top"/>
          </w:tcPr>
          <w:p>
            <w:pPr>
              <w:spacing w:after="200" w:line="276" w:lineRule="auto"/>
              <w:rPr>
                <w:rFonts w:hint="eastAsia" w:ascii="宋体" w:hAnsi="宋体" w:cs="宋体"/>
              </w:rPr>
            </w:pPr>
            <w:r>
              <w:rPr>
                <w:rFonts w:hint="eastAsia" w:ascii="宋体" w:hAnsi="宋体" w:cs="宋体"/>
              </w:rPr>
              <w:t>入侵防御系统</w:t>
            </w:r>
          </w:p>
        </w:tc>
        <w:tc>
          <w:tcPr>
            <w:tcW w:w="3819" w:type="pct"/>
            <w:noWrap w:val="0"/>
            <w:vAlign w:val="top"/>
          </w:tcPr>
          <w:p>
            <w:pPr>
              <w:spacing w:after="200" w:line="276" w:lineRule="auto"/>
              <w:rPr>
                <w:rFonts w:hint="eastAsia" w:ascii="宋体" w:hAnsi="宋体" w:cs="宋体"/>
                <w:b/>
                <w:bCs/>
                <w:sz w:val="24"/>
                <w:szCs w:val="24"/>
              </w:rPr>
            </w:pPr>
            <w:r>
              <w:rPr>
                <w:rFonts w:hint="eastAsia" w:ascii="宋体" w:hAnsi="宋体" w:cs="宋体"/>
                <w:b/>
                <w:bCs/>
                <w:sz w:val="24"/>
                <w:szCs w:val="24"/>
              </w:rPr>
              <w:t>基础要求：</w:t>
            </w:r>
          </w:p>
          <w:p>
            <w:pPr>
              <w:spacing w:after="200" w:line="276" w:lineRule="auto"/>
              <w:ind w:firstLine="420" w:firstLineChars="200"/>
              <w:rPr>
                <w:rFonts w:ascii="宋体" w:hAnsi="宋体" w:cs="宋体"/>
              </w:rPr>
            </w:pPr>
            <w:r>
              <w:rPr>
                <w:rFonts w:hint="eastAsia" w:ascii="宋体" w:hAnsi="宋体" w:cs="宋体"/>
              </w:rPr>
              <w:t>IPS 吞吐量不少于 6Gbps，硬盘≥480G SSD，不少于2个万兆光口、4个千兆电口、4个千兆光口。</w:t>
            </w:r>
            <w:r>
              <w:rPr>
                <w:rFonts w:ascii="宋体" w:hAnsi="宋体" w:cs="宋体"/>
              </w:rPr>
              <w:t>实际配置抗DDOS、APP应用识别、虚拟路由器、虚拟交换机、上网行为审计，提供维保期限内的特征库升级授权;</w:t>
            </w:r>
          </w:p>
          <w:p>
            <w:pPr>
              <w:spacing w:after="200" w:line="276" w:lineRule="auto"/>
              <w:rPr>
                <w:rFonts w:hint="eastAsia" w:ascii="宋体" w:hAnsi="宋体" w:cs="宋体"/>
                <w:b/>
                <w:bCs/>
                <w:sz w:val="24"/>
                <w:szCs w:val="24"/>
              </w:rPr>
            </w:pPr>
            <w:r>
              <w:rPr>
                <w:rFonts w:hint="eastAsia" w:ascii="宋体" w:hAnsi="宋体" w:cs="宋体"/>
                <w:b/>
                <w:bCs/>
                <w:sz w:val="24"/>
                <w:szCs w:val="24"/>
              </w:rPr>
              <w:t>功能要求：</w:t>
            </w:r>
          </w:p>
          <w:p>
            <w:pPr>
              <w:spacing w:after="200" w:line="276" w:lineRule="auto"/>
              <w:ind w:firstLine="420" w:firstLineChars="200"/>
              <w:rPr>
                <w:rFonts w:ascii="宋体" w:hAnsi="宋体" w:cs="宋体"/>
              </w:rPr>
            </w:pPr>
            <w:r>
              <w:rPr>
                <w:rFonts w:hint="eastAsia" w:ascii="宋体" w:hAnsi="宋体" w:cs="宋体"/>
              </w:rPr>
              <w:t>1、</w:t>
            </w:r>
            <w:r>
              <w:rPr>
                <w:rFonts w:ascii="宋体" w:hAnsi="宋体" w:cs="宋体"/>
              </w:rPr>
              <w:t>实时分析网络流量，识别并阻止异常或攻击行为：如防护远程攻击、端口扫描、强力攻击、木马后门攻击、拒绝服务攻击、IP碎片攻击、注入攻击、缓冲区溢出攻击、网络蠕虫攻击、病毒等攻击。提供3年原厂维保服务和特征库升级服务。</w:t>
            </w:r>
          </w:p>
          <w:p>
            <w:pPr>
              <w:spacing w:after="200" w:line="276" w:lineRule="auto"/>
              <w:ind w:firstLine="420" w:firstLineChars="200"/>
              <w:rPr>
                <w:rFonts w:hint="eastAsia" w:ascii="宋体" w:hAnsi="宋体" w:cs="宋体"/>
              </w:rPr>
            </w:pPr>
            <w:r>
              <w:rPr>
                <w:rFonts w:hint="eastAsia" w:ascii="宋体" w:hAnsi="宋体" w:cs="宋体"/>
              </w:rPr>
              <w:t>2、支持针对HTTP、SMTP、IMAP、POP3、VOIP、NETBIOS等20余种协议和应用的攻击检测；支持HTTP Get、Head、Put、Post等多种协议方法检查；支持自定义入侵检测特征：可依据TCP、UDP、SMB、HTTP等网络层的各项参数设置自定义特征；全面设置TCP/IP应用层的特征比对内容而不受通信协议限制；支持跨数据包检测机制，包括：比对位移(matching offset)、比对长度(matching depth)、比对距离(matching distance)、比对范围(within)；支持基于流的数据包(stream-based)比对技术； 提供12000多种特征的攻击检测，特征库支持网络实时更新（提供产品功能页面截图有效）；支持威胁详情URI和攻击数据解码；支持IPv6环境下入侵检测；支持IPv6威胁日志显示和下载；支持SSL加密流量的检测；</w:t>
            </w:r>
          </w:p>
          <w:p>
            <w:pPr>
              <w:spacing w:after="200" w:line="276" w:lineRule="auto"/>
              <w:ind w:firstLine="420" w:firstLineChars="200"/>
              <w:rPr>
                <w:rFonts w:hint="eastAsia" w:ascii="宋体" w:hAnsi="宋体" w:cs="宋体"/>
              </w:rPr>
            </w:pPr>
            <w:r>
              <w:rPr>
                <w:rFonts w:hint="eastAsia" w:ascii="宋体" w:hAnsi="宋体" w:cs="宋体"/>
              </w:rPr>
              <w:t>3、支持对ftp、telnet、smtp、pop3、imap弱口令行为进行检测（提供产品功能页面截图有效）。支持对ftp、telnet、smtp、pop3、msrpc、sunrpc暴力破解行为检测（提供产品功能页面截图有效）；</w:t>
            </w:r>
          </w:p>
          <w:p>
            <w:pPr>
              <w:spacing w:after="200" w:line="276" w:lineRule="auto"/>
              <w:ind w:firstLine="420" w:firstLineChars="200"/>
              <w:rPr>
                <w:rFonts w:hint="eastAsia" w:ascii="宋体" w:hAnsi="宋体" w:cs="宋体"/>
              </w:rPr>
            </w:pPr>
            <w:r>
              <w:rPr>
                <w:rFonts w:hint="eastAsia" w:ascii="宋体" w:hAnsi="宋体" w:cs="宋体"/>
              </w:rPr>
              <w:t>4、支持基于流的病毒过滤；支持压缩病毒文件的扫描；超过1,300万的病毒特征库；支持病毒库的实时网络更新（提供产品功能页面截图有效）；</w:t>
            </w:r>
          </w:p>
          <w:p>
            <w:pPr>
              <w:spacing w:after="200" w:line="276" w:lineRule="auto"/>
              <w:ind w:firstLine="420" w:firstLineChars="200"/>
              <w:rPr>
                <w:rFonts w:hint="eastAsia" w:ascii="宋体" w:hAnsi="宋体" w:cs="宋体"/>
              </w:rPr>
            </w:pPr>
            <w:r>
              <w:rPr>
                <w:rFonts w:hint="eastAsia" w:ascii="宋体" w:hAnsi="宋体" w:cs="宋体"/>
              </w:rPr>
              <w:t>5、支持与云端威胁情报中心联动；支持威胁情报与威胁事件、威胁日志检测结果加强与取证，用户可通过手动触发与自动触发将日志元素上送威胁情报平台进行上下文查询；支持自动聚焦重点威胁；支持热点情报推送到设备，并提供配置向导协助用户生成安全防护策略；</w:t>
            </w:r>
          </w:p>
          <w:p>
            <w:pPr>
              <w:spacing w:after="200" w:line="276" w:lineRule="auto"/>
              <w:ind w:firstLine="420" w:firstLineChars="200"/>
              <w:rPr>
                <w:rFonts w:hint="eastAsia" w:ascii="宋体" w:hAnsi="宋体" w:cs="宋体"/>
              </w:rPr>
            </w:pPr>
            <w:r>
              <w:rPr>
                <w:rFonts w:hint="eastAsia" w:ascii="宋体" w:hAnsi="宋体" w:cs="宋体"/>
              </w:rPr>
              <w:t>6、支持在同一条安全策略设置源安全域、目的安全域、用户、服务、应用、入侵防护和反病毒的访问控制； 支持策略命中数统计功能，便于管理员维护策略；支持预定义和自定义安全策略；安全策略规则支持复制、粘贴和移动操作。支持安全策略的冗余检测；支持安全策略的命中数检测；支持安全策略的时间表有效性检测；</w:t>
            </w:r>
          </w:p>
          <w:p>
            <w:pPr>
              <w:spacing w:after="200" w:line="276" w:lineRule="auto"/>
              <w:rPr>
                <w:rFonts w:hint="eastAsia" w:ascii="宋体" w:hAnsi="宋体" w:cs="宋体"/>
                <w:b/>
                <w:bCs/>
                <w:sz w:val="24"/>
                <w:szCs w:val="24"/>
              </w:rPr>
            </w:pPr>
            <w:r>
              <w:rPr>
                <w:rFonts w:hint="eastAsia" w:ascii="宋体" w:hAnsi="宋体" w:cs="宋体"/>
                <w:b/>
                <w:bCs/>
                <w:sz w:val="24"/>
                <w:szCs w:val="24"/>
              </w:rPr>
              <w:t>资质要求：</w:t>
            </w:r>
          </w:p>
          <w:p>
            <w:pPr>
              <w:spacing w:after="200" w:line="276" w:lineRule="auto"/>
              <w:ind w:firstLine="420" w:firstLineChars="200"/>
              <w:rPr>
                <w:rFonts w:hint="eastAsia" w:ascii="宋体" w:hAnsi="宋体" w:cs="宋体"/>
              </w:rPr>
            </w:pPr>
            <w:r>
              <w:rPr>
                <w:rFonts w:hint="eastAsia" w:ascii="宋体" w:hAnsi="宋体" w:cs="宋体"/>
              </w:rPr>
              <w:t>1、投产品具有公安部颁发的《计算机信息系统安全专用产品销售许可证》（三级）； （万兆）</w:t>
            </w:r>
          </w:p>
          <w:p>
            <w:pPr>
              <w:spacing w:after="200" w:line="276" w:lineRule="auto"/>
              <w:ind w:firstLine="420" w:firstLineChars="200"/>
              <w:rPr>
                <w:rFonts w:hint="eastAsia" w:ascii="宋体" w:hAnsi="宋体" w:cs="宋体"/>
              </w:rPr>
            </w:pPr>
            <w:r>
              <w:rPr>
                <w:rFonts w:hint="eastAsia" w:ascii="宋体" w:hAnsi="宋体" w:cs="宋体"/>
              </w:rPr>
              <w:t>2、所投产品具有中国网络安全审查技术与认证中心颁发的《网络关键设备及国家信息安全二合一证书》；（万兆）</w:t>
            </w:r>
          </w:p>
          <w:p>
            <w:pPr>
              <w:spacing w:after="200" w:line="276" w:lineRule="auto"/>
              <w:ind w:firstLine="420" w:firstLineChars="200"/>
              <w:rPr>
                <w:rFonts w:hint="eastAsia" w:ascii="宋体" w:hAnsi="宋体" w:cs="宋体"/>
              </w:rPr>
            </w:pPr>
            <w:r>
              <w:rPr>
                <w:rFonts w:hint="eastAsia" w:ascii="宋体" w:hAnsi="宋体" w:cs="宋体"/>
              </w:rPr>
              <w:t>3、所投产品具有中国网络安全审查技术与认证中心颁发的《IT产品信息安全安全认证证书》（万兆）</w:t>
            </w:r>
          </w:p>
        </w:tc>
        <w:tc>
          <w:tcPr>
            <w:tcW w:w="461" w:type="pct"/>
            <w:noWrap w:val="0"/>
            <w:vAlign w:val="top"/>
          </w:tcPr>
          <w:p>
            <w:pPr>
              <w:spacing w:after="200" w:line="276" w:lineRule="auto"/>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noWrap w:val="0"/>
            <w:vAlign w:val="top"/>
          </w:tcPr>
          <w:p>
            <w:pPr>
              <w:spacing w:after="200" w:line="276" w:lineRule="auto"/>
              <w:rPr>
                <w:rFonts w:hint="eastAsia" w:ascii="宋体" w:hAnsi="宋体" w:cs="宋体"/>
              </w:rPr>
            </w:pPr>
            <w:r>
              <w:rPr>
                <w:rFonts w:hint="eastAsia" w:ascii="宋体" w:hAnsi="宋体" w:cs="宋体"/>
              </w:rPr>
              <w:t>4</w:t>
            </w:r>
          </w:p>
        </w:tc>
        <w:tc>
          <w:tcPr>
            <w:tcW w:w="433" w:type="pct"/>
            <w:noWrap w:val="0"/>
            <w:vAlign w:val="top"/>
          </w:tcPr>
          <w:p>
            <w:pPr>
              <w:spacing w:after="200" w:line="276" w:lineRule="auto"/>
              <w:rPr>
                <w:rFonts w:ascii="宋体" w:hAnsi="宋体" w:cs="宋体"/>
              </w:rPr>
            </w:pPr>
            <w:r>
              <w:rPr>
                <w:rFonts w:hint="eastAsia" w:ascii="宋体" w:hAnsi="宋体" w:cs="宋体"/>
              </w:rPr>
              <w:t>态势感知平台</w:t>
            </w:r>
          </w:p>
        </w:tc>
        <w:tc>
          <w:tcPr>
            <w:tcW w:w="3819" w:type="pct"/>
            <w:noWrap w:val="0"/>
            <w:vAlign w:val="top"/>
          </w:tcPr>
          <w:p>
            <w:pPr>
              <w:spacing w:after="200" w:line="276" w:lineRule="auto"/>
              <w:rPr>
                <w:rFonts w:ascii="宋体" w:hAnsi="宋体" w:cs="宋体"/>
                <w:b/>
                <w:bCs/>
                <w:sz w:val="24"/>
                <w:szCs w:val="24"/>
              </w:rPr>
            </w:pPr>
            <w:r>
              <w:rPr>
                <w:rFonts w:hint="eastAsia" w:ascii="宋体" w:hAnsi="宋体" w:cs="宋体"/>
                <w:b/>
                <w:bCs/>
                <w:sz w:val="24"/>
                <w:szCs w:val="24"/>
              </w:rPr>
              <w:t>基础要求：</w:t>
            </w:r>
          </w:p>
          <w:p>
            <w:pPr>
              <w:spacing w:after="200" w:line="276" w:lineRule="auto"/>
              <w:ind w:firstLine="422" w:firstLineChars="200"/>
              <w:rPr>
                <w:rFonts w:ascii="宋体" w:hAnsi="宋体" w:cs="宋体"/>
                <w:b/>
              </w:rPr>
            </w:pPr>
            <w:r>
              <w:rPr>
                <w:rFonts w:hint="eastAsia" w:ascii="宋体" w:hAnsi="宋体" w:cs="宋体"/>
                <w:b/>
              </w:rPr>
              <w:t>态势感知平台要求：</w:t>
            </w:r>
          </w:p>
          <w:p>
            <w:pPr>
              <w:spacing w:after="200" w:line="276" w:lineRule="auto"/>
              <w:ind w:firstLine="420" w:firstLineChars="200"/>
              <w:rPr>
                <w:rFonts w:hint="eastAsia" w:ascii="宋体" w:hAnsi="宋体" w:cs="宋体"/>
              </w:rPr>
            </w:pPr>
            <w:r>
              <w:rPr>
                <w:rFonts w:hint="eastAsia" w:ascii="宋体" w:hAnsi="宋体" w:cs="宋体"/>
              </w:rPr>
              <w:t>2U 硬件设备，数据处理性能≥2.5Gbps，CPU核心数≥8 核，内存容量&gt;32G，系统盘容量≥240G SSD，数据盘容量</w:t>
            </w:r>
            <w:r>
              <w:rPr>
                <w:rFonts w:hint="eastAsia" w:ascii="宋体" w:hAnsi="宋体" w:cs="宋体"/>
                <w:lang w:val="en-US" w:eastAsia="zh-CN"/>
              </w:rPr>
              <w:t>≥</w:t>
            </w:r>
            <w:r>
              <w:rPr>
                <w:rFonts w:hint="eastAsia" w:ascii="宋体" w:hAnsi="宋体" w:cs="宋体"/>
              </w:rPr>
              <w:t>10T(流足安全日主存储时间不少干半年)。</w:t>
            </w:r>
          </w:p>
          <w:p>
            <w:pPr>
              <w:spacing w:after="200" w:line="276" w:lineRule="auto"/>
              <w:ind w:firstLine="422" w:firstLineChars="200"/>
              <w:rPr>
                <w:rFonts w:ascii="宋体" w:hAnsi="宋体" w:cs="宋体"/>
                <w:b/>
              </w:rPr>
            </w:pPr>
            <w:r>
              <w:rPr>
                <w:rFonts w:hint="eastAsia" w:ascii="宋体" w:hAnsi="宋体" w:cs="宋体"/>
                <w:b/>
              </w:rPr>
              <w:t>态势感知威胁探针要求：</w:t>
            </w:r>
          </w:p>
          <w:p>
            <w:pPr>
              <w:spacing w:after="200" w:line="276" w:lineRule="auto"/>
              <w:ind w:firstLine="420" w:firstLineChars="200"/>
              <w:rPr>
                <w:rFonts w:hint="eastAsia" w:ascii="宋体" w:hAnsi="宋体" w:cs="宋体"/>
              </w:rPr>
            </w:pPr>
            <w:r>
              <w:rPr>
                <w:rFonts w:hint="eastAsia" w:ascii="宋体" w:hAnsi="宋体" w:cs="宋体"/>
              </w:rPr>
              <w:t>威胁流量处理性能≥2.5Gbps，不少于2个万兆光口、6 个千兆电口、6 个千兆光口。实际配置病毒扫描、入侵检测、僵尸网络检测、应用识别、异常行为检测、恶意软件、欺骗监测、威胁标签、WEB攻击模块，提供维保期限内的特征库升级授权。</w:t>
            </w:r>
          </w:p>
          <w:p>
            <w:pPr>
              <w:spacing w:after="200" w:line="276" w:lineRule="auto"/>
              <w:ind w:firstLine="422" w:firstLineChars="200"/>
              <w:rPr>
                <w:rFonts w:ascii="宋体" w:hAnsi="宋体" w:cs="宋体"/>
                <w:b/>
              </w:rPr>
            </w:pPr>
            <w:r>
              <w:rPr>
                <w:rFonts w:hint="eastAsia" w:ascii="宋体" w:hAnsi="宋体" w:cs="宋体"/>
                <w:b/>
              </w:rPr>
              <w:t>态势感知终端探针要求：</w:t>
            </w:r>
          </w:p>
          <w:p>
            <w:pPr>
              <w:spacing w:after="200" w:line="276" w:lineRule="auto"/>
              <w:ind w:firstLine="420" w:firstLineChars="200"/>
              <w:rPr>
                <w:rFonts w:hint="eastAsia" w:ascii="宋体" w:hAnsi="宋体" w:cs="宋体"/>
              </w:rPr>
            </w:pPr>
            <w:r>
              <w:rPr>
                <w:rFonts w:hint="eastAsia" w:ascii="宋体" w:hAnsi="宋体" w:cs="宋体"/>
              </w:rPr>
              <w:t>配置终端探针不少于500点，在公司内部所有的终端电脑/服务器部署终端探针，实现终端安全威胁的分析和数据收集，支持服务器、PC、虚拟化的同台管理，具备终端管理、终端恶意文件检测与响应、监控功能：通过对终端的进程信息、USB 行为、文件传输、文件访问、网络传输等信息进行监控，记录并分析系统进程的活动来识别恶意入侵行为、病毒行为、未知威胁行为，并事实传输至态势感知平台进行统一监控分析。</w:t>
            </w:r>
          </w:p>
          <w:p>
            <w:pPr>
              <w:spacing w:after="200" w:line="276" w:lineRule="auto"/>
              <w:rPr>
                <w:rFonts w:ascii="宋体" w:hAnsi="宋体" w:cs="宋体"/>
                <w:b/>
                <w:bCs/>
                <w:sz w:val="24"/>
                <w:szCs w:val="24"/>
              </w:rPr>
            </w:pPr>
            <w:r>
              <w:rPr>
                <w:rFonts w:hint="eastAsia" w:ascii="宋体" w:hAnsi="宋体" w:cs="宋体"/>
                <w:b/>
                <w:bCs/>
                <w:sz w:val="24"/>
                <w:szCs w:val="24"/>
              </w:rPr>
              <w:t>功能要求：</w:t>
            </w:r>
          </w:p>
          <w:p>
            <w:pPr>
              <w:spacing w:after="200" w:line="276" w:lineRule="auto"/>
              <w:ind w:firstLine="420" w:firstLineChars="200"/>
              <w:rPr>
                <w:rFonts w:ascii="宋体" w:hAnsi="宋体" w:cs="宋体"/>
              </w:rPr>
            </w:pPr>
            <w:r>
              <w:rPr>
                <w:rFonts w:hint="eastAsia" w:ascii="宋体" w:hAnsi="宋体" w:cs="宋体"/>
              </w:rPr>
              <w:t>1、态势感知可针对僵尸网络、木马、C&amp;C等通信行为进行检测，发现各种类型攻击如：远程攻击、端口扫描、强力攻击、木马后门攻击、拒绝服务攻击、IP碎片攻击、代码注入攻击、缓冲区溢出攻击、网络蠕虫攻击、Web应用攻击、SQL 注入、跨站脚本、反序列化、文件上传、病毒植入等。</w:t>
            </w:r>
          </w:p>
          <w:p>
            <w:pPr>
              <w:spacing w:after="200" w:line="276" w:lineRule="auto"/>
              <w:ind w:firstLine="420" w:firstLineChars="200"/>
              <w:rPr>
                <w:rFonts w:ascii="宋体" w:hAnsi="宋体" w:cs="宋体"/>
              </w:rPr>
            </w:pPr>
            <w:r>
              <w:rPr>
                <w:rFonts w:hint="eastAsia" w:ascii="宋体" w:hAnsi="宋体" w:cs="宋体"/>
              </w:rPr>
              <w:t>2、支持对网络攻击情况进行展示和筛选，包括：攻击类型、攻击等级、攻击数量、攻击时间、攻击方向、被攻击者IP等进行筛选。</w:t>
            </w:r>
          </w:p>
          <w:p>
            <w:pPr>
              <w:spacing w:after="200" w:line="276" w:lineRule="auto"/>
              <w:ind w:firstLine="420" w:firstLineChars="200"/>
              <w:rPr>
                <w:rFonts w:ascii="宋体" w:hAnsi="宋体" w:cs="宋体"/>
              </w:rPr>
            </w:pPr>
            <w:r>
              <w:rPr>
                <w:rFonts w:hint="eastAsia" w:ascii="宋体" w:hAnsi="宋体" w:cs="宋体"/>
              </w:rPr>
              <w:t>3、安全事件溯源：能够详细记录并存储攻击事件发生时间、攻击者IP、攻击类型、攻击方向，被攻击者IP，累计攻击次数等各类信息，要求安全日志存储时间至少半年。</w:t>
            </w:r>
          </w:p>
          <w:p>
            <w:pPr>
              <w:spacing w:after="200" w:line="276" w:lineRule="auto"/>
              <w:ind w:firstLine="420" w:firstLineChars="200"/>
              <w:rPr>
                <w:rFonts w:ascii="宋体" w:hAnsi="宋体" w:cs="宋体"/>
              </w:rPr>
            </w:pPr>
            <w:r>
              <w:rPr>
                <w:rFonts w:hint="eastAsia" w:ascii="宋体" w:hAnsi="宋体" w:cs="宋体"/>
              </w:rPr>
              <w:t>★4、配置单独的自动化编排与应急处置系统1套，对防火墙、IPS、WAF、态势感知、蜜罐系统发现的威胁可以模拟人的思维决策过程进行智能化分析与研判，同时进行自动化处置和策略下发（包括但不限于防火墙、IPS、WAF、交换机等设备），从而实现“无人值守”的自动化安全运营，系统以软件形态交付，如无虚拟化资源，供应商需提供配套的硬件设备。</w:t>
            </w:r>
          </w:p>
          <w:p>
            <w:pPr>
              <w:spacing w:after="200" w:line="276" w:lineRule="auto"/>
              <w:ind w:firstLine="420" w:firstLineChars="200"/>
              <w:rPr>
                <w:rFonts w:ascii="宋体" w:hAnsi="宋体" w:cs="宋体"/>
              </w:rPr>
            </w:pPr>
            <w:r>
              <w:rPr>
                <w:rFonts w:hint="eastAsia" w:ascii="宋体" w:hAnsi="宋体" w:cs="宋体"/>
              </w:rPr>
              <w:t>★5、配置独立的主动防御蜜罐系统2套，部署南北向和东西向蜜罐，系统从攻击视角出发，在攻击者必经之路上构造陷阱（蜜罐），从而混淆其攻击目标，精确感知并溯源攻击者行为，有效阻断攻击者。</w:t>
            </w:r>
          </w:p>
          <w:p>
            <w:pPr>
              <w:spacing w:after="200" w:line="276" w:lineRule="auto"/>
              <w:ind w:firstLine="420" w:firstLineChars="200"/>
              <w:rPr>
                <w:rFonts w:ascii="宋体" w:hAnsi="宋体" w:cs="宋体"/>
              </w:rPr>
            </w:pPr>
            <w:r>
              <w:rPr>
                <w:rFonts w:hint="eastAsia" w:ascii="宋体" w:hAnsi="宋体" w:cs="宋体"/>
              </w:rPr>
              <w:t>6、综合态势展示：支持服务器风险监控、终端风险监控、威胁事件监控和外部攻击地理分布概览的可视化呈现，并支持投屏展示（提供设备功能效果截图）;</w:t>
            </w:r>
          </w:p>
          <w:p>
            <w:pPr>
              <w:spacing w:after="200" w:line="276" w:lineRule="auto"/>
              <w:ind w:firstLine="420" w:firstLineChars="200"/>
              <w:rPr>
                <w:rFonts w:ascii="宋体" w:hAnsi="宋体" w:cs="宋体"/>
              </w:rPr>
            </w:pPr>
            <w:r>
              <w:rPr>
                <w:rFonts w:hint="eastAsia" w:ascii="宋体" w:hAnsi="宋体" w:cs="宋体"/>
              </w:rPr>
              <w:t>7、服务器风险监控：通过威胁透视功能呈现由服务器发起或指向服务器的网络威胁，采用不同的颜色标识服务器的风险程度，支持多维度的条件过滤(提供设备功能效果截图)；通过异常流量透视功能呈现由服务器发起或指向服务器的网络流量，以服务器为对象，监控与服务器互访的异常网络流量，支持多维度的条件过滤(提供设备功能效果截图)；</w:t>
            </w:r>
          </w:p>
          <w:p>
            <w:pPr>
              <w:spacing w:after="200" w:line="276" w:lineRule="auto"/>
              <w:ind w:firstLine="420" w:firstLineChars="200"/>
              <w:rPr>
                <w:rFonts w:ascii="宋体" w:hAnsi="宋体" w:cs="宋体"/>
              </w:rPr>
            </w:pPr>
            <w:r>
              <w:rPr>
                <w:rFonts w:hint="eastAsia" w:ascii="宋体" w:hAnsi="宋体" w:cs="宋体"/>
              </w:rPr>
              <w:t>8、终端风险监控：通过风险终端列表进行风险终端威胁信息的可视化呈现，支持识别终端名称、操作系统、浏览器，服务类型，统计记录电脑威胁行为及异常访问流量；通过威胁透视镜功能呈现由内网终端发起或指向内网终端的网络威胁(提供设备功能效果截图)；</w:t>
            </w:r>
          </w:p>
          <w:p>
            <w:pPr>
              <w:spacing w:after="200" w:line="276" w:lineRule="auto"/>
              <w:ind w:firstLine="420" w:firstLineChars="200"/>
              <w:rPr>
                <w:rFonts w:hint="eastAsia" w:ascii="宋体" w:hAnsi="宋体" w:cs="宋体"/>
              </w:rPr>
            </w:pPr>
            <w:r>
              <w:rPr>
                <w:rFonts w:hint="eastAsia" w:ascii="宋体" w:hAnsi="宋体" w:cs="宋体"/>
              </w:rPr>
              <w:t>9、威胁事件监控：支持网络威胁检测的可视化呈现，包括威胁名称、威胁类型、威胁发生数量、风险级别、知识库、证据报文等信息，支持多维度的条件过滤；支持异常行为威胁事件的异常信息提取及呈现（提供设备功能截图）；支持对勒索，挖矿，木马，永恒之蓝，WannaCry，MIRAI等威胁事件进行标签标记，对标签发生次数进行统计分析，根据标签对服务器及终端进行威胁画像；支持攻击路径还原，支持威胁标签展示（提供设备功能效果截图）；</w:t>
            </w:r>
          </w:p>
          <w:p>
            <w:pPr>
              <w:spacing w:after="200" w:line="276" w:lineRule="auto"/>
              <w:rPr>
                <w:rFonts w:ascii="宋体" w:hAnsi="宋体" w:cs="宋体"/>
                <w:b/>
                <w:bCs/>
                <w:sz w:val="24"/>
                <w:szCs w:val="24"/>
              </w:rPr>
            </w:pPr>
            <w:r>
              <w:rPr>
                <w:rFonts w:hint="eastAsia" w:ascii="宋体" w:hAnsi="宋体" w:cs="宋体"/>
                <w:b/>
                <w:bCs/>
                <w:sz w:val="24"/>
                <w:szCs w:val="24"/>
              </w:rPr>
              <w:t>资质要求：</w:t>
            </w:r>
          </w:p>
          <w:p>
            <w:pPr>
              <w:spacing w:after="200" w:line="276" w:lineRule="auto"/>
              <w:ind w:firstLine="420" w:firstLineChars="200"/>
              <w:rPr>
                <w:rFonts w:hint="eastAsia" w:ascii="宋体" w:hAnsi="宋体" w:cs="宋体"/>
              </w:rPr>
            </w:pPr>
            <w:r>
              <w:rPr>
                <w:rFonts w:hint="eastAsia" w:ascii="宋体" w:hAnsi="宋体" w:cs="宋体"/>
              </w:rPr>
              <w:t>1、平台或产品必须经过国家计算机病毒应急处理中心的检验，且提供证书证明；</w:t>
            </w:r>
          </w:p>
          <w:p>
            <w:pPr>
              <w:spacing w:after="200" w:line="276" w:lineRule="auto"/>
              <w:ind w:firstLine="420" w:firstLineChars="200"/>
              <w:rPr>
                <w:rFonts w:hint="eastAsia" w:ascii="宋体" w:hAnsi="宋体" w:cs="宋体"/>
              </w:rPr>
            </w:pPr>
            <w:r>
              <w:rPr>
                <w:rFonts w:hint="eastAsia" w:ascii="宋体" w:hAnsi="宋体" w:cs="宋体"/>
              </w:rPr>
              <w:t>2、支持IPv6 Ready Logo认证，提供证书证明；</w:t>
            </w:r>
          </w:p>
          <w:p>
            <w:pPr>
              <w:spacing w:after="200" w:line="276" w:lineRule="auto"/>
              <w:ind w:firstLine="420" w:firstLineChars="200"/>
              <w:rPr>
                <w:rFonts w:hint="eastAsia" w:ascii="宋体" w:hAnsi="宋体" w:cs="宋体"/>
              </w:rPr>
            </w:pPr>
            <w:r>
              <w:rPr>
                <w:rFonts w:hint="eastAsia" w:ascii="宋体" w:hAnsi="宋体" w:cs="宋体"/>
              </w:rPr>
              <w:t>3、威胁探针具有国家信息安全漏洞裤兼容性资质证书，提供证书证明。</w:t>
            </w:r>
          </w:p>
        </w:tc>
        <w:tc>
          <w:tcPr>
            <w:tcW w:w="461" w:type="pct"/>
            <w:noWrap w:val="0"/>
            <w:vAlign w:val="top"/>
          </w:tcPr>
          <w:p>
            <w:pPr>
              <w:spacing w:after="200" w:line="276" w:lineRule="auto"/>
              <w:jc w:val="center"/>
              <w:rPr>
                <w:rFonts w:ascii="宋体" w:hAnsi="宋体" w:cs="宋体"/>
              </w:rPr>
            </w:pPr>
            <w:r>
              <w:rPr>
                <w:rFonts w:hint="eastAsia" w:ascii="宋体" w:hAnsi="宋体" w:cs="宋体"/>
              </w:rPr>
              <w:t>1</w:t>
            </w:r>
          </w:p>
        </w:tc>
      </w:tr>
    </w:tbl>
    <w:p/>
    <w:p>
      <w:pPr>
        <w:pStyle w:val="22"/>
      </w:pPr>
      <w:r>
        <w:rPr>
          <w:rFonts w:hint="eastAsia"/>
        </w:rPr>
        <w:t>注</w:t>
      </w:r>
      <w:r>
        <w:rPr>
          <w:rFonts w:hint="eastAsia"/>
          <w:lang w:eastAsia="zh-CN"/>
        </w:rPr>
        <w:t>：</w:t>
      </w:r>
      <w:r>
        <w:rPr>
          <w:rFonts w:hint="eastAsia"/>
          <w:lang w:val="en-US" w:eastAsia="zh-CN"/>
        </w:rPr>
        <w:t>1、</w:t>
      </w:r>
      <w:r>
        <w:rPr>
          <w:rFonts w:hint="eastAsia"/>
        </w:rPr>
        <w:t>标“</w:t>
      </w:r>
      <w:r>
        <w:rPr>
          <w:rFonts w:hint="eastAsia" w:ascii="宋体" w:hAnsi="宋体" w:cs="宋体"/>
        </w:rPr>
        <w:t>★”项为必须满足项。</w:t>
      </w:r>
    </w:p>
    <w:p>
      <w:pPr>
        <w:rPr>
          <w:rFonts w:hint="default" w:eastAsia="宋体"/>
          <w:lang w:val="en-US" w:eastAsia="zh-CN"/>
        </w:rPr>
      </w:pPr>
      <w:r>
        <w:rPr>
          <w:rFonts w:hint="eastAsia"/>
          <w:lang w:val="en-US" w:eastAsia="zh-CN"/>
        </w:rPr>
        <w:t xml:space="preserve">       </w:t>
      </w:r>
      <w:r>
        <w:rPr>
          <w:rFonts w:hint="eastAsia" w:ascii="宋体" w:hAnsi="宋体" w:eastAsia="宋体" w:cs="宋体"/>
          <w:kern w:val="0"/>
          <w:sz w:val="21"/>
          <w:szCs w:val="21"/>
          <w:lang w:val="en-US" w:eastAsia="zh-CN" w:bidi="ar-SA"/>
        </w:rPr>
        <w:t xml:space="preserve"> 2. 以上设备均需提供</w:t>
      </w:r>
      <w:r>
        <w:rPr>
          <w:rFonts w:hint="eastAsia" w:ascii="宋体" w:hAnsi="宋体" w:eastAsia="宋体" w:cs="宋体"/>
          <w:b/>
          <w:bCs/>
          <w:kern w:val="0"/>
          <w:sz w:val="21"/>
          <w:szCs w:val="21"/>
          <w:lang w:val="en-US" w:eastAsia="zh-CN" w:bidi="ar-SA"/>
        </w:rPr>
        <w:t>3年免费原厂维保服务和特征库升级服务</w:t>
      </w:r>
    </w:p>
    <w:p>
      <w:pPr>
        <w:rPr>
          <w:rFonts w:hint="eastAsia"/>
        </w:rPr>
      </w:pPr>
    </w:p>
    <w:p>
      <w:pPr>
        <w:pStyle w:val="74"/>
        <w:rPr>
          <w:rFonts w:hint="eastAsia"/>
        </w:rPr>
      </w:pPr>
      <w:r>
        <w:rPr>
          <w:rFonts w:hint="eastAsia"/>
        </w:rPr>
        <w:t xml:space="preserve">  </w:t>
      </w:r>
      <w:bookmarkStart w:id="191" w:name="_Toc24552"/>
      <w:bookmarkStart w:id="192" w:name="_Toc28456"/>
      <w:bookmarkStart w:id="193" w:name="_Toc28230"/>
      <w:r>
        <w:rPr>
          <w:rFonts w:hint="eastAsia"/>
        </w:rPr>
        <w:t>设备采购合同</w:t>
      </w:r>
      <w:bookmarkEnd w:id="191"/>
      <w:bookmarkEnd w:id="192"/>
      <w:bookmarkEnd w:id="193"/>
    </w:p>
    <w:p>
      <w:pPr>
        <w:ind w:firstLine="480"/>
        <w:jc w:val="center"/>
        <w:rPr>
          <w:rFonts w:hint="eastAsia"/>
        </w:rPr>
      </w:pPr>
      <w:r>
        <w:rPr>
          <w:rFonts w:hint="eastAsia"/>
        </w:rPr>
        <w:t>（合同以最终签署版本为准）</w:t>
      </w:r>
    </w:p>
    <w:p>
      <w:pPr>
        <w:wordWrap w:val="0"/>
        <w:adjustRightInd w:val="0"/>
        <w:snapToGrid w:val="0"/>
        <w:spacing w:line="360" w:lineRule="auto"/>
        <w:ind w:firstLine="562"/>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pPr>
        <w:adjustRightInd w:val="0"/>
        <w:snapToGrid w:val="0"/>
        <w:spacing w:line="360" w:lineRule="auto"/>
        <w:ind w:firstLine="400"/>
        <w:jc w:val="left"/>
        <w:rPr>
          <w:rFonts w:ascii="宋体" w:hAnsi="宋体"/>
          <w:sz w:val="20"/>
          <w:szCs w:val="20"/>
        </w:rPr>
      </w:pPr>
    </w:p>
    <w:p>
      <w:pPr>
        <w:adjustRightInd w:val="0"/>
        <w:snapToGrid w:val="0"/>
        <w:spacing w:line="360" w:lineRule="auto"/>
        <w:ind w:firstLine="400"/>
        <w:jc w:val="left"/>
        <w:rPr>
          <w:rFonts w:ascii="宋体" w:hAnsi="宋体"/>
          <w:sz w:val="20"/>
          <w:szCs w:val="20"/>
        </w:rPr>
      </w:pPr>
    </w:p>
    <w:p>
      <w:pPr>
        <w:adjustRightInd w:val="0"/>
        <w:snapToGrid w:val="0"/>
        <w:spacing w:line="360" w:lineRule="auto"/>
        <w:ind w:firstLine="400"/>
        <w:jc w:val="left"/>
        <w:rPr>
          <w:rFonts w:ascii="宋体" w:hAnsi="宋体"/>
          <w:sz w:val="20"/>
          <w:szCs w:val="20"/>
        </w:rPr>
      </w:pPr>
    </w:p>
    <w:p>
      <w:pPr>
        <w:adjustRightInd w:val="0"/>
        <w:snapToGrid w:val="0"/>
        <w:spacing w:line="360" w:lineRule="auto"/>
        <w:ind w:firstLine="400"/>
        <w:jc w:val="left"/>
        <w:rPr>
          <w:rFonts w:ascii="宋体" w:hAnsi="宋体"/>
          <w:sz w:val="20"/>
          <w:szCs w:val="20"/>
        </w:rPr>
      </w:pPr>
    </w:p>
    <w:p>
      <w:pPr>
        <w:adjustRightInd w:val="0"/>
        <w:snapToGrid w:val="0"/>
        <w:spacing w:line="360" w:lineRule="auto"/>
        <w:jc w:val="center"/>
        <w:rPr>
          <w:rFonts w:ascii="宋体" w:hAnsi="宋体"/>
          <w:b/>
          <w:bCs/>
          <w:sz w:val="52"/>
          <w:szCs w:val="36"/>
        </w:rPr>
      </w:pPr>
      <w:r>
        <w:rPr>
          <w:rFonts w:hint="eastAsia" w:ascii="宋体" w:hAnsi="宋体"/>
          <w:b/>
          <w:bCs/>
          <w:sz w:val="52"/>
          <w:szCs w:val="36"/>
        </w:rPr>
        <w:t>设备采购</w:t>
      </w:r>
      <w:r>
        <w:rPr>
          <w:rFonts w:ascii="宋体" w:hAnsi="宋体"/>
          <w:b/>
          <w:bCs/>
          <w:sz w:val="52"/>
          <w:szCs w:val="36"/>
        </w:rPr>
        <w:t>合同</w:t>
      </w:r>
    </w:p>
    <w:p>
      <w:pPr>
        <w:adjustRightInd w:val="0"/>
        <w:snapToGrid w:val="0"/>
        <w:spacing w:line="360" w:lineRule="auto"/>
        <w:ind w:firstLine="723"/>
        <w:jc w:val="center"/>
        <w:rPr>
          <w:rFonts w:ascii="宋体" w:hAnsi="宋体"/>
          <w:b/>
          <w:sz w:val="36"/>
          <w:szCs w:val="36"/>
        </w:rPr>
      </w:pPr>
      <w:r>
        <w:rPr>
          <w:rFonts w:hint="eastAsia" w:ascii="宋体" w:hAnsi="宋体"/>
          <w:b/>
          <w:sz w:val="36"/>
          <w:szCs w:val="36"/>
        </w:rPr>
        <w:t>（合同以双方最终签署的版本为准）</w:t>
      </w:r>
    </w:p>
    <w:p>
      <w:pPr>
        <w:adjustRightInd w:val="0"/>
        <w:snapToGrid w:val="0"/>
        <w:spacing w:line="360" w:lineRule="auto"/>
        <w:ind w:firstLine="723"/>
        <w:jc w:val="left"/>
        <w:rPr>
          <w:rFonts w:ascii="宋体" w:hAnsi="宋体"/>
          <w:b/>
          <w:sz w:val="36"/>
          <w:szCs w:val="36"/>
        </w:rPr>
      </w:pPr>
    </w:p>
    <w:p>
      <w:pPr>
        <w:adjustRightInd w:val="0"/>
        <w:snapToGrid w:val="0"/>
        <w:spacing w:line="360" w:lineRule="auto"/>
        <w:ind w:firstLine="723"/>
        <w:jc w:val="left"/>
        <w:rPr>
          <w:rFonts w:ascii="宋体" w:hAnsi="宋体"/>
          <w:b/>
          <w:sz w:val="36"/>
          <w:szCs w:val="36"/>
        </w:rPr>
      </w:pPr>
    </w:p>
    <w:p>
      <w:pPr>
        <w:adjustRightInd w:val="0"/>
        <w:snapToGrid w:val="0"/>
        <w:spacing w:line="360" w:lineRule="auto"/>
        <w:ind w:firstLine="723"/>
        <w:jc w:val="left"/>
        <w:rPr>
          <w:rFonts w:ascii="宋体" w:hAnsi="宋体"/>
          <w:b/>
          <w:sz w:val="36"/>
          <w:szCs w:val="36"/>
        </w:rPr>
      </w:pPr>
    </w:p>
    <w:p>
      <w:pPr>
        <w:adjustRightInd w:val="0"/>
        <w:snapToGrid w:val="0"/>
        <w:spacing w:line="360" w:lineRule="auto"/>
        <w:ind w:firstLine="723"/>
        <w:jc w:val="left"/>
        <w:rPr>
          <w:rFonts w:ascii="宋体" w:hAnsi="宋体"/>
          <w:b/>
          <w:sz w:val="36"/>
          <w:szCs w:val="36"/>
        </w:rPr>
      </w:pPr>
    </w:p>
    <w:p>
      <w:pPr>
        <w:adjustRightInd w:val="0"/>
        <w:snapToGrid w:val="0"/>
        <w:spacing w:line="360" w:lineRule="auto"/>
        <w:ind w:firstLine="723"/>
        <w:jc w:val="left"/>
        <w:rPr>
          <w:rFonts w:ascii="宋体" w:hAnsi="宋体"/>
          <w:b/>
          <w:sz w:val="36"/>
          <w:szCs w:val="36"/>
        </w:rPr>
      </w:pPr>
    </w:p>
    <w:p>
      <w:pPr>
        <w:adjustRightInd w:val="0"/>
        <w:snapToGrid w:val="0"/>
        <w:spacing w:line="360" w:lineRule="auto"/>
        <w:ind w:firstLine="723"/>
        <w:jc w:val="left"/>
        <w:rPr>
          <w:rFonts w:ascii="宋体" w:hAnsi="宋体"/>
          <w:b/>
          <w:sz w:val="36"/>
          <w:szCs w:val="36"/>
        </w:rPr>
      </w:pPr>
    </w:p>
    <w:p>
      <w:pPr>
        <w:adjustRightInd w:val="0"/>
        <w:snapToGrid w:val="0"/>
        <w:spacing w:line="360" w:lineRule="auto"/>
        <w:ind w:firstLine="1906" w:firstLineChars="678"/>
        <w:jc w:val="left"/>
        <w:rPr>
          <w:rFonts w:ascii="宋体" w:hAnsi="宋体"/>
          <w:b/>
          <w:sz w:val="28"/>
          <w:szCs w:val="36"/>
        </w:rPr>
      </w:pPr>
      <w:r>
        <w:rPr>
          <w:rFonts w:hint="eastAsia" w:ascii="宋体" w:hAnsi="宋体"/>
          <w:b/>
          <w:sz w:val="28"/>
          <w:szCs w:val="36"/>
        </w:rPr>
        <w:t>甲  方：</w:t>
      </w:r>
      <w:r>
        <w:rPr>
          <w:rFonts w:ascii="宋体" w:hAnsi="宋体"/>
          <w:b/>
          <w:sz w:val="28"/>
          <w:szCs w:val="36"/>
          <w:u w:val="thick"/>
        </w:rPr>
        <w:t xml:space="preserve"> </w:t>
      </w:r>
      <w:r>
        <w:rPr>
          <w:rFonts w:hint="eastAsia" w:ascii="宋体" w:hAnsi="宋体"/>
          <w:b/>
          <w:sz w:val="28"/>
          <w:szCs w:val="36"/>
          <w:u w:val="thick"/>
        </w:rPr>
        <w:t>中国重汽集团</w:t>
      </w:r>
      <w:r>
        <w:rPr>
          <w:rFonts w:hint="eastAsia" w:ascii="宋体" w:hAnsi="宋体"/>
          <w:b/>
          <w:sz w:val="28"/>
          <w:szCs w:val="36"/>
          <w:u w:val="thick"/>
          <w:lang w:eastAsia="zh-CN"/>
        </w:rPr>
        <w:t>泰安五岳专用汽车</w:t>
      </w:r>
      <w:r>
        <w:rPr>
          <w:rFonts w:hint="eastAsia" w:ascii="宋体" w:hAnsi="宋体"/>
          <w:b/>
          <w:sz w:val="28"/>
          <w:szCs w:val="36"/>
          <w:u w:val="thick"/>
        </w:rPr>
        <w:t>有限公司</w:t>
      </w:r>
      <w:r>
        <w:rPr>
          <w:rFonts w:ascii="宋体" w:hAnsi="宋体"/>
          <w:b/>
          <w:sz w:val="28"/>
          <w:szCs w:val="36"/>
          <w:u w:val="thick"/>
        </w:rPr>
        <w:t xml:space="preserve"> </w:t>
      </w:r>
    </w:p>
    <w:p>
      <w:pPr>
        <w:adjustRightInd w:val="0"/>
        <w:snapToGrid w:val="0"/>
        <w:spacing w:line="360" w:lineRule="auto"/>
        <w:ind w:firstLine="1906" w:firstLineChars="678"/>
        <w:jc w:val="left"/>
        <w:rPr>
          <w:rFonts w:ascii="宋体" w:hAnsi="宋体"/>
          <w:b/>
          <w:sz w:val="28"/>
          <w:szCs w:val="36"/>
        </w:rPr>
      </w:pPr>
    </w:p>
    <w:p>
      <w:pPr>
        <w:adjustRightInd w:val="0"/>
        <w:snapToGrid w:val="0"/>
        <w:spacing w:line="360" w:lineRule="auto"/>
        <w:ind w:firstLine="1906" w:firstLineChars="678"/>
        <w:jc w:val="left"/>
        <w:rPr>
          <w:rFonts w:ascii="宋体" w:hAnsi="宋体"/>
          <w:b/>
          <w:sz w:val="28"/>
          <w:szCs w:val="36"/>
        </w:rPr>
      </w:pPr>
      <w:r>
        <w:rPr>
          <w:rFonts w:hint="eastAsia" w:ascii="宋体" w:hAnsi="宋体"/>
          <w:b/>
          <w:sz w:val="28"/>
          <w:szCs w:val="36"/>
        </w:rPr>
        <w:t>乙  方：</w:t>
      </w:r>
      <w:r>
        <w:rPr>
          <w:rFonts w:ascii="宋体" w:hAnsi="宋体"/>
          <w:b/>
          <w:sz w:val="28"/>
          <w:szCs w:val="36"/>
          <w:u w:val="thick"/>
        </w:rPr>
        <w:t xml:space="preserve">                          </w:t>
      </w:r>
      <w:r>
        <w:rPr>
          <w:rFonts w:hint="eastAsia" w:ascii="宋体" w:hAnsi="宋体"/>
          <w:b/>
          <w:sz w:val="28"/>
          <w:szCs w:val="36"/>
          <w:u w:val="thick"/>
        </w:rPr>
        <w:t xml:space="preserve">  </w:t>
      </w:r>
      <w:r>
        <w:rPr>
          <w:rFonts w:hint="eastAsia" w:ascii="宋体" w:hAnsi="宋体"/>
          <w:b/>
          <w:sz w:val="28"/>
          <w:szCs w:val="36"/>
          <w:u w:val="thick"/>
          <w:lang w:val="en-US" w:eastAsia="zh-CN"/>
        </w:rPr>
        <w:t xml:space="preserve">        </w:t>
      </w:r>
      <w:r>
        <w:rPr>
          <w:rFonts w:hint="eastAsia" w:ascii="宋体" w:hAnsi="宋体"/>
          <w:b/>
          <w:sz w:val="28"/>
          <w:szCs w:val="36"/>
          <w:u w:val="thick"/>
        </w:rPr>
        <w:t xml:space="preserve"> </w:t>
      </w:r>
      <w:r>
        <w:rPr>
          <w:rFonts w:ascii="宋体" w:hAnsi="宋体"/>
          <w:b/>
          <w:sz w:val="28"/>
          <w:szCs w:val="36"/>
          <w:u w:val="thick"/>
        </w:rPr>
        <w:t xml:space="preserve"> </w:t>
      </w:r>
    </w:p>
    <w:p>
      <w:pPr>
        <w:adjustRightInd w:val="0"/>
        <w:snapToGrid w:val="0"/>
        <w:spacing w:line="360" w:lineRule="auto"/>
        <w:ind w:firstLine="1906" w:firstLineChars="678"/>
        <w:jc w:val="left"/>
        <w:rPr>
          <w:rFonts w:ascii="宋体" w:hAnsi="宋体"/>
          <w:b/>
          <w:sz w:val="28"/>
          <w:szCs w:val="36"/>
        </w:rPr>
      </w:pPr>
    </w:p>
    <w:p>
      <w:pPr>
        <w:adjustRightInd w:val="0"/>
        <w:snapToGrid w:val="0"/>
        <w:spacing w:line="360" w:lineRule="auto"/>
        <w:ind w:firstLine="1906" w:firstLineChars="678"/>
        <w:jc w:val="left"/>
        <w:rPr>
          <w:rFonts w:ascii="宋体" w:hAnsi="宋体" w:cs="宋体"/>
          <w:bCs/>
          <w:sz w:val="22"/>
          <w:szCs w:val="22"/>
        </w:rPr>
        <w:sectPr>
          <w:footerReference r:id="rId4" w:type="default"/>
          <w:pgSz w:w="11907" w:h="16840"/>
          <w:pgMar w:top="1025" w:right="1418" w:bottom="1418" w:left="1418" w:header="724" w:footer="851" w:gutter="0"/>
          <w:pgNumType w:start="1"/>
          <w:cols w:space="720" w:num="1"/>
          <w:docGrid w:linePitch="290" w:charSpace="-3931"/>
        </w:sectPr>
      </w:pPr>
      <w:r>
        <w:rPr>
          <w:rFonts w:hint="eastAsia" w:ascii="宋体" w:hAnsi="宋体"/>
          <w:b/>
          <w:sz w:val="28"/>
          <w:szCs w:val="36"/>
        </w:rPr>
        <w:t>签订日期：</w:t>
      </w:r>
      <w:r>
        <w:rPr>
          <w:rFonts w:ascii="宋体" w:hAnsi="宋体"/>
          <w:b/>
          <w:sz w:val="28"/>
          <w:szCs w:val="36"/>
          <w:u w:val="thick"/>
        </w:rPr>
        <w:t xml:space="preserve">       </w:t>
      </w:r>
      <w:r>
        <w:rPr>
          <w:rFonts w:hint="eastAsia" w:ascii="宋体" w:hAnsi="宋体"/>
          <w:b/>
          <w:sz w:val="28"/>
          <w:szCs w:val="36"/>
        </w:rPr>
        <w:t>年</w:t>
      </w:r>
      <w:r>
        <w:rPr>
          <w:rFonts w:ascii="宋体" w:hAnsi="宋体"/>
          <w:b/>
          <w:sz w:val="28"/>
          <w:szCs w:val="36"/>
          <w:u w:val="thick"/>
        </w:rPr>
        <w:t xml:space="preserve">   </w:t>
      </w:r>
      <w:r>
        <w:rPr>
          <w:rFonts w:hint="eastAsia" w:ascii="宋体" w:hAnsi="宋体"/>
          <w:b/>
          <w:sz w:val="28"/>
          <w:szCs w:val="36"/>
          <w:u w:val="thick"/>
        </w:rPr>
        <w:t xml:space="preserve">  </w:t>
      </w:r>
      <w:r>
        <w:rPr>
          <w:rFonts w:ascii="宋体" w:hAnsi="宋体"/>
          <w:b/>
          <w:sz w:val="28"/>
          <w:szCs w:val="36"/>
          <w:u w:val="thick"/>
        </w:rPr>
        <w:t xml:space="preserve">   </w:t>
      </w:r>
      <w:r>
        <w:rPr>
          <w:rFonts w:hint="eastAsia" w:ascii="宋体" w:hAnsi="宋体"/>
          <w:b/>
          <w:sz w:val="28"/>
          <w:szCs w:val="36"/>
        </w:rPr>
        <w:t>月</w:t>
      </w:r>
      <w:r>
        <w:rPr>
          <w:rFonts w:ascii="宋体" w:hAnsi="宋体"/>
          <w:b/>
          <w:sz w:val="28"/>
          <w:szCs w:val="36"/>
          <w:u w:val="thick"/>
        </w:rPr>
        <w:t xml:space="preserve">   </w:t>
      </w:r>
      <w:r>
        <w:rPr>
          <w:rFonts w:hint="eastAsia" w:ascii="宋体" w:hAnsi="宋体"/>
          <w:b/>
          <w:sz w:val="28"/>
          <w:szCs w:val="36"/>
          <w:u w:val="thick"/>
        </w:rPr>
        <w:t xml:space="preserve">    </w:t>
      </w:r>
      <w:r>
        <w:rPr>
          <w:rFonts w:hint="eastAsia" w:ascii="宋体" w:hAnsi="宋体"/>
          <w:b/>
          <w:sz w:val="28"/>
          <w:szCs w:val="36"/>
        </w:rPr>
        <w:t>日</w:t>
      </w:r>
      <w:r>
        <w:rPr>
          <w:rFonts w:hint="eastAsia" w:ascii="宋体" w:hAnsi="宋体" w:cs="宋体"/>
          <w:bCs/>
          <w:sz w:val="24"/>
        </w:rPr>
        <w:t xml:space="preserve">                                </w:t>
      </w:r>
      <w:r>
        <w:rPr>
          <w:rFonts w:hint="eastAsia" w:eastAsia="楷体_GB2312"/>
          <w:sz w:val="24"/>
          <w:u w:val="single"/>
        </w:rPr>
        <w:t xml:space="preserve">        </w:t>
      </w:r>
    </w:p>
    <w:p>
      <w:pPr>
        <w:spacing w:line="360" w:lineRule="auto"/>
        <w:rPr>
          <w:rFonts w:ascii="宋体" w:hAnsi="宋体" w:cs="宋体"/>
          <w:bCs/>
          <w:sz w:val="22"/>
          <w:szCs w:val="22"/>
        </w:rPr>
      </w:pPr>
      <w:r>
        <w:rPr>
          <w:rFonts w:hint="eastAsia" w:ascii="宋体" w:hAnsi="宋体" w:cs="宋体"/>
          <w:bCs/>
          <w:sz w:val="22"/>
          <w:szCs w:val="22"/>
        </w:rPr>
        <w:t>甲方（买方）：</w:t>
      </w:r>
      <w:r>
        <w:rPr>
          <w:rFonts w:hint="eastAsia" w:ascii="宋体" w:hAnsi="宋体" w:cs="宋体"/>
          <w:b/>
          <w:bCs/>
          <w:sz w:val="22"/>
          <w:szCs w:val="22"/>
          <w:u w:val="single"/>
        </w:rPr>
        <w:t xml:space="preserve"> 中国重汽集团</w:t>
      </w:r>
      <w:r>
        <w:rPr>
          <w:rFonts w:hint="eastAsia" w:ascii="宋体" w:hAnsi="宋体" w:cs="宋体"/>
          <w:b/>
          <w:bCs/>
          <w:sz w:val="22"/>
          <w:szCs w:val="22"/>
          <w:u w:val="single"/>
          <w:lang w:eastAsia="zh-CN"/>
        </w:rPr>
        <w:t>泰安五岳专用汽车</w:t>
      </w:r>
      <w:r>
        <w:rPr>
          <w:rFonts w:hint="eastAsia" w:ascii="宋体" w:hAnsi="宋体" w:cs="宋体"/>
          <w:b/>
          <w:bCs/>
          <w:sz w:val="22"/>
          <w:szCs w:val="22"/>
          <w:u w:val="single"/>
        </w:rPr>
        <w:t xml:space="preserve">有限公司 </w:t>
      </w:r>
      <w:r>
        <w:rPr>
          <w:rFonts w:hint="eastAsia" w:ascii="宋体" w:hAnsi="宋体" w:cs="宋体"/>
          <w:bCs/>
          <w:sz w:val="22"/>
          <w:szCs w:val="22"/>
        </w:rPr>
        <w:t xml:space="preserve">      </w:t>
      </w:r>
    </w:p>
    <w:p>
      <w:pPr>
        <w:spacing w:line="360" w:lineRule="auto"/>
        <w:ind w:firstLine="440"/>
        <w:rPr>
          <w:rFonts w:ascii="宋体" w:hAnsi="宋体" w:cs="宋体"/>
          <w:bCs/>
          <w:sz w:val="22"/>
          <w:szCs w:val="22"/>
        </w:rPr>
      </w:pPr>
      <w:r>
        <w:rPr>
          <w:rFonts w:hint="eastAsia" w:ascii="宋体" w:hAnsi="宋体" w:cs="宋体"/>
          <w:bCs/>
          <w:sz w:val="22"/>
          <w:szCs w:val="22"/>
        </w:rPr>
        <w:t xml:space="preserve">    </w:t>
      </w:r>
    </w:p>
    <w:p>
      <w:pPr>
        <w:ind w:right="-189" w:rightChars="-90" w:firstLine="110" w:firstLineChars="50"/>
        <w:jc w:val="left"/>
        <w:rPr>
          <w:rFonts w:ascii="宋体" w:hAnsi="宋体" w:cs="宋体"/>
          <w:b/>
          <w:bCs/>
          <w:sz w:val="22"/>
          <w:szCs w:val="22"/>
          <w:u w:val="single"/>
        </w:rPr>
      </w:pPr>
      <w:r>
        <w:rPr>
          <w:rFonts w:hint="eastAsia" w:ascii="宋体" w:hAnsi="宋体" w:cs="宋体"/>
          <w:bCs/>
          <w:sz w:val="22"/>
          <w:szCs w:val="22"/>
        </w:rPr>
        <w:t>乙方（卖方）：</w:t>
      </w:r>
      <w:r>
        <w:rPr>
          <w:rFonts w:hint="eastAsia" w:ascii="宋体" w:hAnsi="宋体" w:cs="宋体"/>
          <w:b/>
          <w:bCs/>
          <w:sz w:val="22"/>
          <w:szCs w:val="22"/>
          <w:u w:val="single"/>
        </w:rPr>
        <w:t xml:space="preserve">       </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single"/>
        </w:rPr>
        <w:t xml:space="preserve">   </w:t>
      </w:r>
    </w:p>
    <w:p>
      <w:pPr>
        <w:ind w:right="-189" w:rightChars="-90" w:firstLine="110" w:firstLineChars="50"/>
        <w:jc w:val="left"/>
        <w:rPr>
          <w:rFonts w:ascii="宋体" w:hAnsi="宋体" w:cs="宋体"/>
          <w:b/>
          <w:bCs/>
          <w:sz w:val="22"/>
          <w:szCs w:val="22"/>
          <w:u w:val="single"/>
        </w:rPr>
      </w:pPr>
    </w:p>
    <w:p>
      <w:pPr>
        <w:ind w:right="-189" w:rightChars="-90" w:firstLine="110" w:firstLineChars="50"/>
        <w:jc w:val="left"/>
        <w:rPr>
          <w:rFonts w:ascii="宋体" w:hAnsi="宋体" w:cs="宋体"/>
          <w:b/>
          <w:bCs/>
          <w:sz w:val="22"/>
          <w:szCs w:val="22"/>
          <w:u w:val="single"/>
        </w:rPr>
      </w:pPr>
    </w:p>
    <w:p>
      <w:pPr>
        <w:spacing w:line="360" w:lineRule="auto"/>
        <w:ind w:firstLine="440" w:firstLineChars="200"/>
        <w:rPr>
          <w:rFonts w:ascii="宋体" w:hAnsi="宋体" w:cs="宋体"/>
          <w:bCs/>
          <w:sz w:val="22"/>
          <w:szCs w:val="22"/>
        </w:rPr>
      </w:pPr>
      <w:r>
        <w:rPr>
          <w:rFonts w:hint="eastAsia" w:ascii="宋体" w:hAnsi="宋体" w:cs="宋体"/>
          <w:bCs/>
          <w:sz w:val="22"/>
          <w:szCs w:val="22"/>
        </w:rPr>
        <w:t>本设备采购合同由甲乙双方于</w:t>
      </w:r>
      <w:r>
        <w:rPr>
          <w:rFonts w:hint="eastAsia" w:ascii="宋体" w:hAnsi="宋体" w:cs="宋体"/>
          <w:bCs/>
          <w:sz w:val="22"/>
          <w:szCs w:val="22"/>
          <w:u w:val="single"/>
        </w:rPr>
        <w:t>山东省</w:t>
      </w:r>
      <w:r>
        <w:rPr>
          <w:rFonts w:hint="eastAsia" w:ascii="宋体" w:hAnsi="宋体" w:cs="宋体"/>
          <w:bCs/>
          <w:sz w:val="22"/>
          <w:szCs w:val="22"/>
          <w:u w:val="single"/>
          <w:lang w:eastAsia="zh-CN"/>
        </w:rPr>
        <w:t>泰安</w:t>
      </w:r>
      <w:r>
        <w:rPr>
          <w:rFonts w:hint="eastAsia" w:ascii="宋体" w:hAnsi="宋体" w:cs="宋体"/>
          <w:bCs/>
          <w:sz w:val="22"/>
          <w:szCs w:val="22"/>
          <w:u w:val="single"/>
        </w:rPr>
        <w:t>市</w:t>
      </w:r>
      <w:r>
        <w:rPr>
          <w:rFonts w:hint="eastAsia" w:ascii="宋体" w:hAnsi="宋体" w:cs="宋体"/>
          <w:bCs/>
          <w:i/>
          <w:iCs/>
          <w:sz w:val="22"/>
          <w:szCs w:val="22"/>
        </w:rPr>
        <w:t>（</w:t>
      </w:r>
      <w:r>
        <w:rPr>
          <w:rFonts w:hint="eastAsia" w:ascii="宋体" w:hAnsi="宋体" w:cs="宋体"/>
          <w:i/>
          <w:iCs/>
          <w:sz w:val="22"/>
          <w:szCs w:val="22"/>
        </w:rPr>
        <w:t>可根据实际情况调整</w:t>
      </w:r>
      <w:r>
        <w:rPr>
          <w:rFonts w:hint="eastAsia" w:ascii="宋体" w:hAnsi="宋体" w:cs="宋体"/>
          <w:bCs/>
          <w:i/>
          <w:iCs/>
          <w:sz w:val="22"/>
          <w:szCs w:val="22"/>
        </w:rPr>
        <w:t>）</w:t>
      </w:r>
      <w:r>
        <w:rPr>
          <w:rFonts w:hint="eastAsia" w:ascii="宋体" w:hAnsi="宋体" w:cs="宋体"/>
          <w:bCs/>
          <w:sz w:val="22"/>
          <w:szCs w:val="22"/>
        </w:rPr>
        <w:t>签订：</w:t>
      </w:r>
    </w:p>
    <w:p>
      <w:pPr>
        <w:ind w:right="-189" w:rightChars="-90" w:firstLine="440" w:firstLineChars="200"/>
        <w:jc w:val="left"/>
        <w:rPr>
          <w:rFonts w:ascii="宋体" w:hAnsi="宋体"/>
          <w:sz w:val="22"/>
          <w:szCs w:val="22"/>
        </w:rPr>
      </w:pPr>
      <w:r>
        <w:rPr>
          <w:rFonts w:hint="eastAsia" w:ascii="宋体" w:hAnsi="宋体"/>
          <w:sz w:val="22"/>
          <w:szCs w:val="22"/>
        </w:rPr>
        <w:t>鉴于，买方向卖方购买</w:t>
      </w:r>
      <w:r>
        <w:rPr>
          <w:rFonts w:hint="eastAsia" w:ascii="宋体" w:hAnsi="宋体"/>
          <w:sz w:val="22"/>
          <w:szCs w:val="22"/>
          <w:u w:val="single"/>
        </w:rPr>
        <w:t xml:space="preserve">     </w:t>
      </w:r>
      <w:r>
        <w:rPr>
          <w:rFonts w:hint="eastAsia" w:ascii="宋体" w:hAnsi="宋体"/>
          <w:sz w:val="22"/>
          <w:szCs w:val="22"/>
        </w:rPr>
        <w:t>项目</w:t>
      </w:r>
      <w:r>
        <w:rPr>
          <w:rFonts w:hint="eastAsia" w:ascii="宋体" w:hAnsi="宋体"/>
          <w:sz w:val="22"/>
          <w:szCs w:val="22"/>
          <w:u w:val="single"/>
        </w:rPr>
        <w:t xml:space="preserve">   </w:t>
      </w:r>
      <w:r>
        <w:rPr>
          <w:rFonts w:hint="eastAsia" w:ascii="宋体" w:hAnsi="宋体"/>
          <w:sz w:val="22"/>
          <w:szCs w:val="22"/>
        </w:rPr>
        <w:t>设备</w:t>
      </w:r>
      <w:r>
        <w:rPr>
          <w:rFonts w:hint="eastAsia" w:ascii="宋体" w:hAnsi="宋体"/>
          <w:sz w:val="22"/>
          <w:szCs w:val="22"/>
          <w:u w:val="single"/>
        </w:rPr>
        <w:t xml:space="preserve">    </w:t>
      </w:r>
      <w:r>
        <w:rPr>
          <w:rFonts w:hint="eastAsia" w:ascii="宋体" w:hAnsi="宋体"/>
          <w:sz w:val="22"/>
          <w:szCs w:val="22"/>
        </w:rPr>
        <w:t>台（套），就该设备的设计、制造、运输、定点卸货、安装</w:t>
      </w:r>
      <w:r>
        <w:rPr>
          <w:rFonts w:hint="eastAsia" w:ascii="宋体" w:hAnsi="宋体"/>
          <w:i/>
          <w:iCs/>
          <w:sz w:val="22"/>
          <w:szCs w:val="22"/>
        </w:rPr>
        <w:t>（</w:t>
      </w:r>
      <w:r>
        <w:rPr>
          <w:rFonts w:hint="eastAsia" w:ascii="宋体" w:hAnsi="宋体" w:cs="宋体"/>
          <w:i/>
          <w:iCs/>
          <w:sz w:val="22"/>
          <w:szCs w:val="22"/>
        </w:rPr>
        <w:t>或指导安装</w:t>
      </w:r>
      <w:r>
        <w:rPr>
          <w:rFonts w:hint="eastAsia" w:ascii="宋体" w:hAnsi="宋体"/>
          <w:i/>
          <w:iCs/>
          <w:sz w:val="22"/>
          <w:szCs w:val="22"/>
        </w:rPr>
        <w:t>）</w:t>
      </w:r>
      <w:r>
        <w:rPr>
          <w:rFonts w:hint="eastAsia" w:ascii="宋体" w:hAnsi="宋体"/>
          <w:sz w:val="22"/>
          <w:szCs w:val="22"/>
        </w:rPr>
        <w:t>、调试、验收、培训及售后服务等有关问题，以上所列内容经买卖双方协商自愿达成本合同：</w:t>
      </w:r>
    </w:p>
    <w:p>
      <w:pPr>
        <w:ind w:right="-189" w:rightChars="-90" w:firstLine="440" w:firstLineChars="200"/>
        <w:jc w:val="left"/>
        <w:rPr>
          <w:rFonts w:ascii="宋体" w:hAnsi="宋体"/>
          <w:sz w:val="22"/>
          <w:szCs w:val="22"/>
        </w:rPr>
      </w:pPr>
    </w:p>
    <w:p>
      <w:pPr>
        <w:pStyle w:val="292"/>
        <w:numPr>
          <w:ilvl w:val="0"/>
          <w:numId w:val="1"/>
        </w:numPr>
        <w:tabs>
          <w:tab w:val="right" w:leader="dot" w:pos="9061"/>
        </w:tabs>
        <w:spacing w:line="360" w:lineRule="auto"/>
        <w:ind w:firstLineChars="0"/>
        <w:jc w:val="center"/>
        <w:outlineLvl w:val="0"/>
        <w:rPr>
          <w:rFonts w:hint="eastAsia"/>
          <w:b/>
          <w:iCs/>
          <w:vanish/>
          <w:sz w:val="36"/>
          <w:szCs w:val="20"/>
        </w:rPr>
      </w:pPr>
      <w:bookmarkStart w:id="194" w:name="_Toc129697493"/>
      <w:bookmarkEnd w:id="194"/>
      <w:bookmarkStart w:id="195" w:name="_Toc386"/>
      <w:bookmarkStart w:id="196" w:name="_Toc11930"/>
      <w:bookmarkStart w:id="197" w:name="_Toc1966"/>
      <w:bookmarkStart w:id="198" w:name="_Toc22691"/>
      <w:bookmarkStart w:id="199" w:name="_Toc129674519"/>
      <w:bookmarkStart w:id="200" w:name="_Toc23245"/>
      <w:bookmarkStart w:id="201" w:name="_Toc26087"/>
      <w:bookmarkStart w:id="202" w:name="_Toc17619"/>
      <w:bookmarkStart w:id="203" w:name="_Toc16330018"/>
      <w:bookmarkStart w:id="204" w:name="_Toc11823"/>
      <w:bookmarkStart w:id="205" w:name="_Toc13253"/>
      <w:bookmarkStart w:id="206" w:name="_Toc28394"/>
      <w:bookmarkStart w:id="207" w:name="_Toc2393"/>
      <w:bookmarkStart w:id="208" w:name="_Toc10415"/>
    </w:p>
    <w:p>
      <w:pPr>
        <w:pStyle w:val="292"/>
        <w:numPr>
          <w:ilvl w:val="0"/>
          <w:numId w:val="1"/>
        </w:numPr>
        <w:tabs>
          <w:tab w:val="right" w:leader="dot" w:pos="9061"/>
        </w:tabs>
        <w:spacing w:line="360" w:lineRule="auto"/>
        <w:ind w:firstLineChars="0"/>
        <w:jc w:val="center"/>
        <w:outlineLvl w:val="0"/>
        <w:rPr>
          <w:rFonts w:hint="eastAsia"/>
          <w:b/>
          <w:iCs/>
          <w:vanish/>
          <w:sz w:val="36"/>
          <w:szCs w:val="20"/>
        </w:rPr>
      </w:pPr>
      <w:bookmarkStart w:id="209" w:name="_Toc129697494"/>
      <w:bookmarkEnd w:id="209"/>
    </w:p>
    <w:p>
      <w:pPr>
        <w:pStyle w:val="292"/>
        <w:numPr>
          <w:ilvl w:val="0"/>
          <w:numId w:val="1"/>
        </w:numPr>
        <w:tabs>
          <w:tab w:val="right" w:leader="dot" w:pos="9061"/>
        </w:tabs>
        <w:spacing w:line="360" w:lineRule="auto"/>
        <w:ind w:firstLineChars="0"/>
        <w:jc w:val="center"/>
        <w:outlineLvl w:val="0"/>
        <w:rPr>
          <w:rFonts w:hint="eastAsia"/>
          <w:b/>
          <w:iCs/>
          <w:vanish/>
          <w:sz w:val="36"/>
          <w:szCs w:val="20"/>
        </w:rPr>
      </w:pPr>
      <w:bookmarkStart w:id="210" w:name="_Toc129697495"/>
      <w:bookmarkEnd w:id="210"/>
    </w:p>
    <w:p>
      <w:pPr>
        <w:rPr>
          <w:rFonts w:hint="eastAsia"/>
          <w:b/>
          <w:bCs/>
        </w:rPr>
      </w:pPr>
      <w:bookmarkStart w:id="211" w:name="_Toc129697496"/>
      <w:r>
        <w:rPr>
          <w:rFonts w:hint="eastAsia"/>
          <w:b/>
          <w:bCs/>
        </w:rPr>
        <w:t>1合同设备</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11"/>
    </w:p>
    <w:p>
      <w:pPr>
        <w:spacing w:line="220" w:lineRule="atLeast"/>
        <w:ind w:firstLine="378" w:firstLineChars="189"/>
        <w:rPr>
          <w:rFonts w:ascii="宋体" w:hAnsi="宋体" w:cs="宋体"/>
          <w:sz w:val="20"/>
          <w:szCs w:val="20"/>
        </w:rPr>
      </w:pPr>
      <w:r>
        <w:rPr>
          <w:rFonts w:hint="eastAsia" w:ascii="宋体" w:hAnsi="宋体" w:cs="宋体"/>
          <w:sz w:val="20"/>
          <w:szCs w:val="20"/>
        </w:rPr>
        <w:t>1.1买方向卖方购买的设备信息见附件一：《设备清单明细表》</w:t>
      </w:r>
    </w:p>
    <w:p>
      <w:pPr>
        <w:spacing w:line="360" w:lineRule="auto"/>
        <w:ind w:firstLine="378" w:firstLineChars="189"/>
        <w:rPr>
          <w:rFonts w:ascii="宋体" w:hAnsi="宋体" w:cs="宋体"/>
          <w:sz w:val="20"/>
          <w:szCs w:val="20"/>
        </w:rPr>
      </w:pPr>
      <w:bookmarkStart w:id="212" w:name="_Toc29026"/>
      <w:bookmarkStart w:id="213" w:name="_Toc32510"/>
      <w:bookmarkStart w:id="214" w:name="_Toc22800"/>
      <w:r>
        <w:rPr>
          <w:rFonts w:hint="eastAsia" w:ascii="宋体" w:hAnsi="宋体" w:cs="宋体"/>
          <w:sz w:val="20"/>
          <w:szCs w:val="20"/>
        </w:rPr>
        <w:t>1.2技术规格和标准</w:t>
      </w:r>
    </w:p>
    <w:p>
      <w:pPr>
        <w:spacing w:line="360" w:lineRule="auto"/>
        <w:ind w:firstLine="378" w:firstLineChars="189"/>
        <w:rPr>
          <w:rFonts w:ascii="宋体" w:hAnsi="宋体" w:cs="宋体"/>
          <w:sz w:val="20"/>
          <w:szCs w:val="20"/>
        </w:rPr>
      </w:pPr>
      <w:r>
        <w:rPr>
          <w:rFonts w:hint="eastAsia" w:ascii="宋体" w:hAnsi="宋体" w:cs="宋体"/>
          <w:sz w:val="20"/>
          <w:szCs w:val="20"/>
        </w:rPr>
        <w:t>1.2.1本合同约定设备的技术规格详见附件二《技术协议书》。</w:t>
      </w:r>
    </w:p>
    <w:p>
      <w:pPr>
        <w:spacing w:line="360" w:lineRule="auto"/>
        <w:ind w:firstLine="378" w:firstLineChars="189"/>
        <w:rPr>
          <w:rFonts w:ascii="宋体" w:hAnsi="宋体" w:cs="宋体"/>
          <w:sz w:val="20"/>
          <w:szCs w:val="20"/>
        </w:rPr>
      </w:pPr>
      <w:r>
        <w:rPr>
          <w:rFonts w:hint="eastAsia" w:ascii="宋体" w:hAnsi="宋体" w:cs="宋体"/>
          <w:sz w:val="20"/>
          <w:szCs w:val="20"/>
        </w:rPr>
        <w:t>1.2.2本合同约定设备的技术规格应与《技术协议书》中规定的相应标准一致。若《技术协议书》无相应规定或未签署《技术协议书》，设备的技术规格则应符合相应的国家标准、其原产地国家有关部门最新颁布的相应正式标准、买方招标文件及卖方一切书面承诺中要求的技术标准。</w:t>
      </w:r>
    </w:p>
    <w:p>
      <w:pPr>
        <w:spacing w:line="360" w:lineRule="auto"/>
        <w:ind w:firstLine="378" w:firstLineChars="189"/>
        <w:rPr>
          <w:rFonts w:ascii="宋体" w:hAnsi="宋体" w:cs="宋体"/>
          <w:sz w:val="20"/>
          <w:szCs w:val="20"/>
        </w:rPr>
      </w:pPr>
      <w:r>
        <w:rPr>
          <w:rFonts w:hint="eastAsia" w:ascii="宋体" w:hAnsi="宋体" w:cs="宋体"/>
          <w:sz w:val="20"/>
          <w:szCs w:val="20"/>
        </w:rPr>
        <w:t>1.3在设备所有权转移到买方之前，有关设备的保险由卖方负责办理并承担保险费用。</w:t>
      </w:r>
    </w:p>
    <w:p>
      <w:pPr>
        <w:rPr>
          <w:rFonts w:hint="eastAsia"/>
          <w:b/>
          <w:bCs/>
        </w:rPr>
      </w:pPr>
      <w:bookmarkStart w:id="215" w:name="_Toc129674520"/>
      <w:bookmarkStart w:id="216" w:name="_Toc14992"/>
      <w:bookmarkStart w:id="217" w:name="_Toc91"/>
      <w:bookmarkStart w:id="218" w:name="_Toc10152"/>
      <w:bookmarkStart w:id="219" w:name="_Toc27507"/>
      <w:bookmarkStart w:id="220" w:name="_Toc11656"/>
      <w:bookmarkStart w:id="221" w:name="_Toc129697497"/>
      <w:bookmarkStart w:id="222" w:name="_Toc3168"/>
      <w:bookmarkStart w:id="223" w:name="_Toc16330019"/>
      <w:bookmarkStart w:id="224" w:name="_Toc12797"/>
      <w:bookmarkStart w:id="225" w:name="_Toc3679"/>
      <w:bookmarkStart w:id="226" w:name="_Toc13004"/>
      <w:r>
        <w:rPr>
          <w:rFonts w:hint="eastAsia"/>
          <w:b/>
          <w:bCs/>
        </w:rPr>
        <w:t>2包装</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spacing w:line="360" w:lineRule="auto"/>
        <w:ind w:firstLine="378" w:firstLineChars="189"/>
        <w:rPr>
          <w:rFonts w:ascii="宋体" w:hAnsi="宋体" w:cs="宋体"/>
          <w:sz w:val="20"/>
          <w:szCs w:val="20"/>
        </w:rPr>
      </w:pPr>
      <w:r>
        <w:rPr>
          <w:rFonts w:hint="eastAsia" w:ascii="宋体" w:hAnsi="宋体" w:cs="宋体"/>
          <w:sz w:val="20"/>
          <w:szCs w:val="20"/>
        </w:rPr>
        <w:t>2.1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安全抵运现场。卖方应承担由于其包装、防护不妥而引起的设备锈蚀、损坏、丢失等任何损失的责任和费用。</w:t>
      </w:r>
    </w:p>
    <w:p>
      <w:pPr>
        <w:spacing w:line="360" w:lineRule="auto"/>
        <w:ind w:firstLine="378" w:firstLineChars="189"/>
        <w:rPr>
          <w:rFonts w:ascii="宋体" w:hAnsi="宋体" w:cs="宋体"/>
          <w:sz w:val="20"/>
          <w:szCs w:val="20"/>
        </w:rPr>
      </w:pPr>
      <w:r>
        <w:rPr>
          <w:rFonts w:hint="eastAsia" w:ascii="宋体" w:hAnsi="宋体" w:cs="宋体"/>
          <w:sz w:val="20"/>
          <w:szCs w:val="20"/>
        </w:rPr>
        <w:t>2.2每件包装应附有详细的装箱单和质量证书各两套，一套在包装箱里，一套在包装箱外。</w:t>
      </w:r>
    </w:p>
    <w:p>
      <w:pPr>
        <w:rPr>
          <w:b/>
          <w:bCs/>
        </w:rPr>
      </w:pPr>
      <w:bookmarkStart w:id="227" w:name="_Toc16330020"/>
      <w:bookmarkStart w:id="228" w:name="_Toc8891"/>
      <w:bookmarkStart w:id="229" w:name="_Toc14308"/>
      <w:bookmarkStart w:id="230" w:name="_Toc129674521"/>
      <w:bookmarkStart w:id="231" w:name="_Toc27453"/>
      <w:bookmarkStart w:id="232" w:name="_Toc19916"/>
      <w:bookmarkStart w:id="233" w:name="_Toc1291"/>
      <w:bookmarkStart w:id="234" w:name="_Toc22184"/>
      <w:bookmarkStart w:id="235" w:name="_Toc2833"/>
      <w:bookmarkStart w:id="236" w:name="_Toc12627"/>
      <w:bookmarkStart w:id="237" w:name="_Toc4556"/>
      <w:bookmarkStart w:id="238" w:name="_Toc27144"/>
      <w:bookmarkStart w:id="239" w:name="_Toc25090"/>
      <w:bookmarkStart w:id="240" w:name="_Toc16600"/>
      <w:bookmarkStart w:id="241" w:name="_Toc129697498"/>
      <w:r>
        <w:rPr>
          <w:rFonts w:hint="eastAsia"/>
          <w:b/>
          <w:bCs/>
        </w:rPr>
        <w:t>3运输标记</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spacing w:line="360" w:lineRule="auto"/>
        <w:ind w:firstLine="378" w:firstLineChars="189"/>
        <w:rPr>
          <w:rFonts w:ascii="宋体" w:hAnsi="宋体" w:cs="宋体"/>
          <w:sz w:val="20"/>
          <w:szCs w:val="20"/>
        </w:rPr>
      </w:pPr>
      <w:r>
        <w:rPr>
          <w:rFonts w:hint="eastAsia" w:ascii="宋体" w:hAnsi="宋体" w:cs="宋体"/>
          <w:sz w:val="20"/>
          <w:szCs w:val="20"/>
        </w:rPr>
        <w:t>3.1卖方应在每一包装箱邻近的四个侧面用不易褪色的油漆以醒目的中文印刷字体标明以下各项：</w:t>
      </w:r>
    </w:p>
    <w:p>
      <w:pPr>
        <w:spacing w:line="360" w:lineRule="auto"/>
        <w:ind w:firstLine="378" w:firstLineChars="189"/>
        <w:rPr>
          <w:rFonts w:ascii="宋体" w:hAnsi="宋体" w:cs="宋体"/>
          <w:sz w:val="20"/>
          <w:szCs w:val="20"/>
        </w:rPr>
      </w:pPr>
      <w:r>
        <w:rPr>
          <w:rFonts w:hint="eastAsia" w:ascii="宋体" w:hAnsi="宋体" w:cs="宋体"/>
          <w:sz w:val="20"/>
          <w:szCs w:val="20"/>
        </w:rPr>
        <w:t>3.1.1收货人</w:t>
      </w:r>
    </w:p>
    <w:p>
      <w:pPr>
        <w:spacing w:line="360" w:lineRule="auto"/>
        <w:ind w:firstLine="378" w:firstLineChars="189"/>
        <w:rPr>
          <w:rFonts w:ascii="宋体" w:hAnsi="宋体" w:cs="宋体"/>
          <w:sz w:val="20"/>
          <w:szCs w:val="20"/>
        </w:rPr>
      </w:pPr>
      <w:r>
        <w:rPr>
          <w:rFonts w:hint="eastAsia" w:ascii="宋体" w:hAnsi="宋体" w:cs="宋体"/>
          <w:sz w:val="20"/>
          <w:szCs w:val="20"/>
        </w:rPr>
        <w:t>3.1.2合同号</w:t>
      </w:r>
    </w:p>
    <w:p>
      <w:pPr>
        <w:spacing w:line="360" w:lineRule="auto"/>
        <w:ind w:firstLine="378" w:firstLineChars="189"/>
        <w:rPr>
          <w:rFonts w:ascii="宋体" w:hAnsi="宋体" w:cs="宋体"/>
          <w:sz w:val="20"/>
          <w:szCs w:val="20"/>
        </w:rPr>
      </w:pPr>
      <w:r>
        <w:rPr>
          <w:rFonts w:hint="eastAsia" w:ascii="宋体" w:hAnsi="宋体" w:cs="宋体"/>
          <w:sz w:val="20"/>
          <w:szCs w:val="20"/>
        </w:rPr>
        <w:t>3.1.3发货标记（唛头）</w:t>
      </w:r>
    </w:p>
    <w:p>
      <w:pPr>
        <w:spacing w:line="360" w:lineRule="auto"/>
        <w:ind w:firstLine="378" w:firstLineChars="189"/>
        <w:rPr>
          <w:rFonts w:ascii="宋体" w:hAnsi="宋体" w:cs="宋体"/>
          <w:sz w:val="20"/>
          <w:szCs w:val="20"/>
        </w:rPr>
      </w:pPr>
      <w:r>
        <w:rPr>
          <w:rFonts w:hint="eastAsia" w:ascii="宋体" w:hAnsi="宋体" w:cs="宋体"/>
          <w:sz w:val="20"/>
          <w:szCs w:val="20"/>
        </w:rPr>
        <w:t>3.1.4设备的名称、品目号、箱号</w:t>
      </w:r>
    </w:p>
    <w:p>
      <w:pPr>
        <w:spacing w:line="360" w:lineRule="auto"/>
        <w:ind w:firstLine="378" w:firstLineChars="189"/>
        <w:rPr>
          <w:rFonts w:ascii="宋体" w:hAnsi="宋体" w:cs="宋体"/>
          <w:sz w:val="20"/>
          <w:szCs w:val="20"/>
        </w:rPr>
      </w:pPr>
      <w:r>
        <w:rPr>
          <w:rFonts w:hint="eastAsia" w:ascii="宋体" w:hAnsi="宋体" w:cs="宋体"/>
          <w:sz w:val="20"/>
          <w:szCs w:val="20"/>
        </w:rPr>
        <w:t>3.1.5毛重/净重（公斤）</w:t>
      </w:r>
    </w:p>
    <w:p>
      <w:pPr>
        <w:spacing w:line="360" w:lineRule="auto"/>
        <w:ind w:firstLine="378" w:firstLineChars="189"/>
        <w:rPr>
          <w:rFonts w:ascii="宋体" w:hAnsi="宋体" w:cs="宋体"/>
          <w:sz w:val="20"/>
          <w:szCs w:val="20"/>
        </w:rPr>
      </w:pPr>
      <w:r>
        <w:rPr>
          <w:rFonts w:hint="eastAsia" w:ascii="宋体" w:hAnsi="宋体" w:cs="宋体"/>
          <w:sz w:val="20"/>
          <w:szCs w:val="20"/>
        </w:rPr>
        <w:t>3.1.6尺寸（长×宽×高，以厘米计）</w:t>
      </w:r>
    </w:p>
    <w:p>
      <w:pPr>
        <w:spacing w:line="360" w:lineRule="auto"/>
        <w:ind w:firstLine="378" w:firstLineChars="189"/>
        <w:rPr>
          <w:rFonts w:hint="eastAsia" w:ascii="宋体" w:hAnsi="宋体" w:cs="宋体"/>
          <w:sz w:val="20"/>
          <w:szCs w:val="20"/>
        </w:rPr>
      </w:pPr>
      <w:r>
        <w:rPr>
          <w:rFonts w:hint="eastAsia" w:ascii="宋体" w:hAnsi="宋体" w:cs="宋体"/>
          <w:sz w:val="20"/>
          <w:szCs w:val="20"/>
        </w:rPr>
        <w:t>3.2根据设备的特点和运输的不同要求，卖方应在每件包装箱的两侧以国内贸易相宜的运输标志标明“重心”和“吊装点”，并以清晰的字样在包装箱上注明“小心轻放”、“勿倒置”、“防潮”等适当的标志，以方便装卸和搬运。</w:t>
      </w:r>
    </w:p>
    <w:p>
      <w:pPr>
        <w:rPr>
          <w:b/>
          <w:bCs/>
        </w:rPr>
      </w:pPr>
      <w:bookmarkStart w:id="242" w:name="_Toc10630"/>
      <w:bookmarkStart w:id="243" w:name="_Toc32135"/>
      <w:bookmarkStart w:id="244" w:name="_Toc9428"/>
      <w:bookmarkStart w:id="245" w:name="_Toc15591"/>
      <w:bookmarkStart w:id="246" w:name="_Toc31028"/>
      <w:bookmarkStart w:id="247" w:name="_Toc16330021"/>
      <w:bookmarkStart w:id="248" w:name="_Toc2691"/>
      <w:bookmarkStart w:id="249" w:name="_Toc5818"/>
      <w:bookmarkStart w:id="250" w:name="_Toc129674522"/>
      <w:bookmarkStart w:id="251" w:name="_Toc22279"/>
      <w:bookmarkStart w:id="252" w:name="_Toc32108"/>
      <w:bookmarkStart w:id="253" w:name="_Toc16133"/>
      <w:bookmarkStart w:id="254" w:name="_Toc16579"/>
      <w:bookmarkStart w:id="255" w:name="_Toc129697499"/>
      <w:bookmarkStart w:id="256" w:name="_Toc7431"/>
      <w:r>
        <w:rPr>
          <w:b/>
          <w:bCs/>
        </w:rPr>
        <w:t>4</w:t>
      </w:r>
      <w:r>
        <w:rPr>
          <w:rFonts w:hint="eastAsia"/>
          <w:b/>
          <w:bCs/>
        </w:rPr>
        <w:t xml:space="preserve"> 检验</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pPr>
        <w:spacing w:line="360" w:lineRule="auto"/>
        <w:ind w:firstLine="378" w:firstLineChars="189"/>
        <w:rPr>
          <w:rFonts w:ascii="宋体" w:hAnsi="宋体" w:cs="宋体"/>
          <w:sz w:val="20"/>
          <w:szCs w:val="20"/>
        </w:rPr>
      </w:pPr>
      <w:r>
        <w:rPr>
          <w:rFonts w:hint="eastAsia" w:ascii="宋体" w:hAnsi="宋体" w:cs="宋体"/>
          <w:sz w:val="20"/>
          <w:szCs w:val="20"/>
        </w:rPr>
        <w:t>4.1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pPr>
        <w:spacing w:line="360" w:lineRule="auto"/>
        <w:ind w:firstLine="378" w:firstLineChars="189"/>
        <w:rPr>
          <w:rFonts w:ascii="宋体" w:hAnsi="宋体" w:cs="宋体"/>
          <w:sz w:val="20"/>
          <w:szCs w:val="20"/>
        </w:rPr>
      </w:pPr>
      <w:r>
        <w:rPr>
          <w:rFonts w:hint="eastAsia" w:ascii="宋体" w:hAnsi="宋体" w:cs="宋体"/>
          <w:sz w:val="20"/>
          <w:szCs w:val="20"/>
        </w:rPr>
        <w:t>4.2国家强制检验检测的设备，需要经过国家有关部门进行检验检测，卖方保证提供的设备通过其检验并承担费用。</w:t>
      </w:r>
    </w:p>
    <w:p>
      <w:pPr>
        <w:rPr>
          <w:b/>
          <w:bCs/>
        </w:rPr>
      </w:pPr>
      <w:bookmarkStart w:id="257" w:name="_Toc11217"/>
      <w:bookmarkStart w:id="258" w:name="_Toc19850"/>
      <w:bookmarkStart w:id="259" w:name="_Toc129697500"/>
      <w:bookmarkStart w:id="260" w:name="_Toc129674523"/>
      <w:bookmarkStart w:id="261" w:name="_Toc15994"/>
      <w:bookmarkStart w:id="262" w:name="_Toc24467"/>
      <w:bookmarkStart w:id="263" w:name="_Toc28568"/>
      <w:bookmarkStart w:id="264" w:name="_Toc16330022"/>
      <w:bookmarkStart w:id="265" w:name="_Toc21551"/>
      <w:bookmarkStart w:id="266" w:name="_Toc12556"/>
      <w:bookmarkStart w:id="267" w:name="_Toc26510"/>
      <w:bookmarkStart w:id="268" w:name="_Toc23314"/>
      <w:bookmarkStart w:id="269" w:name="_Toc8794"/>
      <w:bookmarkStart w:id="270" w:name="_Toc15885"/>
      <w:bookmarkStart w:id="271" w:name="_Toc4181"/>
      <w:r>
        <w:rPr>
          <w:rFonts w:hint="eastAsia"/>
          <w:b/>
          <w:bCs/>
        </w:rPr>
        <w:t>5权利担保</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spacing w:line="360" w:lineRule="auto"/>
        <w:ind w:firstLine="378" w:firstLineChars="189"/>
        <w:rPr>
          <w:rFonts w:ascii="宋体" w:hAnsi="宋体" w:cs="宋体"/>
          <w:sz w:val="20"/>
          <w:szCs w:val="20"/>
        </w:rPr>
      </w:pPr>
      <w:r>
        <w:rPr>
          <w:rFonts w:hint="eastAsia" w:ascii="宋体" w:hAnsi="宋体" w:cs="宋体"/>
          <w:sz w:val="20"/>
          <w:szCs w:val="20"/>
        </w:rPr>
        <w:t>5.1卖方所交付的设备，必须是第三方不能提出任何权利或要求的设备，卖方应担保设备不存在订立本合同时不为买方所知的第三方的权利（包括但不限于抵押权、留置权等）或行政、司法查封。</w:t>
      </w:r>
    </w:p>
    <w:p>
      <w:pPr>
        <w:spacing w:line="360" w:lineRule="auto"/>
        <w:ind w:firstLine="378" w:firstLineChars="189"/>
        <w:rPr>
          <w:rFonts w:ascii="宋体" w:hAnsi="宋体" w:cs="宋体"/>
          <w:sz w:val="20"/>
          <w:szCs w:val="20"/>
        </w:rPr>
      </w:pPr>
      <w:r>
        <w:rPr>
          <w:rFonts w:hint="eastAsia" w:ascii="宋体" w:hAnsi="宋体" w:cs="宋体"/>
          <w:sz w:val="20"/>
          <w:szCs w:val="20"/>
        </w:rPr>
        <w:t>5.2卖方应保证第三方对其提交的设备不得以侵权或其他类似理由提出合法要求，如侵犯知识产权等。</w:t>
      </w:r>
    </w:p>
    <w:p>
      <w:pPr>
        <w:spacing w:line="360" w:lineRule="auto"/>
        <w:ind w:firstLine="378" w:firstLineChars="189"/>
        <w:rPr>
          <w:rFonts w:ascii="宋体" w:hAnsi="宋体" w:cs="宋体"/>
          <w:sz w:val="20"/>
          <w:szCs w:val="20"/>
        </w:rPr>
      </w:pPr>
      <w:r>
        <w:rPr>
          <w:rFonts w:hint="eastAsia" w:ascii="宋体" w:hAnsi="宋体" w:cs="宋体"/>
          <w:sz w:val="20"/>
          <w:szCs w:val="20"/>
        </w:rPr>
        <w:t>5.3任何第三方如果提出侵权指控，卖方应与第三方交涉，并承担由此引起的一切法律责任和费用以及给买方所造成的损失。</w:t>
      </w:r>
    </w:p>
    <w:p>
      <w:pPr>
        <w:spacing w:line="360" w:lineRule="auto"/>
        <w:ind w:firstLine="378" w:firstLineChars="189"/>
        <w:rPr>
          <w:rFonts w:ascii="宋体" w:hAnsi="宋体" w:cs="宋体"/>
          <w:sz w:val="20"/>
          <w:szCs w:val="20"/>
        </w:rPr>
      </w:pPr>
      <w:r>
        <w:rPr>
          <w:rFonts w:hint="eastAsia" w:ascii="宋体" w:hAnsi="宋体" w:cs="宋体"/>
          <w:sz w:val="20"/>
          <w:szCs w:val="20"/>
        </w:rPr>
        <w:t>5.4买方应在已知道第三方的权利或要求后的一段合理时间内，将此权利或要求的性质通知卖方。</w:t>
      </w:r>
    </w:p>
    <w:p>
      <w:pPr>
        <w:spacing w:line="360" w:lineRule="auto"/>
        <w:ind w:firstLine="378" w:firstLineChars="189"/>
        <w:rPr>
          <w:rFonts w:ascii="宋体" w:hAnsi="宋体" w:cs="宋体"/>
          <w:sz w:val="20"/>
          <w:szCs w:val="20"/>
        </w:rPr>
      </w:pPr>
      <w:r>
        <w:rPr>
          <w:rFonts w:hint="eastAsia" w:ascii="宋体" w:hAnsi="宋体" w:cs="宋体"/>
          <w:sz w:val="20"/>
          <w:szCs w:val="20"/>
        </w:rPr>
        <w:t>5.5如卖方需要根据买方提供的技术协议书或图纸进行生产并供货的，根据该技术协议书或图纸所知悉、掌握或改进的任何技术、信息（包括但不限于商标、专利、产品外观或产品生产制造的过程、方法、技术）所涉及的全部知识产权（包括但不限于所有权、使用权、申请权、许可权等）均归买方、买方母公司或母公司其他关联方所有。</w:t>
      </w:r>
    </w:p>
    <w:p>
      <w:pPr>
        <w:rPr>
          <w:b/>
          <w:bCs/>
        </w:rPr>
      </w:pPr>
      <w:bookmarkStart w:id="272" w:name="_Toc14171"/>
      <w:bookmarkStart w:id="273" w:name="_Toc11759"/>
      <w:bookmarkStart w:id="274" w:name="_Toc17207"/>
      <w:bookmarkStart w:id="275" w:name="_Toc30276"/>
      <w:bookmarkStart w:id="276" w:name="_Toc27500"/>
      <w:bookmarkStart w:id="277" w:name="_Toc16330023"/>
      <w:bookmarkStart w:id="278" w:name="_Toc32604"/>
      <w:bookmarkStart w:id="279" w:name="_Toc9323"/>
      <w:bookmarkStart w:id="280" w:name="_Toc14809"/>
      <w:bookmarkStart w:id="281" w:name="_Toc129697501"/>
      <w:bookmarkStart w:id="282" w:name="_Toc23977"/>
      <w:bookmarkStart w:id="283" w:name="_Toc129674524"/>
      <w:bookmarkStart w:id="284" w:name="_Toc26514"/>
      <w:bookmarkStart w:id="285" w:name="_Toc27566"/>
      <w:bookmarkStart w:id="286" w:name="_Toc13364"/>
      <w:r>
        <w:rPr>
          <w:b/>
          <w:bCs/>
        </w:rPr>
        <w:t>6</w:t>
      </w:r>
      <w:r>
        <w:rPr>
          <w:rFonts w:hint="eastAsia"/>
          <w:b/>
          <w:bCs/>
        </w:rPr>
        <w:t xml:space="preserve"> 交货</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pPr>
        <w:spacing w:line="360" w:lineRule="auto"/>
        <w:ind w:firstLine="378" w:firstLineChars="189"/>
        <w:rPr>
          <w:rFonts w:ascii="宋体" w:hAnsi="宋体" w:cs="宋体"/>
          <w:sz w:val="20"/>
          <w:szCs w:val="20"/>
        </w:rPr>
      </w:pPr>
      <w:r>
        <w:rPr>
          <w:rFonts w:hint="eastAsia" w:ascii="宋体" w:hAnsi="宋体" w:cs="宋体"/>
          <w:sz w:val="20"/>
          <w:szCs w:val="20"/>
        </w:rPr>
        <w:t>6.1卖方应在本合同规定的到货时间前传真、邮件等给买方详细交货清单，包括合同号、设备名称、规格、数量、总毛重、总体积（立方米）和每一包装箱的尺寸（长×宽×高）、单价和总价、备妥待运日期，以及设备在运输和仓储中的特殊要求和注意事项。</w:t>
      </w:r>
    </w:p>
    <w:p>
      <w:pPr>
        <w:spacing w:line="360" w:lineRule="auto"/>
        <w:ind w:firstLine="378" w:firstLineChars="189"/>
        <w:rPr>
          <w:rFonts w:ascii="宋体" w:hAnsi="宋体" w:cs="宋体"/>
          <w:sz w:val="20"/>
          <w:szCs w:val="20"/>
        </w:rPr>
      </w:pPr>
      <w:r>
        <w:rPr>
          <w:rFonts w:hint="eastAsia" w:ascii="宋体" w:hAnsi="宋体" w:cs="宋体"/>
          <w:sz w:val="20"/>
          <w:szCs w:val="20"/>
        </w:rPr>
        <w:t>6.2卖方应在设备装运完成后当天以传真、邮件等的形式通知买方合同号、设备名称、数量、毛重、体积（立方米）、发票金额、启运日期、预计到达日期。</w:t>
      </w:r>
    </w:p>
    <w:p>
      <w:pPr>
        <w:spacing w:line="360" w:lineRule="auto"/>
        <w:ind w:firstLine="378" w:firstLineChars="189"/>
        <w:rPr>
          <w:rFonts w:ascii="宋体" w:hAnsi="宋体" w:cs="宋体"/>
          <w:sz w:val="20"/>
          <w:szCs w:val="20"/>
        </w:rPr>
      </w:pPr>
      <w:r>
        <w:rPr>
          <w:rFonts w:hint="eastAsia" w:ascii="宋体" w:hAnsi="宋体" w:cs="宋体"/>
          <w:sz w:val="20"/>
          <w:szCs w:val="20"/>
        </w:rPr>
        <w:t>6.3技术资料：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pPr>
        <w:spacing w:line="360" w:lineRule="auto"/>
        <w:ind w:firstLine="378" w:firstLineChars="189"/>
        <w:rPr>
          <w:rFonts w:ascii="宋体" w:hAnsi="宋体" w:cs="宋体"/>
          <w:sz w:val="20"/>
          <w:szCs w:val="20"/>
        </w:rPr>
      </w:pPr>
      <w:r>
        <w:rPr>
          <w:rFonts w:hint="eastAsia" w:ascii="宋体" w:hAnsi="宋体" w:cs="宋体"/>
          <w:sz w:val="20"/>
          <w:szCs w:val="20"/>
        </w:rPr>
        <w:t>6.4交货方式</w:t>
      </w:r>
      <w:r>
        <w:rPr>
          <w:rFonts w:hint="eastAsia" w:ascii="宋体" w:hAnsi="宋体" w:cs="宋体"/>
          <w:bCs/>
          <w:sz w:val="20"/>
          <w:szCs w:val="20"/>
        </w:rPr>
        <w:t>：</w:t>
      </w:r>
      <w:r>
        <w:rPr>
          <w:rFonts w:hint="eastAsia" w:ascii="宋体" w:hAnsi="宋体" w:cs="宋体"/>
          <w:bCs/>
          <w:sz w:val="20"/>
          <w:szCs w:val="20"/>
          <w:u w:val="single"/>
        </w:rPr>
        <w:t xml:space="preserve">        </w:t>
      </w:r>
      <w:r>
        <w:rPr>
          <w:rFonts w:hint="eastAsia" w:ascii="宋体" w:hAnsi="宋体" w:cs="宋体"/>
          <w:sz w:val="20"/>
          <w:szCs w:val="20"/>
        </w:rPr>
        <w:t>（可选择6.4.1-6.4.3定义的方式或根据实际约定）</w:t>
      </w:r>
    </w:p>
    <w:p>
      <w:pPr>
        <w:spacing w:line="360" w:lineRule="auto"/>
        <w:ind w:firstLine="378" w:firstLineChars="189"/>
        <w:rPr>
          <w:rFonts w:ascii="宋体" w:hAnsi="宋体" w:cs="宋体"/>
          <w:sz w:val="20"/>
          <w:szCs w:val="20"/>
        </w:rPr>
      </w:pPr>
      <w:r>
        <w:rPr>
          <w:rFonts w:hint="eastAsia" w:ascii="宋体" w:hAnsi="宋体" w:cs="宋体"/>
          <w:sz w:val="20"/>
          <w:szCs w:val="20"/>
        </w:rPr>
        <w:t>6.4.1交钥匙方式：卖方负责合同设备的设计、制造、运输、定点卸货、安装、调试、培训及售后服务等所有内容，直至买方验收合格并交付使用。</w:t>
      </w:r>
    </w:p>
    <w:p>
      <w:pPr>
        <w:spacing w:line="360" w:lineRule="auto"/>
        <w:ind w:firstLine="378" w:firstLineChars="189"/>
        <w:rPr>
          <w:rFonts w:ascii="宋体" w:hAnsi="宋体" w:cs="宋体"/>
          <w:sz w:val="20"/>
          <w:szCs w:val="20"/>
        </w:rPr>
      </w:pPr>
      <w:r>
        <w:rPr>
          <w:rFonts w:hint="eastAsia" w:ascii="宋体" w:hAnsi="宋体" w:cs="宋体"/>
          <w:sz w:val="20"/>
          <w:szCs w:val="20"/>
        </w:rPr>
        <w:t>6.4.2指定地点交货：卖方依照合同约定将合同设备卸载至约定地点，经买方根据合同所约定的数量、型号及配置等内容逐一确认无误后，双方完成交付手续，同时卖方应指导协助买方进行安装调试等工作。</w:t>
      </w:r>
    </w:p>
    <w:p>
      <w:pPr>
        <w:spacing w:line="360" w:lineRule="auto"/>
        <w:ind w:firstLine="378" w:firstLineChars="189"/>
        <w:rPr>
          <w:rFonts w:ascii="宋体" w:hAnsi="宋体" w:cs="宋体"/>
          <w:sz w:val="20"/>
          <w:szCs w:val="20"/>
        </w:rPr>
      </w:pPr>
      <w:r>
        <w:rPr>
          <w:rFonts w:hint="eastAsia" w:ascii="宋体" w:hAnsi="宋体" w:cs="宋体"/>
          <w:sz w:val="20"/>
          <w:szCs w:val="20"/>
        </w:rPr>
        <w:t>6.4.3自提：买方依照合同约定到卖方所在地提取合同设备，经买方根据合同所约定的数量、型号及配置等内容逐一确认无误后，双方完成交付手续。</w:t>
      </w:r>
    </w:p>
    <w:p>
      <w:pPr>
        <w:spacing w:line="360" w:lineRule="auto"/>
        <w:ind w:firstLine="378" w:firstLineChars="189"/>
        <w:rPr>
          <w:rFonts w:ascii="宋体" w:hAnsi="宋体" w:cs="宋体"/>
          <w:sz w:val="20"/>
          <w:szCs w:val="20"/>
        </w:rPr>
      </w:pPr>
      <w:r>
        <w:rPr>
          <w:rFonts w:hint="eastAsia" w:ascii="宋体" w:hAnsi="宋体" w:cs="宋体"/>
          <w:sz w:val="20"/>
          <w:szCs w:val="20"/>
        </w:rPr>
        <w:t>6.5交货地点：</w:t>
      </w:r>
      <w:r>
        <w:rPr>
          <w:rFonts w:hint="eastAsia" w:ascii="宋体" w:hAnsi="宋体" w:cs="宋体"/>
          <w:sz w:val="20"/>
          <w:szCs w:val="20"/>
          <w:u w:val="single"/>
        </w:rPr>
        <w:t xml:space="preserve"> </w:t>
      </w:r>
      <w:r>
        <w:rPr>
          <w:rFonts w:hint="eastAsia" w:ascii="宋体" w:hAnsi="宋体" w:cs="宋体"/>
          <w:sz w:val="20"/>
          <w:szCs w:val="20"/>
          <w:u w:val="single"/>
          <w:lang w:val="en-US" w:eastAsia="zh-CN"/>
        </w:rPr>
        <w:t>中国重汽集团泰安五岳专用汽车有限公司</w:t>
      </w:r>
      <w:r>
        <w:rPr>
          <w:rFonts w:hint="eastAsia" w:ascii="宋体" w:hAnsi="宋体" w:cs="宋体"/>
          <w:sz w:val="20"/>
          <w:szCs w:val="20"/>
          <w:u w:val="single"/>
        </w:rPr>
        <w:t xml:space="preserve"> </w:t>
      </w:r>
      <w:r>
        <w:rPr>
          <w:rFonts w:hint="eastAsia" w:ascii="宋体" w:hAnsi="宋体" w:cs="宋体"/>
          <w:sz w:val="20"/>
          <w:szCs w:val="20"/>
        </w:rPr>
        <w:t xml:space="preserve">      </w:t>
      </w:r>
    </w:p>
    <w:p>
      <w:pPr>
        <w:spacing w:line="360" w:lineRule="auto"/>
        <w:ind w:firstLine="378" w:firstLineChars="189"/>
        <w:rPr>
          <w:rFonts w:ascii="宋体" w:hAnsi="宋体" w:cs="宋体"/>
          <w:sz w:val="20"/>
          <w:szCs w:val="20"/>
        </w:rPr>
      </w:pPr>
      <w:r>
        <w:rPr>
          <w:rFonts w:hint="eastAsia" w:ascii="宋体" w:hAnsi="宋体" w:cs="宋体"/>
          <w:sz w:val="20"/>
          <w:szCs w:val="20"/>
        </w:rPr>
        <w:t>6.6到货时间：</w:t>
      </w:r>
      <w:r>
        <w:rPr>
          <w:rFonts w:hint="eastAsia" w:ascii="宋体" w:hAnsi="宋体" w:cs="宋体"/>
          <w:sz w:val="20"/>
          <w:szCs w:val="20"/>
          <w:highlight w:val="none"/>
          <w:u w:val="single"/>
        </w:rPr>
        <w:t>20</w:t>
      </w:r>
      <w:r>
        <w:rPr>
          <w:rFonts w:hint="eastAsia" w:ascii="宋体" w:hAnsi="宋体" w:cs="宋体"/>
          <w:sz w:val="20"/>
          <w:szCs w:val="20"/>
          <w:highlight w:val="none"/>
          <w:u w:val="single"/>
          <w:lang w:val="en-US" w:eastAsia="zh-CN"/>
        </w:rPr>
        <w:t>23</w:t>
      </w:r>
      <w:r>
        <w:rPr>
          <w:rFonts w:hint="eastAsia" w:ascii="宋体" w:hAnsi="宋体" w:cs="宋体"/>
          <w:sz w:val="20"/>
          <w:szCs w:val="20"/>
          <w:highlight w:val="none"/>
          <w:u w:val="single"/>
        </w:rPr>
        <w:t>年</w:t>
      </w:r>
      <w:r>
        <w:rPr>
          <w:rFonts w:hint="eastAsia" w:ascii="宋体" w:hAnsi="宋体" w:cs="宋体"/>
          <w:sz w:val="20"/>
          <w:szCs w:val="20"/>
          <w:highlight w:val="none"/>
          <w:u w:val="single"/>
          <w:lang w:val="en-US" w:eastAsia="zh-CN"/>
        </w:rPr>
        <w:t>12</w:t>
      </w:r>
      <w:r>
        <w:rPr>
          <w:rFonts w:hint="eastAsia" w:ascii="宋体" w:hAnsi="宋体" w:cs="宋体"/>
          <w:sz w:val="20"/>
          <w:szCs w:val="20"/>
          <w:highlight w:val="none"/>
          <w:u w:val="single"/>
        </w:rPr>
        <w:t>月</w:t>
      </w:r>
      <w:r>
        <w:rPr>
          <w:rFonts w:hint="eastAsia" w:ascii="宋体" w:hAnsi="宋体" w:cs="宋体"/>
          <w:sz w:val="20"/>
          <w:szCs w:val="20"/>
          <w:highlight w:val="none"/>
          <w:u w:val="single"/>
          <w:lang w:val="en-US" w:eastAsia="zh-CN"/>
        </w:rPr>
        <w:t>20</w:t>
      </w:r>
      <w:r>
        <w:rPr>
          <w:rFonts w:hint="eastAsia" w:ascii="宋体" w:hAnsi="宋体" w:cs="宋体"/>
          <w:sz w:val="20"/>
          <w:szCs w:val="20"/>
          <w:highlight w:val="none"/>
          <w:u w:val="single"/>
        </w:rPr>
        <w:t>日前</w:t>
      </w:r>
      <w:r>
        <w:rPr>
          <w:rFonts w:hint="eastAsia" w:ascii="宋体" w:hAnsi="宋体" w:cs="宋体"/>
          <w:sz w:val="20"/>
          <w:szCs w:val="20"/>
          <w:highlight w:val="none"/>
        </w:rPr>
        <w:t xml:space="preserve">   </w:t>
      </w:r>
      <w:r>
        <w:rPr>
          <w:rFonts w:hint="eastAsia" w:ascii="宋体" w:hAnsi="宋体" w:cs="宋体"/>
          <w:sz w:val="20"/>
          <w:szCs w:val="20"/>
        </w:rPr>
        <w:t xml:space="preserve">      </w:t>
      </w:r>
    </w:p>
    <w:p>
      <w:pPr>
        <w:spacing w:line="360" w:lineRule="auto"/>
        <w:ind w:firstLine="378" w:firstLineChars="189"/>
        <w:rPr>
          <w:rFonts w:ascii="宋体" w:hAnsi="宋体" w:cs="宋体"/>
          <w:sz w:val="20"/>
          <w:szCs w:val="20"/>
        </w:rPr>
      </w:pPr>
      <w:r>
        <w:rPr>
          <w:rFonts w:hint="eastAsia" w:ascii="宋体" w:hAnsi="宋体" w:cs="宋体"/>
          <w:sz w:val="20"/>
          <w:szCs w:val="20"/>
        </w:rPr>
        <w:t>6.7到货后，买卖双方代表办理移交手续，此时的移交不代表卖方合同设备所有权的转移，合同设备的保管责任仍然由卖方承担。移交内容包括：合同设备、硬件、软件、图纸、资料、质量证明文件等。</w:t>
      </w:r>
    </w:p>
    <w:p>
      <w:pPr>
        <w:spacing w:line="360" w:lineRule="auto"/>
        <w:ind w:firstLine="378" w:firstLineChars="189"/>
        <w:rPr>
          <w:rFonts w:ascii="宋体" w:hAnsi="宋体" w:cs="宋体"/>
          <w:sz w:val="20"/>
          <w:szCs w:val="20"/>
        </w:rPr>
      </w:pPr>
      <w:r>
        <w:rPr>
          <w:rFonts w:hint="eastAsia" w:ascii="宋体" w:hAnsi="宋体" w:cs="宋体"/>
          <w:sz w:val="20"/>
          <w:szCs w:val="20"/>
        </w:rPr>
        <w:t>6.8如果卖方在规定的日期前交付设备，需经买方书面同意。</w:t>
      </w:r>
    </w:p>
    <w:p>
      <w:pPr>
        <w:spacing w:line="360" w:lineRule="auto"/>
        <w:ind w:firstLine="378" w:firstLineChars="189"/>
        <w:rPr>
          <w:rFonts w:ascii="宋体" w:hAnsi="宋体" w:cs="宋体"/>
          <w:sz w:val="20"/>
          <w:szCs w:val="20"/>
        </w:rPr>
      </w:pPr>
      <w:r>
        <w:rPr>
          <w:rFonts w:hint="eastAsia" w:ascii="宋体" w:hAnsi="宋体" w:cs="宋体"/>
          <w:sz w:val="20"/>
          <w:szCs w:val="20"/>
        </w:rPr>
        <w:t>6.9风险的转移：</w:t>
      </w:r>
    </w:p>
    <w:p>
      <w:pPr>
        <w:spacing w:line="360" w:lineRule="auto"/>
        <w:ind w:firstLine="378" w:firstLineChars="189"/>
        <w:rPr>
          <w:rFonts w:ascii="宋体" w:hAnsi="宋体" w:cs="宋体"/>
          <w:sz w:val="20"/>
          <w:szCs w:val="20"/>
        </w:rPr>
      </w:pPr>
      <w:r>
        <w:rPr>
          <w:rFonts w:hint="eastAsia" w:ascii="宋体" w:hAnsi="宋体" w:cs="宋体"/>
          <w:sz w:val="20"/>
          <w:szCs w:val="20"/>
        </w:rPr>
        <w:t>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在一个月内收到明确责任义务的书面通知，则该设备所有权自动由卖方转移至买方，余款作为该设备的后续质量维护费用，买方无须再支付给卖方。在设备所有权转移之前，设备毁损、灭失等风险由卖方承担。</w:t>
      </w:r>
    </w:p>
    <w:p>
      <w:pPr>
        <w:rPr>
          <w:b/>
          <w:bCs/>
        </w:rPr>
      </w:pPr>
      <w:bookmarkStart w:id="287" w:name="_Toc23303"/>
      <w:bookmarkStart w:id="288" w:name="_Toc14168"/>
      <w:bookmarkStart w:id="289" w:name="_Toc8024"/>
      <w:bookmarkStart w:id="290" w:name="_Toc2538"/>
      <w:bookmarkStart w:id="291" w:name="_Toc129697502"/>
      <w:bookmarkStart w:id="292" w:name="_Toc13489"/>
      <w:bookmarkStart w:id="293" w:name="_Toc2984"/>
      <w:bookmarkStart w:id="294" w:name="_Toc9216"/>
      <w:bookmarkStart w:id="295" w:name="_Toc129674525"/>
      <w:bookmarkStart w:id="296" w:name="_Toc16330024"/>
      <w:bookmarkStart w:id="297" w:name="_Toc28578"/>
      <w:bookmarkStart w:id="298" w:name="_Toc5600"/>
      <w:bookmarkStart w:id="299" w:name="_Toc25510"/>
      <w:bookmarkStart w:id="300" w:name="_Toc12730"/>
      <w:bookmarkStart w:id="301" w:name="_Toc16024"/>
      <w:r>
        <w:rPr>
          <w:rFonts w:hint="eastAsia"/>
          <w:b/>
          <w:bCs/>
        </w:rPr>
        <w:t>7安装、调试</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pStyle w:val="28"/>
        <w:ind w:firstLine="378" w:firstLineChars="189"/>
        <w:rPr>
          <w:rFonts w:ascii="宋体" w:hAnsi="宋体" w:cs="宋体"/>
          <w:sz w:val="20"/>
          <w:szCs w:val="20"/>
        </w:rPr>
      </w:pPr>
      <w:r>
        <w:rPr>
          <w:rFonts w:hint="eastAsia" w:ascii="宋体" w:hAnsi="宋体" w:cs="宋体"/>
          <w:sz w:val="20"/>
          <w:szCs w:val="20"/>
        </w:rPr>
        <w:t>7.1 卖方须在到货后</w:t>
      </w:r>
      <w:r>
        <w:rPr>
          <w:rFonts w:hint="eastAsia" w:ascii="宋体" w:hAnsi="宋体" w:cs="宋体"/>
          <w:sz w:val="20"/>
          <w:szCs w:val="20"/>
          <w:u w:val="single"/>
        </w:rPr>
        <w:t xml:space="preserve">  </w:t>
      </w:r>
      <w:r>
        <w:rPr>
          <w:rFonts w:hint="eastAsia" w:ascii="宋体" w:hAnsi="宋体" w:cs="宋体"/>
          <w:sz w:val="20"/>
          <w:szCs w:val="20"/>
          <w:u w:val="single"/>
          <w:lang w:val="en-US" w:eastAsia="zh-CN"/>
        </w:rPr>
        <w:t>7</w:t>
      </w:r>
      <w:r>
        <w:rPr>
          <w:rFonts w:hint="eastAsia" w:ascii="宋体" w:hAnsi="宋体" w:cs="宋体"/>
          <w:sz w:val="20"/>
          <w:szCs w:val="20"/>
          <w:u w:val="single"/>
        </w:rPr>
        <w:t xml:space="preserve">  </w:t>
      </w:r>
      <w:r>
        <w:rPr>
          <w:rFonts w:hint="eastAsia" w:ascii="宋体" w:hAnsi="宋体" w:cs="宋体"/>
          <w:sz w:val="20"/>
          <w:szCs w:val="20"/>
        </w:rPr>
        <w:t>日内安装调试完成。</w:t>
      </w:r>
    </w:p>
    <w:p>
      <w:pPr>
        <w:spacing w:line="360" w:lineRule="auto"/>
        <w:ind w:firstLine="378" w:firstLineChars="189"/>
        <w:rPr>
          <w:rFonts w:ascii="宋体" w:hAnsi="宋体" w:cs="宋体"/>
          <w:sz w:val="20"/>
          <w:szCs w:val="20"/>
        </w:rPr>
      </w:pPr>
      <w:r>
        <w:rPr>
          <w:rFonts w:hint="eastAsia" w:ascii="宋体" w:hAnsi="宋体" w:cs="宋体"/>
          <w:sz w:val="20"/>
          <w:szCs w:val="20"/>
        </w:rPr>
        <w:t>7.2卖方应自带用以安装、调试过程中所需的各种工具、仪器、仪表及易损件。在安装、调试过程中，卖方应自负其工作人员的食宿、交通等费用。</w:t>
      </w:r>
    </w:p>
    <w:p>
      <w:pPr>
        <w:spacing w:line="360" w:lineRule="auto"/>
        <w:ind w:firstLine="378" w:firstLineChars="189"/>
        <w:rPr>
          <w:rFonts w:ascii="宋体" w:hAnsi="宋体" w:cs="宋体"/>
          <w:sz w:val="20"/>
          <w:szCs w:val="20"/>
        </w:rPr>
      </w:pPr>
      <w:r>
        <w:rPr>
          <w:rFonts w:hint="eastAsia" w:ascii="宋体" w:hAnsi="宋体" w:cs="宋体"/>
          <w:sz w:val="20"/>
          <w:szCs w:val="20"/>
        </w:rPr>
        <w:t>7.3在安装、调试过程中，安装场地及施工人员安全，由卖方负责。由于安装、调试等原因造成买方或他人人身损害或财产损失的，由卖方承担赔偿责任。</w:t>
      </w:r>
    </w:p>
    <w:p>
      <w:pPr>
        <w:spacing w:line="360" w:lineRule="auto"/>
        <w:ind w:firstLine="378" w:firstLineChars="189"/>
        <w:rPr>
          <w:rFonts w:ascii="宋体" w:hAnsi="宋体" w:cs="宋体"/>
          <w:sz w:val="20"/>
          <w:szCs w:val="20"/>
        </w:rPr>
      </w:pPr>
      <w:r>
        <w:rPr>
          <w:rFonts w:hint="eastAsia" w:ascii="宋体" w:hAnsi="宋体" w:cs="宋体"/>
          <w:sz w:val="20"/>
          <w:szCs w:val="20"/>
        </w:rPr>
        <w:t>7.4</w:t>
      </w:r>
      <w:r>
        <w:rPr>
          <w:rFonts w:hint="eastAsia" w:ascii="宋体" w:hAnsi="宋体" w:cs="宋体"/>
          <w:bCs/>
          <w:sz w:val="20"/>
          <w:szCs w:val="20"/>
        </w:rPr>
        <w:t xml:space="preserve"> </w:t>
      </w:r>
      <w:r>
        <w:rPr>
          <w:rFonts w:hint="eastAsia" w:ascii="宋体" w:hAnsi="宋体" w:cs="宋体"/>
          <w:sz w:val="20"/>
          <w:szCs w:val="20"/>
        </w:rPr>
        <w:t>卖方须对安装、调试过程中造成的买方或他人人身损害或财产损失承担赔偿责任。</w:t>
      </w:r>
    </w:p>
    <w:p>
      <w:pPr>
        <w:rPr>
          <w:b/>
          <w:bCs/>
        </w:rPr>
      </w:pPr>
      <w:bookmarkStart w:id="302" w:name="_Toc10916"/>
      <w:bookmarkStart w:id="303" w:name="_Toc29349"/>
      <w:bookmarkStart w:id="304" w:name="_Toc129674526"/>
      <w:bookmarkStart w:id="305" w:name="_Toc12082"/>
      <w:bookmarkStart w:id="306" w:name="_Toc22860"/>
      <w:bookmarkStart w:id="307" w:name="_Toc29840"/>
      <w:bookmarkStart w:id="308" w:name="_Toc14098"/>
      <w:bookmarkStart w:id="309" w:name="_Toc14260"/>
      <w:bookmarkStart w:id="310" w:name="_Toc21132"/>
      <w:bookmarkStart w:id="311" w:name="_Toc6350"/>
      <w:bookmarkStart w:id="312" w:name="_Toc15182"/>
      <w:bookmarkStart w:id="313" w:name="_Toc16330025"/>
      <w:bookmarkStart w:id="314" w:name="_Toc28796"/>
      <w:bookmarkStart w:id="315" w:name="_Toc21622"/>
      <w:r>
        <w:rPr>
          <w:rFonts w:hint="eastAsia"/>
          <w:b/>
          <w:bCs/>
        </w:rPr>
        <w:t xml:space="preserve"> </w:t>
      </w:r>
      <w:bookmarkStart w:id="316" w:name="_Toc129697503"/>
      <w:r>
        <w:rPr>
          <w:b/>
          <w:bCs/>
        </w:rPr>
        <w:t>8</w:t>
      </w:r>
      <w:r>
        <w:rPr>
          <w:rFonts w:hint="eastAsia"/>
          <w:b/>
          <w:bCs/>
        </w:rPr>
        <w:t>价款与支付</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pPr>
        <w:spacing w:line="360" w:lineRule="auto"/>
        <w:ind w:firstLine="378" w:firstLineChars="189"/>
        <w:rPr>
          <w:rFonts w:ascii="宋体" w:hAnsi="宋体" w:cs="宋体"/>
          <w:sz w:val="20"/>
          <w:szCs w:val="20"/>
        </w:rPr>
      </w:pPr>
      <w:r>
        <w:rPr>
          <w:rFonts w:hint="eastAsia" w:ascii="宋体" w:hAnsi="宋体" w:cs="宋体"/>
          <w:sz w:val="20"/>
          <w:szCs w:val="20"/>
        </w:rPr>
        <w:t>8.1合同总价款为</w:t>
      </w:r>
      <w:r>
        <w:rPr>
          <w:rFonts w:hint="eastAsia" w:ascii="宋体" w:hAnsi="宋体" w:cs="宋体"/>
          <w:sz w:val="20"/>
          <w:szCs w:val="20"/>
          <w:u w:val="single"/>
        </w:rPr>
        <w:t xml:space="preserve">          </w:t>
      </w:r>
      <w:r>
        <w:rPr>
          <w:rFonts w:hint="eastAsia" w:ascii="宋体" w:hAnsi="宋体" w:cs="宋体"/>
          <w:sz w:val="20"/>
          <w:szCs w:val="20"/>
        </w:rPr>
        <w:t>元人民币（大写：</w:t>
      </w:r>
      <w:r>
        <w:rPr>
          <w:rFonts w:hint="eastAsia" w:ascii="宋体" w:hAnsi="宋体" w:cs="宋体"/>
          <w:sz w:val="20"/>
          <w:szCs w:val="20"/>
          <w:u w:val="single"/>
        </w:rPr>
        <w:t xml:space="preserve">         </w:t>
      </w:r>
      <w:r>
        <w:rPr>
          <w:rFonts w:hint="eastAsia" w:ascii="宋体" w:hAnsi="宋体" w:cs="宋体"/>
          <w:sz w:val="20"/>
          <w:szCs w:val="20"/>
        </w:rPr>
        <w:t>），该价款为包含</w:t>
      </w:r>
      <w:r>
        <w:rPr>
          <w:rFonts w:hint="eastAsia" w:ascii="宋体" w:hAnsi="宋体" w:cs="宋体"/>
          <w:sz w:val="20"/>
          <w:szCs w:val="20"/>
          <w:u w:val="single"/>
        </w:rPr>
        <w:t>【】%</w:t>
      </w:r>
      <w:r>
        <w:rPr>
          <w:rFonts w:hint="eastAsia" w:ascii="宋体" w:hAnsi="宋体" w:cs="宋体"/>
          <w:sz w:val="20"/>
          <w:szCs w:val="20"/>
        </w:rPr>
        <w:t>增值税的总价款，其中不含税价款为</w:t>
      </w:r>
      <w:r>
        <w:rPr>
          <w:rFonts w:hint="eastAsia" w:ascii="宋体" w:hAnsi="宋体" w:cs="宋体"/>
          <w:sz w:val="20"/>
          <w:szCs w:val="20"/>
          <w:u w:val="single"/>
        </w:rPr>
        <w:t xml:space="preserve">           </w:t>
      </w:r>
      <w:r>
        <w:rPr>
          <w:rFonts w:hint="eastAsia" w:ascii="宋体" w:hAnsi="宋体" w:cs="宋体"/>
          <w:sz w:val="20"/>
          <w:szCs w:val="20"/>
        </w:rPr>
        <w:t>元人民币（大写</w:t>
      </w:r>
      <w:r>
        <w:rPr>
          <w:rFonts w:hint="eastAsia" w:ascii="宋体" w:hAnsi="宋体" w:cs="宋体"/>
          <w:sz w:val="20"/>
          <w:szCs w:val="20"/>
          <w:u w:val="single"/>
        </w:rPr>
        <w:t xml:space="preserve">：        </w:t>
      </w:r>
      <w:r>
        <w:rPr>
          <w:rFonts w:hint="eastAsia" w:ascii="宋体" w:hAnsi="宋体" w:cs="宋体"/>
          <w:sz w:val="20"/>
          <w:szCs w:val="20"/>
        </w:rPr>
        <w:t>），如国家出台新政策对增值税率进行了调整，则不含税价款不变，本合同含税总价在不含税价基础上根据国家最新税法进行相应的调整。</w:t>
      </w:r>
    </w:p>
    <w:p>
      <w:pPr>
        <w:spacing w:line="360" w:lineRule="auto"/>
        <w:ind w:firstLine="378" w:firstLineChars="189"/>
        <w:rPr>
          <w:rFonts w:ascii="宋体" w:hAnsi="宋体" w:cs="宋体"/>
          <w:sz w:val="20"/>
          <w:szCs w:val="20"/>
        </w:rPr>
      </w:pPr>
      <w:r>
        <w:rPr>
          <w:rFonts w:hint="eastAsia" w:ascii="宋体" w:hAnsi="宋体" w:cs="宋体"/>
          <w:sz w:val="20"/>
          <w:szCs w:val="20"/>
        </w:rPr>
        <w:t>该价格包括但不限于全部（全新）产品价、备品备件价、专用工具价、运杂费（包括现场卸车费）、设计、制造、安装（</w:t>
      </w:r>
      <w:r>
        <w:rPr>
          <w:rFonts w:hint="eastAsia" w:ascii="宋体" w:hAnsi="宋体" w:cs="宋体"/>
          <w:i/>
          <w:iCs/>
          <w:sz w:val="20"/>
          <w:szCs w:val="20"/>
        </w:rPr>
        <w:t>或指导安装</w:t>
      </w:r>
      <w:r>
        <w:rPr>
          <w:rFonts w:hint="eastAsia" w:ascii="宋体" w:hAnsi="宋体" w:cs="宋体"/>
          <w:sz w:val="20"/>
          <w:szCs w:val="20"/>
        </w:rPr>
        <w:t>）、调试、验收、培训、技术及售后服务费、技术资料费等所有费用的总和。（</w:t>
      </w:r>
      <w:r>
        <w:rPr>
          <w:rFonts w:hint="eastAsia" w:ascii="宋体" w:hAnsi="宋体" w:cs="宋体"/>
          <w:i/>
          <w:iCs/>
          <w:sz w:val="20"/>
          <w:szCs w:val="20"/>
        </w:rPr>
        <w:t>根据项目实施内容据实填写</w:t>
      </w:r>
      <w:r>
        <w:rPr>
          <w:rFonts w:hint="eastAsia" w:ascii="宋体" w:hAnsi="宋体" w:cs="宋体"/>
          <w:sz w:val="20"/>
          <w:szCs w:val="20"/>
        </w:rPr>
        <w:t>）</w:t>
      </w:r>
    </w:p>
    <w:p>
      <w:pPr>
        <w:spacing w:line="360" w:lineRule="auto"/>
        <w:ind w:firstLine="378" w:firstLineChars="189"/>
        <w:rPr>
          <w:rFonts w:ascii="宋体" w:hAnsi="宋体" w:cs="宋体"/>
          <w:sz w:val="20"/>
          <w:szCs w:val="20"/>
        </w:rPr>
      </w:pPr>
      <w:r>
        <w:rPr>
          <w:rFonts w:hint="eastAsia" w:ascii="宋体" w:hAnsi="宋体" w:cs="宋体"/>
          <w:sz w:val="20"/>
          <w:szCs w:val="20"/>
        </w:rPr>
        <w:t xml:space="preserve">8.2合同价款的结算方式：        </w:t>
      </w:r>
    </w:p>
    <w:p>
      <w:pPr>
        <w:spacing w:line="360" w:lineRule="auto"/>
        <w:ind w:firstLine="378" w:firstLineChars="189"/>
        <w:rPr>
          <w:rFonts w:hint="eastAsia" w:ascii="宋体" w:hAnsi="宋体" w:cs="宋体"/>
          <w:sz w:val="20"/>
          <w:szCs w:val="20"/>
        </w:rPr>
      </w:pPr>
      <w:r>
        <w:rPr>
          <w:rFonts w:hint="eastAsia" w:ascii="宋体" w:hAnsi="宋体" w:cs="宋体"/>
          <w:sz w:val="20"/>
          <w:szCs w:val="20"/>
        </w:rPr>
        <w:t>8.3合同价款的支付：（与招标文件一致）</w:t>
      </w:r>
    </w:p>
    <w:p>
      <w:pPr>
        <w:rPr>
          <w:b/>
          <w:bCs/>
        </w:rPr>
      </w:pPr>
      <w:bookmarkStart w:id="317" w:name="_Toc23713"/>
      <w:bookmarkStart w:id="318" w:name="_Toc16330026"/>
      <w:bookmarkStart w:id="319" w:name="_Toc12008"/>
      <w:bookmarkStart w:id="320" w:name="_Toc25708"/>
      <w:bookmarkStart w:id="321" w:name="_Toc15782"/>
      <w:bookmarkStart w:id="322" w:name="_Toc19617"/>
      <w:bookmarkStart w:id="323" w:name="_Toc6485"/>
      <w:bookmarkStart w:id="324" w:name="_Toc6726"/>
      <w:bookmarkStart w:id="325" w:name="_Toc129697504"/>
      <w:bookmarkStart w:id="326" w:name="_Toc24085"/>
      <w:bookmarkStart w:id="327" w:name="_Toc25508"/>
      <w:bookmarkStart w:id="328" w:name="_Toc2677"/>
      <w:bookmarkStart w:id="329" w:name="_Toc129674527"/>
      <w:bookmarkStart w:id="330" w:name="_Toc22428"/>
      <w:bookmarkStart w:id="331" w:name="_Toc13131"/>
      <w:r>
        <w:rPr>
          <w:rFonts w:hint="eastAsia"/>
          <w:b/>
          <w:bCs/>
        </w:rPr>
        <w:t>9质量保证及售后服务</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pPr>
        <w:spacing w:line="360" w:lineRule="auto"/>
        <w:ind w:firstLine="378" w:firstLineChars="189"/>
        <w:rPr>
          <w:rFonts w:ascii="宋体" w:hAnsi="宋体" w:cs="宋体"/>
          <w:sz w:val="20"/>
          <w:szCs w:val="20"/>
        </w:rPr>
      </w:pPr>
      <w:r>
        <w:rPr>
          <w:rFonts w:hint="eastAsia" w:ascii="宋体" w:hAnsi="宋体" w:cs="宋体"/>
          <w:sz w:val="20"/>
          <w:szCs w:val="20"/>
        </w:rPr>
        <w:t>9.1卖方保证其提供的合同设备是全新的、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pPr>
        <w:spacing w:line="360" w:lineRule="auto"/>
        <w:ind w:firstLine="378" w:firstLineChars="189"/>
        <w:rPr>
          <w:rFonts w:ascii="宋体" w:hAnsi="宋体" w:cs="宋体"/>
          <w:sz w:val="20"/>
          <w:szCs w:val="20"/>
        </w:rPr>
      </w:pPr>
      <w:r>
        <w:rPr>
          <w:rFonts w:hint="eastAsia" w:ascii="宋体" w:hAnsi="宋体" w:cs="宋体"/>
          <w:sz w:val="20"/>
          <w:szCs w:val="20"/>
        </w:rPr>
        <w:t>9.2卖方承诺其提供的设备不存在任何产品缺陷，否则因卖方提供的设备存在产品缺陷而给买方造成的一切后果和损失由卖方承担。</w:t>
      </w:r>
    </w:p>
    <w:p>
      <w:pPr>
        <w:spacing w:line="360" w:lineRule="auto"/>
        <w:ind w:firstLine="378" w:firstLineChars="189"/>
        <w:rPr>
          <w:rFonts w:ascii="宋体" w:hAnsi="宋体" w:cs="宋体"/>
          <w:sz w:val="20"/>
          <w:szCs w:val="20"/>
        </w:rPr>
      </w:pPr>
      <w:r>
        <w:rPr>
          <w:rFonts w:hint="eastAsia" w:ascii="宋体" w:hAnsi="宋体" w:cs="宋体"/>
          <w:sz w:val="20"/>
          <w:szCs w:val="20"/>
        </w:rPr>
        <w:t>9.3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pPr>
        <w:spacing w:line="360" w:lineRule="auto"/>
        <w:ind w:firstLine="378" w:firstLineChars="189"/>
        <w:rPr>
          <w:rFonts w:ascii="宋体" w:hAnsi="宋体" w:cs="宋体"/>
          <w:i/>
          <w:iCs/>
          <w:sz w:val="20"/>
          <w:szCs w:val="20"/>
        </w:rPr>
      </w:pPr>
      <w:r>
        <w:rPr>
          <w:rFonts w:hint="eastAsia" w:ascii="宋体" w:hAnsi="宋体" w:cs="宋体"/>
          <w:sz w:val="20"/>
          <w:szCs w:val="20"/>
        </w:rPr>
        <w:t>9.4本合同约定设备的质量保证期：自最终验收报告签署之日（以签署日期最晚者为准）起【】年。</w:t>
      </w:r>
    </w:p>
    <w:p>
      <w:pPr>
        <w:spacing w:line="360" w:lineRule="auto"/>
        <w:ind w:firstLine="378" w:firstLineChars="189"/>
        <w:rPr>
          <w:rFonts w:ascii="宋体" w:hAnsi="宋体" w:cs="宋体"/>
          <w:sz w:val="20"/>
          <w:szCs w:val="20"/>
        </w:rPr>
      </w:pPr>
      <w:r>
        <w:rPr>
          <w:rFonts w:hint="eastAsia" w:ascii="宋体" w:hAnsi="宋体" w:cs="宋体"/>
          <w:sz w:val="20"/>
          <w:szCs w:val="20"/>
        </w:rPr>
        <w:t>9.5合同约定的设备在质量保证期届满前，如有质量问题，卖方应在收到买方或设备使用单位通知后2小时内做出回复，如需到现场解决问题，卖方应派工作人员在24小时内到达设备使用现场，并按买方要求的时间免费修复、更换相关部件，将设备修复完成。</w:t>
      </w:r>
    </w:p>
    <w:p>
      <w:pPr>
        <w:spacing w:line="360" w:lineRule="auto"/>
        <w:ind w:firstLine="378" w:firstLineChars="189"/>
        <w:rPr>
          <w:rFonts w:ascii="宋体" w:hAnsi="宋体" w:cs="宋体"/>
          <w:sz w:val="20"/>
          <w:szCs w:val="20"/>
        </w:rPr>
      </w:pPr>
      <w:r>
        <w:rPr>
          <w:rFonts w:hint="eastAsia" w:ascii="宋体" w:hAnsi="宋体" w:cs="宋体"/>
          <w:sz w:val="20"/>
          <w:szCs w:val="20"/>
        </w:rPr>
        <w:t>9.6卖方负责在买方指定的地点免费为买方培训操作及维修人员，培训内容包括：基本原理、操作使用、安全操作注意事项以及维修保养等内容。</w:t>
      </w:r>
    </w:p>
    <w:p>
      <w:pPr>
        <w:spacing w:line="360" w:lineRule="auto"/>
        <w:ind w:firstLine="378" w:firstLineChars="189"/>
        <w:rPr>
          <w:rFonts w:ascii="宋体" w:hAnsi="宋体" w:cs="宋体"/>
          <w:sz w:val="20"/>
          <w:szCs w:val="20"/>
        </w:rPr>
      </w:pPr>
      <w:r>
        <w:rPr>
          <w:rFonts w:hint="eastAsia" w:ascii="宋体" w:hAnsi="宋体" w:cs="宋体"/>
          <w:sz w:val="20"/>
          <w:szCs w:val="20"/>
        </w:rPr>
        <w:t>9.7质量保证期满后，卖方保证向买方提供及时的、质优的、价格优惠的技术服务和备品备件供应。</w:t>
      </w:r>
    </w:p>
    <w:p>
      <w:pPr>
        <w:spacing w:line="360" w:lineRule="auto"/>
        <w:ind w:firstLine="378" w:firstLineChars="189"/>
        <w:rPr>
          <w:rFonts w:ascii="宋体" w:hAnsi="宋体" w:cs="宋体"/>
          <w:sz w:val="20"/>
          <w:szCs w:val="20"/>
        </w:rPr>
      </w:pPr>
      <w:r>
        <w:rPr>
          <w:rFonts w:hint="eastAsia" w:ascii="宋体" w:hAnsi="宋体" w:cs="宋体"/>
          <w:sz w:val="20"/>
          <w:szCs w:val="20"/>
        </w:rPr>
        <w:t>9.8质量保证期满后，如出现质量问题，卖方也应及时修复和更换，且只收取成本费，费用由买方承担，卖方对设备质量问题所负的责任直到设备使用寿命周期结束。</w:t>
      </w:r>
    </w:p>
    <w:p>
      <w:pPr>
        <w:rPr>
          <w:b/>
          <w:bCs/>
        </w:rPr>
      </w:pPr>
      <w:bookmarkStart w:id="332" w:name="_Toc129674528"/>
      <w:bookmarkStart w:id="333" w:name="_Toc29731"/>
      <w:bookmarkStart w:id="334" w:name="_Toc20182"/>
      <w:bookmarkStart w:id="335" w:name="_Toc15570"/>
      <w:bookmarkStart w:id="336" w:name="_Toc2290"/>
      <w:bookmarkStart w:id="337" w:name="_Toc16330027"/>
      <w:bookmarkStart w:id="338" w:name="_Toc129697505"/>
      <w:bookmarkStart w:id="339" w:name="_Toc18641"/>
      <w:bookmarkStart w:id="340" w:name="_Toc20918"/>
      <w:bookmarkStart w:id="341" w:name="_Toc11584"/>
      <w:bookmarkStart w:id="342" w:name="_Toc10359"/>
      <w:bookmarkStart w:id="343" w:name="_Toc31276"/>
      <w:bookmarkStart w:id="344" w:name="_Toc12927"/>
      <w:bookmarkStart w:id="345" w:name="_Toc30547"/>
      <w:bookmarkStart w:id="346" w:name="_Toc9189"/>
      <w:r>
        <w:rPr>
          <w:rFonts w:hint="eastAsia"/>
          <w:b/>
          <w:bCs/>
        </w:rPr>
        <w:t>1</w:t>
      </w:r>
      <w:r>
        <w:rPr>
          <w:b/>
          <w:bCs/>
        </w:rPr>
        <w:t>0</w:t>
      </w:r>
      <w:r>
        <w:rPr>
          <w:rFonts w:hint="eastAsia"/>
          <w:b/>
          <w:bCs/>
        </w:rPr>
        <w:t>法定责任</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pPr>
        <w:spacing w:line="360" w:lineRule="auto"/>
        <w:ind w:firstLine="378" w:firstLineChars="189"/>
        <w:rPr>
          <w:rFonts w:ascii="宋体" w:hAnsi="宋体" w:cs="宋体"/>
          <w:sz w:val="20"/>
          <w:szCs w:val="20"/>
        </w:rPr>
      </w:pPr>
      <w:r>
        <w:rPr>
          <w:rFonts w:hint="eastAsia" w:ascii="宋体" w:hAnsi="宋体" w:cs="宋体"/>
          <w:sz w:val="20"/>
          <w:szCs w:val="20"/>
        </w:rPr>
        <w:t>10.1卖方需遵从国家有关的法律、法规，缴纳有关的法定费用和税项。若卖方未按期交纳法定费用、税项，则卖方须补偿买方由此造成的所有费用及损失。</w:t>
      </w:r>
    </w:p>
    <w:p>
      <w:pPr>
        <w:spacing w:line="360" w:lineRule="auto"/>
        <w:ind w:firstLine="378" w:firstLineChars="189"/>
        <w:rPr>
          <w:rFonts w:ascii="宋体" w:hAnsi="宋体" w:cs="宋体"/>
          <w:sz w:val="20"/>
          <w:szCs w:val="20"/>
        </w:rPr>
      </w:pPr>
      <w:r>
        <w:rPr>
          <w:rFonts w:hint="eastAsia" w:ascii="宋体" w:hAnsi="宋体" w:cs="宋体"/>
          <w:sz w:val="20"/>
          <w:szCs w:val="20"/>
        </w:rPr>
        <w:t>10.2除非本合同中另有规定或买方同意，卖方不得全部或部分转让本合同项下的权利义务。</w:t>
      </w:r>
    </w:p>
    <w:p>
      <w:pPr>
        <w:spacing w:line="360" w:lineRule="auto"/>
        <w:ind w:firstLine="378" w:firstLineChars="189"/>
        <w:rPr>
          <w:rFonts w:ascii="宋体" w:hAnsi="宋体" w:cs="宋体"/>
          <w:sz w:val="20"/>
          <w:szCs w:val="20"/>
        </w:rPr>
      </w:pPr>
      <w:r>
        <w:rPr>
          <w:rFonts w:hint="eastAsia" w:ascii="宋体" w:hAnsi="宋体" w:cs="宋体"/>
          <w:sz w:val="20"/>
          <w:szCs w:val="20"/>
        </w:rPr>
        <w:t>10.3买卖双方同意在履行本合同期间双方之间交换、披露、传递或通信的所有工业和商业信息，任何附加文件或相关文件，应该被视为高度机密，双方应该按照此处规定仅用于本合同的签订和履行。</w:t>
      </w:r>
    </w:p>
    <w:p>
      <w:pPr>
        <w:spacing w:line="360" w:lineRule="auto"/>
        <w:ind w:firstLine="378" w:firstLineChars="189"/>
        <w:rPr>
          <w:rFonts w:hint="eastAsia" w:ascii="宋体" w:hAnsi="宋体" w:cs="宋体"/>
          <w:sz w:val="20"/>
          <w:szCs w:val="20"/>
        </w:rPr>
      </w:pPr>
      <w:r>
        <w:rPr>
          <w:rFonts w:hint="eastAsia" w:ascii="宋体" w:hAnsi="宋体" w:cs="宋体"/>
          <w:sz w:val="20"/>
          <w:szCs w:val="20"/>
        </w:rPr>
        <w:t>10.4除对方预先书面同意外，任何一方在本合同签订和履行期间或本合同终止后不得向第三方披露在本合同履行过程中知悉的与对方有关的任何贸易、商业或工业秘密。</w:t>
      </w:r>
    </w:p>
    <w:p>
      <w:pPr>
        <w:rPr>
          <w:b/>
          <w:bCs/>
        </w:rPr>
      </w:pPr>
      <w:bookmarkStart w:id="347" w:name="_Toc30381"/>
      <w:bookmarkStart w:id="348" w:name="_Toc9708"/>
      <w:bookmarkStart w:id="349" w:name="_Toc129674529"/>
      <w:bookmarkStart w:id="350" w:name="_Toc129697506"/>
      <w:bookmarkStart w:id="351" w:name="_Toc27830"/>
      <w:bookmarkStart w:id="352" w:name="_Toc11279"/>
      <w:bookmarkStart w:id="353" w:name="_Toc27009"/>
      <w:bookmarkStart w:id="354" w:name="_Toc27314"/>
      <w:bookmarkStart w:id="355" w:name="_Toc28496"/>
      <w:bookmarkStart w:id="356" w:name="_Toc7710"/>
      <w:bookmarkStart w:id="357" w:name="_Toc18710"/>
      <w:bookmarkStart w:id="358" w:name="_Toc9430"/>
      <w:bookmarkStart w:id="359" w:name="_Toc14173"/>
      <w:bookmarkStart w:id="360" w:name="_Toc13197"/>
      <w:bookmarkStart w:id="361" w:name="_Toc16330028"/>
      <w:r>
        <w:rPr>
          <w:rFonts w:hint="eastAsia"/>
          <w:b/>
          <w:bCs/>
        </w:rPr>
        <w:t>1</w:t>
      </w:r>
      <w:r>
        <w:rPr>
          <w:b/>
          <w:bCs/>
        </w:rPr>
        <w:t>1</w:t>
      </w:r>
      <w:r>
        <w:rPr>
          <w:rFonts w:hint="eastAsia"/>
          <w:b/>
          <w:bCs/>
        </w:rPr>
        <w:t>违约责任</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spacing w:line="360" w:lineRule="auto"/>
        <w:ind w:firstLine="378" w:firstLineChars="189"/>
        <w:rPr>
          <w:rFonts w:ascii="宋体" w:hAnsi="宋体" w:cs="宋体"/>
          <w:sz w:val="20"/>
          <w:szCs w:val="20"/>
        </w:rPr>
      </w:pPr>
      <w:r>
        <w:rPr>
          <w:rFonts w:hint="eastAsia" w:ascii="宋体" w:hAnsi="宋体" w:cs="宋体"/>
          <w:sz w:val="20"/>
          <w:szCs w:val="20"/>
        </w:rPr>
        <w:t>11.1卖方应承担提供的设备与本合同约定不符的一切责任，买方有权在检验、安装、调试、验收测试期限内、质量保证期内等任何时间提出索赔，买方有权按下述一种或多种方法要求卖方赔偿：</w:t>
      </w:r>
    </w:p>
    <w:p>
      <w:pPr>
        <w:spacing w:line="360" w:lineRule="auto"/>
        <w:ind w:firstLine="378" w:firstLineChars="189"/>
        <w:rPr>
          <w:rFonts w:ascii="宋体" w:hAnsi="宋体" w:cs="宋体"/>
          <w:sz w:val="20"/>
          <w:szCs w:val="20"/>
        </w:rPr>
      </w:pPr>
      <w:r>
        <w:rPr>
          <w:rFonts w:hint="eastAsia" w:ascii="宋体" w:hAnsi="宋体" w:cs="宋体"/>
          <w:sz w:val="20"/>
          <w:szCs w:val="20"/>
        </w:rPr>
        <w:t>11.1.1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pPr>
        <w:spacing w:line="360" w:lineRule="auto"/>
        <w:ind w:firstLine="378" w:firstLineChars="189"/>
        <w:rPr>
          <w:rFonts w:ascii="宋体" w:hAnsi="宋体" w:cs="宋体"/>
          <w:sz w:val="20"/>
          <w:szCs w:val="20"/>
        </w:rPr>
      </w:pPr>
      <w:r>
        <w:rPr>
          <w:rFonts w:hint="eastAsia" w:ascii="宋体" w:hAnsi="宋体" w:cs="宋体"/>
          <w:sz w:val="20"/>
          <w:szCs w:val="20"/>
        </w:rPr>
        <w:t>11.1.2根据设备的瑕疵和受损程度以及买方遭受损失的金额，经买方同意降低设备价格。</w:t>
      </w:r>
    </w:p>
    <w:p>
      <w:pPr>
        <w:spacing w:line="360" w:lineRule="auto"/>
        <w:ind w:firstLine="378" w:firstLineChars="189"/>
        <w:rPr>
          <w:rFonts w:ascii="宋体" w:hAnsi="宋体" w:cs="宋体"/>
          <w:sz w:val="20"/>
          <w:szCs w:val="20"/>
        </w:rPr>
      </w:pPr>
      <w:r>
        <w:rPr>
          <w:rFonts w:hint="eastAsia" w:ascii="宋体" w:hAnsi="宋体" w:cs="宋体"/>
          <w:sz w:val="20"/>
          <w:szCs w:val="20"/>
        </w:rPr>
        <w:t>11.1.3更换有缺陷的零件、部件、设备或修理缺陷部分，以达到本合同规定的规格、质量和性能，卖方承担一切费用和风险并负担买方遭受的一切损失，同时卖方应相应延长被修理或更换设备的质量保证期。</w:t>
      </w:r>
    </w:p>
    <w:p>
      <w:pPr>
        <w:spacing w:line="360" w:lineRule="auto"/>
        <w:ind w:firstLine="378" w:firstLineChars="189"/>
        <w:rPr>
          <w:rFonts w:ascii="宋体" w:hAnsi="宋体" w:cs="宋体"/>
          <w:sz w:val="20"/>
          <w:szCs w:val="20"/>
        </w:rPr>
      </w:pPr>
      <w:r>
        <w:rPr>
          <w:rFonts w:hint="eastAsia" w:ascii="宋体" w:hAnsi="宋体" w:cs="宋体"/>
          <w:sz w:val="20"/>
          <w:szCs w:val="20"/>
        </w:rPr>
        <w:t>11.2如果买方就卖方的设备质量问题提出索赔通知后</w:t>
      </w:r>
      <w:r>
        <w:rPr>
          <w:rFonts w:hint="eastAsia" w:ascii="宋体" w:hAnsi="宋体" w:cs="宋体"/>
          <w:sz w:val="20"/>
          <w:szCs w:val="20"/>
          <w:u w:val="single"/>
        </w:rPr>
        <w:t xml:space="preserve"> 10 </w:t>
      </w:r>
      <w:r>
        <w:rPr>
          <w:rFonts w:hint="eastAsia" w:ascii="宋体" w:hAnsi="宋体" w:cs="宋体"/>
          <w:sz w:val="20"/>
          <w:szCs w:val="20"/>
        </w:rPr>
        <w:t>日内卖方未能予以答复，该索赔视为已被卖方接受。若卖方未能在买方提出索赔通知后</w:t>
      </w:r>
      <w:r>
        <w:rPr>
          <w:rFonts w:hint="eastAsia" w:ascii="宋体" w:hAnsi="宋体" w:cs="宋体"/>
          <w:sz w:val="20"/>
          <w:szCs w:val="20"/>
          <w:u w:val="single"/>
        </w:rPr>
        <w:t xml:space="preserve"> 10 </w:t>
      </w:r>
      <w:r>
        <w:rPr>
          <w:rFonts w:hint="eastAsia" w:ascii="宋体" w:hAnsi="宋体" w:cs="宋体"/>
          <w:sz w:val="20"/>
          <w:szCs w:val="20"/>
        </w:rPr>
        <w:t>日内或买方同意的更长一些的时间内，按买方同意的上述任何一种方式处理索赔事宜，买方将从货款中扣回索赔金额，同时保留进一步要求赔偿的权利。</w:t>
      </w:r>
    </w:p>
    <w:p>
      <w:pPr>
        <w:spacing w:line="360" w:lineRule="auto"/>
        <w:ind w:firstLine="378" w:firstLineChars="189"/>
        <w:rPr>
          <w:rFonts w:ascii="宋体" w:hAnsi="宋体" w:cs="宋体"/>
          <w:i/>
          <w:iCs/>
          <w:sz w:val="20"/>
          <w:szCs w:val="20"/>
        </w:rPr>
      </w:pPr>
      <w:r>
        <w:rPr>
          <w:rFonts w:hint="eastAsia" w:ascii="宋体" w:hAnsi="宋体" w:cs="宋体"/>
          <w:sz w:val="20"/>
          <w:szCs w:val="20"/>
        </w:rPr>
        <w:t>11.3如果卖方未能按期到货，卖方应向买方支付违约金，违约金比率为每迟交壹日，按合同总价的</w:t>
      </w:r>
      <w:r>
        <w:rPr>
          <w:rFonts w:hint="eastAsia" w:ascii="宋体" w:hAnsi="宋体" w:cs="宋体"/>
          <w:sz w:val="20"/>
          <w:szCs w:val="20"/>
          <w:u w:val="single"/>
        </w:rPr>
        <w:t>10</w:t>
      </w:r>
      <w:r>
        <w:rPr>
          <w:rFonts w:hint="eastAsia" w:ascii="宋体" w:hAnsi="宋体" w:cs="宋体"/>
          <w:sz w:val="20"/>
          <w:szCs w:val="20"/>
        </w:rPr>
        <w:t xml:space="preserve">‰计算，但是违约金的金额不得超过合同总价款的 </w:t>
      </w:r>
      <w:r>
        <w:rPr>
          <w:rFonts w:hint="eastAsia" w:ascii="宋体" w:hAnsi="宋体" w:cs="宋体"/>
          <w:sz w:val="20"/>
          <w:szCs w:val="20"/>
          <w:u w:val="single"/>
        </w:rPr>
        <w:t>20</w:t>
      </w:r>
      <w:r>
        <w:rPr>
          <w:rFonts w:hint="eastAsia" w:ascii="宋体" w:hAnsi="宋体" w:cs="宋体"/>
          <w:sz w:val="20"/>
          <w:szCs w:val="20"/>
        </w:rPr>
        <w:t xml:space="preserve"> %，如果卖方在达到违约金的最高限额后仍不能交货，买方有权就卖方违约而解除本合同，且卖方仍须支付上述违约金，并赔偿由此给买方造成的一切损失。</w:t>
      </w:r>
    </w:p>
    <w:p>
      <w:pPr>
        <w:spacing w:line="360" w:lineRule="auto"/>
        <w:ind w:firstLine="378" w:firstLineChars="189"/>
        <w:rPr>
          <w:rFonts w:ascii="宋体" w:hAnsi="宋体" w:cs="宋体"/>
          <w:i/>
          <w:iCs/>
          <w:sz w:val="20"/>
          <w:szCs w:val="20"/>
        </w:rPr>
      </w:pPr>
      <w:r>
        <w:rPr>
          <w:rFonts w:hint="eastAsia" w:ascii="宋体" w:hAnsi="宋体" w:cs="宋体"/>
          <w:sz w:val="20"/>
          <w:szCs w:val="20"/>
        </w:rPr>
        <w:t>11.4如卖方未按7.1条履行义务，从逾期之日起卖方每天按合同总价款的</w:t>
      </w:r>
      <w:r>
        <w:rPr>
          <w:rFonts w:hint="eastAsia" w:ascii="宋体" w:hAnsi="宋体" w:cs="宋体"/>
          <w:sz w:val="20"/>
          <w:szCs w:val="20"/>
          <w:u w:val="single"/>
        </w:rPr>
        <w:t xml:space="preserve"> 10 </w:t>
      </w:r>
      <w:r>
        <w:rPr>
          <w:rFonts w:hint="eastAsia" w:ascii="宋体" w:hAnsi="宋体" w:cs="宋体"/>
          <w:sz w:val="20"/>
          <w:szCs w:val="20"/>
        </w:rPr>
        <w:t>‰支付给买方作违约金，但是违约金的金额不得超过合同总价的</w:t>
      </w:r>
      <w:r>
        <w:rPr>
          <w:rFonts w:hint="eastAsia" w:ascii="宋体" w:hAnsi="宋体" w:cs="宋体"/>
          <w:sz w:val="20"/>
          <w:szCs w:val="20"/>
          <w:u w:val="single"/>
        </w:rPr>
        <w:t xml:space="preserve"> 20 </w:t>
      </w:r>
      <w:r>
        <w:rPr>
          <w:rFonts w:hint="eastAsia" w:ascii="宋体" w:hAnsi="宋体" w:cs="宋体"/>
          <w:sz w:val="20"/>
          <w:szCs w:val="20"/>
        </w:rPr>
        <w:t>%。如果卖方在达到违约金的最高限额或者不能使设备通过最终验收，买方有权就卖方违约而解除本合同，且卖方仍须支付上述违约金，并返还买方支付的设备款，并赔偿由此给买方造成的一切损失。</w:t>
      </w:r>
    </w:p>
    <w:p>
      <w:pPr>
        <w:spacing w:line="360" w:lineRule="auto"/>
        <w:ind w:firstLine="378" w:firstLineChars="189"/>
        <w:rPr>
          <w:rFonts w:ascii="宋体" w:hAnsi="宋体" w:cs="宋体"/>
          <w:sz w:val="20"/>
          <w:szCs w:val="20"/>
        </w:rPr>
      </w:pPr>
      <w:r>
        <w:rPr>
          <w:rFonts w:hint="eastAsia" w:ascii="宋体" w:hAnsi="宋体" w:cs="宋体"/>
          <w:sz w:val="20"/>
          <w:szCs w:val="20"/>
        </w:rPr>
        <w:t>11.5买方延期付款时（有正当拒付理由者除外），每日按延付金额的</w:t>
      </w:r>
      <w:r>
        <w:rPr>
          <w:rFonts w:hint="eastAsia" w:ascii="宋体" w:hAnsi="宋体" w:cs="宋体"/>
          <w:sz w:val="20"/>
          <w:szCs w:val="20"/>
          <w:u w:val="single"/>
        </w:rPr>
        <w:t xml:space="preserve"> 3 </w:t>
      </w:r>
      <w:r>
        <w:rPr>
          <w:rFonts w:hint="eastAsia" w:ascii="宋体" w:hAnsi="宋体" w:cs="宋体"/>
          <w:sz w:val="20"/>
          <w:szCs w:val="20"/>
        </w:rPr>
        <w:t>‰向卖方偿付延期付款违约金，但违约金总额不超过延付金额的</w:t>
      </w:r>
      <w:r>
        <w:rPr>
          <w:rFonts w:hint="eastAsia" w:ascii="宋体" w:hAnsi="宋体" w:cs="宋体"/>
          <w:sz w:val="20"/>
          <w:szCs w:val="20"/>
          <w:u w:val="single"/>
        </w:rPr>
        <w:t xml:space="preserve"> 50 </w:t>
      </w:r>
      <w:r>
        <w:rPr>
          <w:rFonts w:hint="eastAsia" w:ascii="宋体" w:hAnsi="宋体" w:cs="宋体"/>
          <w:sz w:val="20"/>
          <w:szCs w:val="20"/>
        </w:rPr>
        <w:t>‰。</w:t>
      </w:r>
    </w:p>
    <w:p>
      <w:pPr>
        <w:spacing w:line="360" w:lineRule="auto"/>
        <w:ind w:firstLine="378" w:firstLineChars="189"/>
        <w:rPr>
          <w:rFonts w:ascii="宋体" w:hAnsi="宋体" w:cs="宋体"/>
          <w:sz w:val="20"/>
          <w:szCs w:val="20"/>
        </w:rPr>
      </w:pPr>
      <w:r>
        <w:rPr>
          <w:rFonts w:hint="eastAsia" w:ascii="宋体" w:hAnsi="宋体" w:cs="宋体"/>
          <w:sz w:val="20"/>
          <w:szCs w:val="20"/>
        </w:rPr>
        <w:t>11.6如卖方违反9.5条，则买方有权视情况扣除部分或全部质量保证金作为卖方的违约金，并且卖方应赔偿因此给买方造成的一切损失。卖方不能及时到现场履行质量维修义务，每延迟一天应承担合同价款20‰的违约金（合同额不足10万元按照2000元/天计取），且不免除维修的责任。违约金在质保金中扣除。</w:t>
      </w:r>
    </w:p>
    <w:p>
      <w:pPr>
        <w:spacing w:line="360" w:lineRule="auto"/>
        <w:ind w:firstLine="378" w:firstLineChars="189"/>
        <w:rPr>
          <w:rFonts w:ascii="宋体" w:hAnsi="宋体" w:cs="宋体"/>
          <w:sz w:val="20"/>
          <w:szCs w:val="20"/>
        </w:rPr>
      </w:pPr>
      <w:r>
        <w:rPr>
          <w:rFonts w:hint="eastAsia" w:ascii="宋体" w:hAnsi="宋体" w:cs="宋体"/>
          <w:sz w:val="20"/>
          <w:szCs w:val="20"/>
        </w:rPr>
        <w:t>11.7如果卖方违反本合同其他约定（包括本合同及所有附件）应赔偿因此给买方造成的一切损失。</w:t>
      </w:r>
    </w:p>
    <w:p>
      <w:pPr>
        <w:rPr>
          <w:b/>
          <w:bCs/>
        </w:rPr>
      </w:pPr>
      <w:bookmarkStart w:id="362" w:name="_Toc9172"/>
      <w:bookmarkStart w:id="363" w:name="_Toc8865"/>
      <w:bookmarkStart w:id="364" w:name="_Toc129674530"/>
      <w:bookmarkStart w:id="365" w:name="_Toc10300"/>
      <w:bookmarkStart w:id="366" w:name="_Toc16330029"/>
      <w:bookmarkStart w:id="367" w:name="_Toc6510"/>
      <w:bookmarkStart w:id="368" w:name="_Toc31554"/>
      <w:bookmarkStart w:id="369" w:name="_Toc29181"/>
      <w:bookmarkStart w:id="370" w:name="_Toc129697507"/>
      <w:bookmarkStart w:id="371" w:name="_Toc1827"/>
      <w:bookmarkStart w:id="372" w:name="_Toc4812"/>
      <w:bookmarkStart w:id="373" w:name="_Toc2348"/>
      <w:bookmarkStart w:id="374" w:name="_Toc22452"/>
      <w:bookmarkStart w:id="375" w:name="_Toc6783"/>
      <w:bookmarkStart w:id="376" w:name="_Toc13903"/>
      <w:r>
        <w:rPr>
          <w:rFonts w:hint="eastAsia"/>
          <w:b/>
          <w:bCs/>
        </w:rPr>
        <w:t>1</w:t>
      </w:r>
      <w:r>
        <w:rPr>
          <w:b/>
          <w:bCs/>
        </w:rPr>
        <w:t>2</w:t>
      </w:r>
      <w:r>
        <w:rPr>
          <w:rFonts w:hint="eastAsia"/>
          <w:b/>
          <w:bCs/>
        </w:rPr>
        <w:t>合同的终止与解除</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pPr>
        <w:spacing w:line="360" w:lineRule="auto"/>
        <w:ind w:firstLine="378" w:firstLineChars="189"/>
        <w:rPr>
          <w:rFonts w:ascii="宋体" w:hAnsi="宋体" w:cs="宋体"/>
          <w:sz w:val="20"/>
          <w:szCs w:val="20"/>
        </w:rPr>
      </w:pPr>
      <w:r>
        <w:rPr>
          <w:rFonts w:hint="eastAsia" w:ascii="宋体" w:hAnsi="宋体" w:cs="宋体"/>
          <w:sz w:val="20"/>
          <w:szCs w:val="20"/>
        </w:rPr>
        <w:t>12.1本合同订立后，卖方由于履行义务的能力或信用有严重缺陷，买方可以终止履行本合同，要求卖方返还已支付的款项并不承担违约责任。</w:t>
      </w:r>
    </w:p>
    <w:p>
      <w:pPr>
        <w:spacing w:line="360" w:lineRule="auto"/>
        <w:ind w:firstLine="378" w:firstLineChars="189"/>
        <w:rPr>
          <w:rFonts w:ascii="宋体" w:hAnsi="宋体" w:cs="宋体"/>
          <w:sz w:val="20"/>
          <w:szCs w:val="20"/>
        </w:rPr>
      </w:pPr>
      <w:r>
        <w:rPr>
          <w:rFonts w:hint="eastAsia" w:ascii="宋体" w:hAnsi="宋体" w:cs="宋体"/>
          <w:sz w:val="20"/>
          <w:szCs w:val="20"/>
        </w:rPr>
        <w:t>12.2经双方协商一致，可以解除本合同。</w:t>
      </w:r>
    </w:p>
    <w:p>
      <w:pPr>
        <w:spacing w:line="360" w:lineRule="auto"/>
        <w:ind w:firstLine="378" w:firstLineChars="189"/>
        <w:rPr>
          <w:rFonts w:ascii="宋体" w:hAnsi="宋体" w:cs="宋体"/>
          <w:sz w:val="20"/>
          <w:szCs w:val="20"/>
        </w:rPr>
      </w:pPr>
      <w:r>
        <w:rPr>
          <w:rFonts w:hint="eastAsia" w:ascii="宋体" w:hAnsi="宋体" w:cs="宋体"/>
          <w:sz w:val="20"/>
          <w:szCs w:val="20"/>
        </w:rPr>
        <w:t>12.3有下列情形之一的，买方可以解除本合同：</w:t>
      </w:r>
    </w:p>
    <w:p>
      <w:pPr>
        <w:spacing w:line="360" w:lineRule="auto"/>
        <w:ind w:firstLine="378" w:firstLineChars="189"/>
        <w:rPr>
          <w:rFonts w:ascii="宋体" w:hAnsi="宋体" w:cs="宋体"/>
          <w:sz w:val="20"/>
          <w:szCs w:val="20"/>
        </w:rPr>
      </w:pPr>
      <w:r>
        <w:rPr>
          <w:rFonts w:hint="eastAsia" w:ascii="宋体" w:hAnsi="宋体" w:cs="宋体"/>
          <w:sz w:val="20"/>
          <w:szCs w:val="20"/>
        </w:rPr>
        <w:t>12.3.1卖方明确表示或者以自己的行为表明不履行主要义务的；</w:t>
      </w:r>
    </w:p>
    <w:p>
      <w:pPr>
        <w:spacing w:line="360" w:lineRule="auto"/>
        <w:ind w:firstLine="378" w:firstLineChars="189"/>
        <w:rPr>
          <w:rFonts w:ascii="宋体" w:hAnsi="宋体" w:cs="宋体"/>
          <w:sz w:val="20"/>
          <w:szCs w:val="20"/>
        </w:rPr>
      </w:pPr>
      <w:r>
        <w:rPr>
          <w:rFonts w:hint="eastAsia" w:ascii="宋体" w:hAnsi="宋体" w:cs="宋体"/>
          <w:sz w:val="20"/>
          <w:szCs w:val="20"/>
        </w:rPr>
        <w:t>12.3.2按照本合同第11.3条或第11.4条的规定，达到违约金的最高限额；</w:t>
      </w:r>
    </w:p>
    <w:p>
      <w:pPr>
        <w:spacing w:line="360" w:lineRule="auto"/>
        <w:ind w:firstLine="378" w:firstLineChars="189"/>
        <w:rPr>
          <w:rFonts w:ascii="宋体" w:hAnsi="宋体" w:cs="宋体"/>
          <w:sz w:val="20"/>
          <w:szCs w:val="20"/>
        </w:rPr>
      </w:pPr>
      <w:r>
        <w:rPr>
          <w:rFonts w:hint="eastAsia" w:ascii="宋体" w:hAnsi="宋体" w:cs="宋体"/>
          <w:sz w:val="20"/>
          <w:szCs w:val="20"/>
        </w:rPr>
        <w:t>12.3.3卖方所提交的设备不符合本合同的规定；</w:t>
      </w:r>
    </w:p>
    <w:p>
      <w:pPr>
        <w:spacing w:line="360" w:lineRule="auto"/>
        <w:ind w:firstLine="378" w:firstLineChars="189"/>
        <w:rPr>
          <w:rFonts w:ascii="宋体" w:hAnsi="宋体" w:cs="宋体"/>
          <w:sz w:val="20"/>
          <w:szCs w:val="20"/>
        </w:rPr>
      </w:pPr>
      <w:r>
        <w:rPr>
          <w:rFonts w:hint="eastAsia" w:ascii="宋体" w:hAnsi="宋体" w:cs="宋体"/>
          <w:sz w:val="20"/>
          <w:szCs w:val="20"/>
        </w:rPr>
        <w:t>12.3.4卖方有其他违约行为。</w:t>
      </w:r>
    </w:p>
    <w:p>
      <w:pPr>
        <w:spacing w:line="360" w:lineRule="auto"/>
        <w:ind w:firstLine="378" w:firstLineChars="189"/>
        <w:rPr>
          <w:rFonts w:ascii="宋体" w:hAnsi="宋体" w:cs="宋体"/>
          <w:sz w:val="20"/>
          <w:szCs w:val="20"/>
        </w:rPr>
      </w:pPr>
      <w:r>
        <w:rPr>
          <w:rFonts w:hint="eastAsia" w:ascii="宋体" w:hAnsi="宋体" w:cs="宋体"/>
          <w:sz w:val="20"/>
          <w:szCs w:val="20"/>
        </w:rPr>
        <w:t>12.4卖方分批交付设备的，卖方对其中一批设备不交付或者交付不符合约定，致使该批设备不能实现本合同目的的，买方可以就该批设备解除合同。</w:t>
      </w:r>
    </w:p>
    <w:p>
      <w:pPr>
        <w:spacing w:line="360" w:lineRule="auto"/>
        <w:ind w:firstLine="378" w:firstLineChars="189"/>
        <w:rPr>
          <w:rFonts w:ascii="宋体" w:hAnsi="宋体" w:cs="宋体"/>
          <w:sz w:val="20"/>
          <w:szCs w:val="20"/>
        </w:rPr>
      </w:pPr>
      <w:r>
        <w:rPr>
          <w:rFonts w:hint="eastAsia" w:ascii="宋体" w:hAnsi="宋体" w:cs="宋体"/>
          <w:sz w:val="20"/>
          <w:szCs w:val="20"/>
        </w:rPr>
        <w:t>12.5卖方不交付其中一批设备或者交付不符合约定，致使今后其他各批设备的交付不能实现本合同目的的，买方可以就该批以及今后其他各批设备解除合同。</w:t>
      </w:r>
    </w:p>
    <w:p>
      <w:pPr>
        <w:spacing w:line="360" w:lineRule="auto"/>
        <w:ind w:firstLine="378" w:firstLineChars="189"/>
        <w:rPr>
          <w:rFonts w:ascii="宋体" w:hAnsi="宋体" w:cs="宋体"/>
          <w:sz w:val="20"/>
          <w:szCs w:val="20"/>
        </w:rPr>
      </w:pPr>
      <w:r>
        <w:rPr>
          <w:rFonts w:hint="eastAsia" w:ascii="宋体" w:hAnsi="宋体" w:cs="宋体"/>
          <w:sz w:val="20"/>
          <w:szCs w:val="20"/>
        </w:rPr>
        <w:t>12.6买方如果就其中一批设备解除合同，该批设备与其他各批设备相互依存的，可以就已经交付和未交付的各批设备解除合同。</w:t>
      </w:r>
    </w:p>
    <w:p>
      <w:pPr>
        <w:spacing w:line="360" w:lineRule="auto"/>
        <w:ind w:firstLine="378" w:firstLineChars="189"/>
        <w:rPr>
          <w:rFonts w:hint="eastAsia" w:ascii="宋体" w:hAnsi="宋体" w:cs="宋体"/>
          <w:sz w:val="20"/>
          <w:szCs w:val="20"/>
        </w:rPr>
      </w:pPr>
      <w:r>
        <w:rPr>
          <w:rFonts w:hint="eastAsia" w:ascii="宋体" w:hAnsi="宋体" w:cs="宋体"/>
          <w:sz w:val="20"/>
          <w:szCs w:val="20"/>
        </w:rPr>
        <w:t>12.7因为卖方违约导致买方解除合同的，卖方应赔偿买方因此所遭受的一切损失。</w:t>
      </w:r>
    </w:p>
    <w:p>
      <w:pPr>
        <w:rPr>
          <w:b/>
          <w:bCs/>
        </w:rPr>
      </w:pPr>
      <w:bookmarkStart w:id="377" w:name="_Toc129674531"/>
      <w:bookmarkStart w:id="378" w:name="_Toc13671"/>
      <w:bookmarkStart w:id="379" w:name="_Toc1239"/>
      <w:bookmarkStart w:id="380" w:name="_Toc2041"/>
      <w:bookmarkStart w:id="381" w:name="_Toc31945"/>
      <w:bookmarkStart w:id="382" w:name="_Toc8544"/>
      <w:bookmarkStart w:id="383" w:name="_Toc69"/>
      <w:bookmarkStart w:id="384" w:name="_Toc12306"/>
      <w:bookmarkStart w:id="385" w:name="_Toc7535"/>
      <w:bookmarkStart w:id="386" w:name="_Toc12827"/>
      <w:bookmarkStart w:id="387" w:name="_Toc20490"/>
      <w:bookmarkStart w:id="388" w:name="_Toc16330030"/>
      <w:bookmarkStart w:id="389" w:name="_Toc19937"/>
      <w:bookmarkStart w:id="390" w:name="_Toc8620"/>
      <w:r>
        <w:rPr>
          <w:rFonts w:hint="eastAsia"/>
          <w:b/>
          <w:bCs/>
        </w:rPr>
        <w:t xml:space="preserve"> </w:t>
      </w:r>
      <w:bookmarkStart w:id="391" w:name="_Toc129697508"/>
      <w:r>
        <w:rPr>
          <w:b/>
          <w:bCs/>
        </w:rPr>
        <w:t>13</w:t>
      </w:r>
      <w:r>
        <w:rPr>
          <w:rFonts w:hint="eastAsia"/>
          <w:b/>
          <w:bCs/>
        </w:rPr>
        <w:t>不可抗力</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spacing w:line="360" w:lineRule="auto"/>
        <w:ind w:firstLine="378" w:firstLineChars="189"/>
        <w:rPr>
          <w:rFonts w:ascii="宋体" w:hAnsi="宋体" w:cs="宋体"/>
          <w:sz w:val="20"/>
          <w:szCs w:val="20"/>
        </w:rPr>
      </w:pPr>
      <w:r>
        <w:rPr>
          <w:rFonts w:hint="eastAsia" w:ascii="宋体" w:hAnsi="宋体" w:cs="宋体"/>
          <w:sz w:val="20"/>
          <w:szCs w:val="20"/>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pPr>
        <w:spacing w:line="360" w:lineRule="auto"/>
        <w:ind w:firstLine="378" w:firstLineChars="189"/>
        <w:rPr>
          <w:rFonts w:hint="eastAsia" w:ascii="宋体" w:hAnsi="宋体" w:cs="宋体"/>
          <w:sz w:val="20"/>
          <w:szCs w:val="20"/>
        </w:rPr>
      </w:pPr>
      <w:r>
        <w:rPr>
          <w:rFonts w:hint="eastAsia" w:ascii="宋体" w:hAnsi="宋体" w:cs="宋体"/>
          <w:sz w:val="20"/>
          <w:szCs w:val="20"/>
        </w:rPr>
        <w:t>13.2各方应该通过协商决定是否终止本合同，或推迟全部或部分本合同的履行或免除对方全部或部分相关履行义务。</w:t>
      </w:r>
    </w:p>
    <w:p>
      <w:pPr>
        <w:rPr>
          <w:b/>
          <w:bCs/>
        </w:rPr>
      </w:pPr>
      <w:bookmarkStart w:id="392" w:name="_Toc129674532"/>
      <w:bookmarkStart w:id="393" w:name="_Toc29782"/>
      <w:bookmarkStart w:id="394" w:name="_Toc29155"/>
      <w:bookmarkStart w:id="395" w:name="_Toc30389"/>
      <w:bookmarkStart w:id="396" w:name="_Toc19927"/>
      <w:bookmarkStart w:id="397" w:name="_Toc16330031"/>
      <w:bookmarkStart w:id="398" w:name="_Toc29323"/>
      <w:bookmarkStart w:id="399" w:name="_Toc3288"/>
      <w:bookmarkStart w:id="400" w:name="_Toc637"/>
      <w:bookmarkStart w:id="401" w:name="_Toc16710"/>
      <w:bookmarkStart w:id="402" w:name="_Toc13057"/>
      <w:bookmarkStart w:id="403" w:name="_Toc31243"/>
      <w:bookmarkStart w:id="404" w:name="_Toc14529"/>
      <w:bookmarkStart w:id="405" w:name="_Toc129697509"/>
      <w:bookmarkStart w:id="406" w:name="_Toc29481"/>
      <w:r>
        <w:rPr>
          <w:rFonts w:hint="eastAsia"/>
          <w:b/>
          <w:bCs/>
        </w:rPr>
        <w:t>1</w:t>
      </w:r>
      <w:r>
        <w:rPr>
          <w:b/>
          <w:bCs/>
        </w:rPr>
        <w:t>4</w:t>
      </w:r>
      <w:r>
        <w:rPr>
          <w:rFonts w:hint="eastAsia"/>
          <w:b/>
          <w:bCs/>
        </w:rPr>
        <w:t>通讯</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pPr>
        <w:spacing w:line="360" w:lineRule="auto"/>
        <w:ind w:firstLine="378" w:firstLineChars="189"/>
        <w:rPr>
          <w:rFonts w:ascii="宋体" w:hAnsi="宋体" w:cs="宋体"/>
          <w:sz w:val="20"/>
          <w:szCs w:val="20"/>
        </w:rPr>
      </w:pPr>
      <w:r>
        <w:rPr>
          <w:rFonts w:hint="eastAsia" w:ascii="宋体" w:hAnsi="宋体" w:cs="宋体"/>
          <w:sz w:val="20"/>
          <w:szCs w:val="20"/>
        </w:rPr>
        <w:t>14.1通讯地址：</w:t>
      </w:r>
    </w:p>
    <w:p>
      <w:pPr>
        <w:spacing w:line="360" w:lineRule="auto"/>
        <w:ind w:firstLine="378" w:firstLineChars="189"/>
        <w:rPr>
          <w:rFonts w:ascii="宋体" w:hAnsi="宋体" w:cs="宋体"/>
          <w:sz w:val="20"/>
          <w:szCs w:val="20"/>
        </w:rPr>
      </w:pPr>
      <w:r>
        <w:rPr>
          <w:rFonts w:hint="eastAsia" w:ascii="宋体" w:hAnsi="宋体" w:cs="宋体"/>
          <w:sz w:val="20"/>
          <w:szCs w:val="20"/>
        </w:rPr>
        <w:t>本合同下的任何通讯按照本合同双方提供的信息，以书信、传真、电子通讯方式或电话作出。</w:t>
      </w:r>
    </w:p>
    <w:p>
      <w:pPr>
        <w:spacing w:line="360" w:lineRule="auto"/>
        <w:ind w:firstLine="378" w:firstLineChars="189"/>
        <w:rPr>
          <w:rFonts w:ascii="宋体" w:hAnsi="宋体" w:cs="宋体"/>
          <w:sz w:val="20"/>
          <w:szCs w:val="20"/>
        </w:rPr>
      </w:pPr>
      <w:r>
        <w:rPr>
          <w:rFonts w:hint="eastAsia" w:ascii="宋体" w:hAnsi="宋体" w:cs="宋体"/>
          <w:sz w:val="20"/>
          <w:szCs w:val="20"/>
        </w:rPr>
        <w:t>14.2生效</w:t>
      </w:r>
    </w:p>
    <w:p>
      <w:pPr>
        <w:spacing w:line="360" w:lineRule="auto"/>
        <w:ind w:firstLine="378" w:firstLineChars="189"/>
        <w:rPr>
          <w:rFonts w:ascii="宋体" w:hAnsi="宋体" w:cs="宋体"/>
          <w:sz w:val="20"/>
          <w:szCs w:val="20"/>
        </w:rPr>
      </w:pPr>
      <w:r>
        <w:rPr>
          <w:rFonts w:hint="eastAsia" w:ascii="宋体" w:hAnsi="宋体" w:cs="宋体"/>
          <w:sz w:val="20"/>
          <w:szCs w:val="20"/>
        </w:rPr>
        <w:t>14.2.1书信。书信为送达时生效；</w:t>
      </w:r>
    </w:p>
    <w:p>
      <w:pPr>
        <w:spacing w:line="360" w:lineRule="auto"/>
        <w:ind w:firstLine="378" w:firstLineChars="189"/>
        <w:rPr>
          <w:rFonts w:ascii="宋体" w:hAnsi="宋体" w:cs="宋体"/>
          <w:sz w:val="20"/>
          <w:szCs w:val="20"/>
        </w:rPr>
      </w:pPr>
      <w:r>
        <w:rPr>
          <w:rFonts w:hint="eastAsia" w:ascii="宋体" w:hAnsi="宋体" w:cs="宋体"/>
          <w:sz w:val="20"/>
          <w:szCs w:val="20"/>
        </w:rPr>
        <w:t>14.2.2传真。发送人取得成功传输的信息时生效；</w:t>
      </w:r>
    </w:p>
    <w:p>
      <w:pPr>
        <w:spacing w:line="360" w:lineRule="auto"/>
        <w:ind w:firstLine="378" w:firstLineChars="189"/>
        <w:rPr>
          <w:rFonts w:ascii="宋体" w:hAnsi="宋体" w:cs="宋体"/>
          <w:sz w:val="20"/>
          <w:szCs w:val="20"/>
        </w:rPr>
      </w:pPr>
      <w:r>
        <w:rPr>
          <w:rFonts w:hint="eastAsia" w:ascii="宋体" w:hAnsi="宋体" w:cs="宋体"/>
          <w:sz w:val="20"/>
          <w:szCs w:val="20"/>
        </w:rPr>
        <w:t>14.2.3电子邮件。电子邮件于发送之时生效，前提是寄件者于该邮件发送后24小时内没有收到发送失败通知；</w:t>
      </w:r>
    </w:p>
    <w:p>
      <w:pPr>
        <w:spacing w:line="360" w:lineRule="auto"/>
        <w:ind w:firstLine="378" w:firstLineChars="189"/>
        <w:rPr>
          <w:rFonts w:ascii="宋体" w:hAnsi="宋体" w:cs="宋体"/>
          <w:sz w:val="20"/>
          <w:szCs w:val="20"/>
        </w:rPr>
      </w:pPr>
      <w:r>
        <w:rPr>
          <w:rFonts w:hint="eastAsia" w:ascii="宋体" w:hAnsi="宋体" w:cs="宋体"/>
          <w:sz w:val="20"/>
          <w:szCs w:val="20"/>
        </w:rPr>
        <w:t>14.2.4电话。电话于打出时生效，以电话作出的任何通讯必须以书信、传真或电子邮件确认，如果没有发送或者接收该确认不会使原有通讯失效。</w:t>
      </w:r>
    </w:p>
    <w:p>
      <w:pPr>
        <w:spacing w:line="360" w:lineRule="auto"/>
        <w:ind w:firstLine="378" w:firstLineChars="189"/>
        <w:rPr>
          <w:rFonts w:ascii="宋体" w:hAnsi="宋体" w:cs="宋体"/>
          <w:sz w:val="20"/>
          <w:szCs w:val="20"/>
        </w:rPr>
      </w:pPr>
      <w:r>
        <w:rPr>
          <w:rFonts w:hint="eastAsia" w:ascii="宋体" w:hAnsi="宋体" w:cs="宋体"/>
          <w:sz w:val="20"/>
          <w:szCs w:val="20"/>
        </w:rPr>
        <w:t>14.3书面法律证据。根据本合同以书信、传真或电子邮件方式送达任何订约方的任何通讯，将作为书面法律证据。</w:t>
      </w:r>
    </w:p>
    <w:p>
      <w:pPr>
        <w:rPr>
          <w:b/>
          <w:bCs/>
        </w:rPr>
      </w:pPr>
      <w:bookmarkStart w:id="407" w:name="_Toc16330032"/>
      <w:bookmarkStart w:id="408" w:name="_Toc129674533"/>
      <w:bookmarkStart w:id="409" w:name="_Toc19538"/>
      <w:bookmarkStart w:id="410" w:name="_Toc5018"/>
      <w:bookmarkStart w:id="411" w:name="_Toc12984"/>
      <w:bookmarkStart w:id="412" w:name="_Toc28740"/>
      <w:bookmarkStart w:id="413" w:name="_Toc32160"/>
      <w:bookmarkStart w:id="414" w:name="_Toc13822"/>
      <w:bookmarkStart w:id="415" w:name="_Toc13887"/>
      <w:bookmarkStart w:id="416" w:name="_Toc11290"/>
      <w:bookmarkStart w:id="417" w:name="_Toc15853"/>
      <w:bookmarkStart w:id="418" w:name="_Toc9915"/>
      <w:bookmarkStart w:id="419" w:name="_Toc23316"/>
      <w:bookmarkStart w:id="420" w:name="_Toc32474"/>
      <w:r>
        <w:rPr>
          <w:rFonts w:hint="eastAsia"/>
          <w:b/>
          <w:bCs/>
        </w:rPr>
        <w:t xml:space="preserve"> </w:t>
      </w:r>
      <w:bookmarkStart w:id="421" w:name="_Toc129697510"/>
      <w:r>
        <w:rPr>
          <w:b/>
          <w:bCs/>
        </w:rPr>
        <w:t>15</w:t>
      </w:r>
      <w:r>
        <w:rPr>
          <w:rFonts w:hint="eastAsia"/>
          <w:b/>
          <w:bCs/>
        </w:rPr>
        <w:t>适用法律及争议解决</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pPr>
        <w:spacing w:line="360" w:lineRule="auto"/>
        <w:ind w:firstLine="378" w:firstLineChars="189"/>
        <w:rPr>
          <w:rFonts w:ascii="宋体" w:hAnsi="宋体" w:cs="宋体"/>
          <w:sz w:val="20"/>
          <w:szCs w:val="20"/>
        </w:rPr>
      </w:pPr>
      <w:r>
        <w:rPr>
          <w:rFonts w:hint="eastAsia" w:ascii="宋体" w:hAnsi="宋体" w:cs="宋体"/>
          <w:sz w:val="20"/>
          <w:szCs w:val="20"/>
        </w:rPr>
        <w:t>15.1本合同条款的效力和解释适用中华人民共和国法律。</w:t>
      </w:r>
    </w:p>
    <w:p>
      <w:pPr>
        <w:spacing w:line="360" w:lineRule="auto"/>
        <w:ind w:firstLine="378" w:firstLineChars="189"/>
        <w:rPr>
          <w:rFonts w:ascii="宋体" w:hAnsi="宋体" w:cs="宋体"/>
          <w:sz w:val="20"/>
          <w:szCs w:val="20"/>
        </w:rPr>
      </w:pPr>
      <w:r>
        <w:rPr>
          <w:rFonts w:hint="eastAsia" w:ascii="宋体" w:hAnsi="宋体" w:cs="宋体"/>
          <w:sz w:val="20"/>
          <w:szCs w:val="20"/>
        </w:rPr>
        <w:t>15.2双方同意将本着诚信的态度协商解决本合同履行过程中产生的任何争议。如果争议事项不能通过双方协商解决，本合同双方同意采用向</w:t>
      </w:r>
      <w:r>
        <w:rPr>
          <w:rFonts w:hint="eastAsia" w:ascii="宋体" w:hAnsi="宋体" w:cs="宋体"/>
          <w:b/>
          <w:bCs/>
          <w:sz w:val="20"/>
          <w:szCs w:val="20"/>
        </w:rPr>
        <w:t>买方所在地</w:t>
      </w:r>
      <w:r>
        <w:rPr>
          <w:rFonts w:hint="eastAsia" w:ascii="宋体" w:hAnsi="宋体" w:cs="宋体"/>
          <w:sz w:val="20"/>
          <w:szCs w:val="20"/>
        </w:rPr>
        <w:t>人民法院提起诉讼的方式解决。</w:t>
      </w:r>
    </w:p>
    <w:p>
      <w:pPr>
        <w:rPr>
          <w:b/>
          <w:bCs/>
        </w:rPr>
      </w:pPr>
      <w:bookmarkStart w:id="422" w:name="_Toc1520"/>
      <w:bookmarkStart w:id="423" w:name="_Toc23765"/>
      <w:bookmarkStart w:id="424" w:name="_Toc19439"/>
      <w:bookmarkStart w:id="425" w:name="_Toc19525"/>
      <w:bookmarkStart w:id="426" w:name="_Toc17813"/>
      <w:bookmarkStart w:id="427" w:name="_Toc23906"/>
      <w:bookmarkStart w:id="428" w:name="_Toc129697511"/>
      <w:bookmarkStart w:id="429" w:name="_Toc24395"/>
      <w:bookmarkStart w:id="430" w:name="_Toc129674534"/>
      <w:bookmarkStart w:id="431" w:name="_Toc21787"/>
      <w:bookmarkStart w:id="432" w:name="_Toc11417"/>
      <w:bookmarkStart w:id="433" w:name="_Toc6610"/>
      <w:bookmarkStart w:id="434" w:name="_Toc16330033"/>
      <w:bookmarkStart w:id="435" w:name="_Toc17218"/>
      <w:bookmarkStart w:id="436" w:name="_Toc18207"/>
      <w:r>
        <w:rPr>
          <w:rFonts w:hint="eastAsia"/>
          <w:b/>
          <w:bCs/>
        </w:rPr>
        <w:t>1</w:t>
      </w:r>
      <w:r>
        <w:rPr>
          <w:b/>
          <w:bCs/>
        </w:rPr>
        <w:t>6</w:t>
      </w:r>
      <w:r>
        <w:rPr>
          <w:rFonts w:hint="eastAsia"/>
          <w:b/>
          <w:bCs/>
        </w:rPr>
        <w:t>附件</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pPr>
        <w:spacing w:line="360" w:lineRule="auto"/>
        <w:ind w:firstLine="378" w:firstLineChars="189"/>
        <w:rPr>
          <w:rFonts w:ascii="宋体" w:hAnsi="宋体" w:cs="宋体"/>
          <w:sz w:val="20"/>
          <w:szCs w:val="20"/>
        </w:rPr>
      </w:pPr>
      <w:r>
        <w:rPr>
          <w:rFonts w:hint="eastAsia" w:ascii="宋体" w:hAnsi="宋体" w:cs="宋体"/>
          <w:sz w:val="20"/>
          <w:szCs w:val="20"/>
        </w:rPr>
        <w:t>本合同及其附件构成双方关于本合同标的之全部协议，包括但不限于下列文件：</w:t>
      </w:r>
    </w:p>
    <w:p>
      <w:pPr>
        <w:spacing w:line="360" w:lineRule="auto"/>
        <w:ind w:firstLine="378" w:firstLineChars="189"/>
        <w:rPr>
          <w:rFonts w:ascii="宋体" w:hAnsi="宋体" w:cs="宋体"/>
          <w:sz w:val="20"/>
          <w:szCs w:val="20"/>
        </w:rPr>
      </w:pPr>
      <w:r>
        <w:rPr>
          <w:rFonts w:hint="eastAsia" w:ascii="宋体" w:hAnsi="宋体" w:cs="宋体"/>
          <w:sz w:val="20"/>
          <w:szCs w:val="20"/>
        </w:rPr>
        <w:t>16.1技术协议书；</w:t>
      </w:r>
    </w:p>
    <w:p>
      <w:pPr>
        <w:spacing w:line="360" w:lineRule="auto"/>
        <w:ind w:firstLine="378" w:firstLineChars="189"/>
        <w:rPr>
          <w:rFonts w:ascii="宋体" w:hAnsi="宋体" w:cs="宋体"/>
          <w:sz w:val="20"/>
          <w:szCs w:val="20"/>
        </w:rPr>
      </w:pPr>
      <w:r>
        <w:rPr>
          <w:rFonts w:hint="eastAsia" w:ascii="宋体" w:hAnsi="宋体" w:cs="宋体"/>
          <w:sz w:val="20"/>
          <w:szCs w:val="20"/>
        </w:rPr>
        <w:t>16.2合同设备一览表；</w:t>
      </w:r>
    </w:p>
    <w:p>
      <w:pPr>
        <w:spacing w:line="360" w:lineRule="auto"/>
        <w:ind w:firstLine="378" w:firstLineChars="189"/>
        <w:rPr>
          <w:rFonts w:ascii="宋体" w:hAnsi="宋体" w:cs="宋体"/>
          <w:sz w:val="20"/>
          <w:szCs w:val="20"/>
        </w:rPr>
      </w:pPr>
      <w:r>
        <w:rPr>
          <w:rFonts w:hint="eastAsia" w:ascii="宋体" w:hAnsi="宋体" w:cs="宋体"/>
          <w:sz w:val="20"/>
          <w:szCs w:val="20"/>
        </w:rPr>
        <w:t>16.3卖方中标的设备投标书以及一切书面承诺；</w:t>
      </w:r>
    </w:p>
    <w:p>
      <w:pPr>
        <w:spacing w:line="360" w:lineRule="auto"/>
        <w:ind w:firstLine="378" w:firstLineChars="189"/>
        <w:rPr>
          <w:rFonts w:ascii="宋体" w:hAnsi="宋体" w:cs="宋体"/>
          <w:sz w:val="20"/>
          <w:szCs w:val="20"/>
        </w:rPr>
      </w:pPr>
      <w:r>
        <w:rPr>
          <w:rFonts w:hint="eastAsia" w:ascii="宋体" w:hAnsi="宋体" w:cs="宋体"/>
          <w:sz w:val="20"/>
          <w:szCs w:val="20"/>
        </w:rPr>
        <w:t>16.4招标文件。</w:t>
      </w:r>
    </w:p>
    <w:p>
      <w:pPr>
        <w:spacing w:line="360" w:lineRule="auto"/>
        <w:ind w:firstLine="378" w:firstLineChars="189"/>
        <w:rPr>
          <w:rFonts w:ascii="宋体" w:hAnsi="宋体" w:cs="宋体"/>
          <w:sz w:val="20"/>
          <w:szCs w:val="20"/>
        </w:rPr>
      </w:pPr>
      <w:r>
        <w:rPr>
          <w:rFonts w:hint="eastAsia" w:ascii="宋体" w:hAnsi="宋体" w:cs="宋体"/>
          <w:sz w:val="20"/>
          <w:szCs w:val="20"/>
        </w:rPr>
        <w:t>上述附件内容与本合同约定有冲突的，以本合同约定为准。</w:t>
      </w:r>
    </w:p>
    <w:p>
      <w:pPr>
        <w:rPr>
          <w:b/>
          <w:bCs/>
        </w:rPr>
      </w:pPr>
      <w:bookmarkStart w:id="437" w:name="_Toc11170"/>
      <w:bookmarkStart w:id="438" w:name="_Toc27202"/>
      <w:bookmarkStart w:id="439" w:name="_Toc1087"/>
      <w:bookmarkStart w:id="440" w:name="_Toc18336"/>
      <w:bookmarkStart w:id="441" w:name="_Toc32361"/>
      <w:bookmarkStart w:id="442" w:name="_Toc16777"/>
      <w:bookmarkStart w:id="443" w:name="_Toc11863"/>
      <w:bookmarkStart w:id="444" w:name="_Toc30868"/>
      <w:bookmarkStart w:id="445" w:name="_Toc19616"/>
      <w:bookmarkStart w:id="446" w:name="_Toc17656"/>
      <w:bookmarkStart w:id="447" w:name="_Toc129697512"/>
      <w:bookmarkStart w:id="448" w:name="_Toc129674535"/>
      <w:bookmarkStart w:id="449" w:name="_Toc18369"/>
      <w:bookmarkStart w:id="450" w:name="_Toc16330034"/>
      <w:bookmarkStart w:id="451" w:name="_Toc31331"/>
      <w:r>
        <w:rPr>
          <w:rFonts w:hint="eastAsia"/>
          <w:b/>
          <w:bCs/>
        </w:rPr>
        <w:t>1</w:t>
      </w:r>
      <w:r>
        <w:rPr>
          <w:b/>
          <w:bCs/>
        </w:rPr>
        <w:t>7</w:t>
      </w:r>
      <w:r>
        <w:rPr>
          <w:rFonts w:hint="eastAsia"/>
          <w:b/>
          <w:bCs/>
        </w:rPr>
        <w:t>其他规定</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spacing w:line="360" w:lineRule="auto"/>
        <w:ind w:firstLine="378" w:firstLineChars="189"/>
        <w:rPr>
          <w:rFonts w:ascii="宋体" w:hAnsi="宋体" w:cs="宋体"/>
          <w:sz w:val="20"/>
          <w:szCs w:val="20"/>
        </w:rPr>
      </w:pPr>
      <w:r>
        <w:rPr>
          <w:rFonts w:hint="eastAsia" w:ascii="宋体" w:hAnsi="宋体" w:cs="宋体"/>
          <w:sz w:val="20"/>
          <w:szCs w:val="20"/>
        </w:rPr>
        <w:t>17.1本合同及其附件构成了双方就本合同所含交易而达成的全部合同，并取代双方先前与该等交易有关的全部口头和书面合同。</w:t>
      </w:r>
    </w:p>
    <w:p>
      <w:pPr>
        <w:spacing w:line="360" w:lineRule="auto"/>
        <w:ind w:firstLine="378" w:firstLineChars="189"/>
        <w:rPr>
          <w:rFonts w:ascii="宋体" w:hAnsi="宋体" w:cs="宋体"/>
          <w:sz w:val="20"/>
          <w:szCs w:val="20"/>
        </w:rPr>
      </w:pPr>
      <w:r>
        <w:rPr>
          <w:rFonts w:hint="eastAsia" w:ascii="宋体" w:hAnsi="宋体" w:cs="宋体"/>
          <w:sz w:val="20"/>
          <w:szCs w:val="20"/>
        </w:rPr>
        <w:t>17.2如果本合同的任何条款和条件在任何时间成为非法、无效或不可强制执行的，则其他条款不应受其影响。</w:t>
      </w:r>
    </w:p>
    <w:p>
      <w:pPr>
        <w:spacing w:line="360" w:lineRule="auto"/>
        <w:ind w:firstLine="378" w:firstLineChars="189"/>
        <w:rPr>
          <w:rFonts w:ascii="宋体" w:hAnsi="宋体" w:cs="宋体"/>
          <w:sz w:val="20"/>
          <w:szCs w:val="20"/>
        </w:rPr>
      </w:pPr>
      <w:r>
        <w:rPr>
          <w:rFonts w:hint="eastAsia" w:ascii="宋体" w:hAnsi="宋体" w:cs="宋体"/>
          <w:sz w:val="20"/>
          <w:szCs w:val="20"/>
        </w:rPr>
        <w:t>17.3除非另有规定，一方未行使或迟延行使本合同项下的权利、权力或特权并不构成放弃这些权利、权力和特权，而单一或部分行使这些权利、权力和特权并不排斥行使任何其他权利、权力和特权。</w:t>
      </w:r>
    </w:p>
    <w:p>
      <w:pPr>
        <w:spacing w:line="360" w:lineRule="auto"/>
        <w:ind w:firstLine="378" w:firstLineChars="189"/>
        <w:rPr>
          <w:rFonts w:ascii="宋体" w:hAnsi="宋体" w:cs="宋体"/>
          <w:sz w:val="20"/>
          <w:szCs w:val="20"/>
        </w:rPr>
      </w:pPr>
      <w:bookmarkStart w:id="452" w:name="_Toc16330035"/>
      <w:bookmarkStart w:id="453" w:name="_Toc17952"/>
      <w:bookmarkStart w:id="454" w:name="_Toc29136"/>
      <w:bookmarkStart w:id="455" w:name="_Toc19077"/>
      <w:r>
        <w:rPr>
          <w:rFonts w:hint="eastAsia" w:ascii="宋体" w:hAnsi="宋体" w:cs="宋体"/>
          <w:sz w:val="20"/>
          <w:szCs w:val="20"/>
        </w:rPr>
        <w:t>17.4监造，在合同设备的制造过程中，买方有权派出代表对合同设备制造过程中的关键工序进行质量监督，卖方有配合买方监造的义务。</w:t>
      </w:r>
    </w:p>
    <w:p>
      <w:pPr>
        <w:spacing w:line="360" w:lineRule="auto"/>
        <w:ind w:firstLine="378" w:firstLineChars="189"/>
        <w:rPr>
          <w:rFonts w:hint="eastAsia" w:ascii="宋体" w:hAnsi="宋体" w:cs="宋体"/>
          <w:sz w:val="20"/>
          <w:szCs w:val="20"/>
        </w:rPr>
      </w:pPr>
      <w:r>
        <w:rPr>
          <w:rFonts w:hint="eastAsia" w:ascii="宋体" w:hAnsi="宋体" w:cs="宋体"/>
          <w:sz w:val="20"/>
          <w:szCs w:val="20"/>
        </w:rPr>
        <w:t>17.5非因买方原因，卖方不能向其分包商或外购材料设备供货商及时付款等原因造成了分包商或外购材料设备供货商对买方发生了围堵上访、法律诉讼等不利的影响，卖方须承担违约责任及对买方造成的一切损失，同时买方有权直接向分包商或其外购材料设备供货商直接付款，该笔款项将直接从卖方的合同款项中扣除。</w:t>
      </w:r>
    </w:p>
    <w:p>
      <w:pPr>
        <w:spacing w:line="360" w:lineRule="auto"/>
        <w:ind w:firstLine="378" w:firstLineChars="189"/>
        <w:rPr>
          <w:rFonts w:hint="eastAsia" w:ascii="宋体" w:hAnsi="宋体" w:cs="宋体"/>
          <w:sz w:val="20"/>
          <w:szCs w:val="20"/>
        </w:rPr>
      </w:pPr>
      <w:r>
        <w:rPr>
          <w:rFonts w:hint="eastAsia" w:ascii="宋体" w:hAnsi="宋体" w:cs="宋体"/>
          <w:sz w:val="20"/>
          <w:szCs w:val="20"/>
        </w:rPr>
        <w:t>17.6除有特殊要求外，设备表层颜色规定按《</w:t>
      </w:r>
      <w:r>
        <w:rPr>
          <w:rFonts w:ascii="宋体" w:hAnsi="宋体" w:cs="宋体"/>
          <w:sz w:val="20"/>
          <w:szCs w:val="20"/>
        </w:rPr>
        <w:t>Q-ZZ 30070 设备设施颜色标识</w:t>
      </w:r>
      <w:r>
        <w:rPr>
          <w:rFonts w:hint="eastAsia" w:ascii="宋体" w:hAnsi="宋体" w:cs="宋体"/>
          <w:sz w:val="20"/>
          <w:szCs w:val="20"/>
        </w:rPr>
        <w:t>》内容执行。</w:t>
      </w:r>
    </w:p>
    <w:p>
      <w:pPr>
        <w:rPr>
          <w:b/>
          <w:bCs/>
        </w:rPr>
      </w:pPr>
      <w:bookmarkStart w:id="456" w:name="_Toc32616"/>
      <w:bookmarkStart w:id="457" w:name="_Toc30768"/>
      <w:bookmarkStart w:id="458" w:name="_Toc5328"/>
      <w:bookmarkStart w:id="459" w:name="_Toc27564"/>
      <w:bookmarkStart w:id="460" w:name="_Toc6974"/>
      <w:bookmarkStart w:id="461" w:name="_Toc9387"/>
      <w:bookmarkStart w:id="462" w:name="_Toc11326"/>
      <w:bookmarkStart w:id="463" w:name="_Toc129674536"/>
      <w:bookmarkStart w:id="464" w:name="_Toc5165"/>
      <w:bookmarkStart w:id="465" w:name="_Toc9106"/>
      <w:bookmarkStart w:id="466" w:name="_Toc129697513"/>
      <w:r>
        <w:rPr>
          <w:rFonts w:hint="eastAsia"/>
          <w:b/>
          <w:bCs/>
        </w:rPr>
        <w:t>1</w:t>
      </w:r>
      <w:r>
        <w:rPr>
          <w:b/>
          <w:bCs/>
        </w:rPr>
        <w:t>8</w:t>
      </w:r>
      <w:r>
        <w:rPr>
          <w:rFonts w:hint="eastAsia"/>
          <w:b/>
          <w:bCs/>
        </w:rPr>
        <w:t>签署事项</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pPr>
        <w:spacing w:line="360" w:lineRule="auto"/>
        <w:ind w:firstLine="378" w:firstLineChars="189"/>
        <w:rPr>
          <w:rFonts w:ascii="宋体" w:hAnsi="宋体" w:cs="宋体"/>
          <w:sz w:val="20"/>
          <w:szCs w:val="20"/>
        </w:rPr>
      </w:pPr>
      <w:r>
        <w:rPr>
          <w:rFonts w:hint="eastAsia" w:ascii="宋体" w:hAnsi="宋体" w:cs="宋体"/>
          <w:sz w:val="20"/>
          <w:szCs w:val="20"/>
        </w:rPr>
        <w:t>本合同一式</w:t>
      </w:r>
      <w:r>
        <w:rPr>
          <w:rFonts w:hint="eastAsia" w:ascii="宋体" w:hAnsi="宋体" w:cs="宋体"/>
          <w:sz w:val="20"/>
          <w:szCs w:val="20"/>
          <w:u w:val="single"/>
        </w:rPr>
        <w:t xml:space="preserve">   </w:t>
      </w:r>
      <w:r>
        <w:rPr>
          <w:rFonts w:hint="eastAsia" w:ascii="宋体" w:hAnsi="宋体" w:cs="宋体"/>
          <w:sz w:val="20"/>
          <w:szCs w:val="20"/>
        </w:rPr>
        <w:t>份，买方持</w:t>
      </w:r>
      <w:r>
        <w:rPr>
          <w:rFonts w:hint="eastAsia" w:ascii="宋体" w:hAnsi="宋体" w:cs="宋体"/>
          <w:sz w:val="20"/>
          <w:szCs w:val="20"/>
          <w:u w:val="single"/>
        </w:rPr>
        <w:t xml:space="preserve">   </w:t>
      </w:r>
      <w:r>
        <w:rPr>
          <w:rFonts w:hint="eastAsia" w:ascii="宋体" w:hAnsi="宋体" w:cs="宋体"/>
          <w:sz w:val="20"/>
          <w:szCs w:val="20"/>
        </w:rPr>
        <w:t>份，卖方持</w:t>
      </w:r>
      <w:r>
        <w:rPr>
          <w:rFonts w:hint="eastAsia" w:ascii="宋体" w:hAnsi="宋体" w:cs="宋体"/>
          <w:sz w:val="20"/>
          <w:szCs w:val="20"/>
          <w:u w:val="single"/>
        </w:rPr>
        <w:t xml:space="preserve">   </w:t>
      </w:r>
      <w:r>
        <w:rPr>
          <w:rFonts w:hint="eastAsia" w:ascii="宋体" w:hAnsi="宋体" w:cs="宋体"/>
          <w:sz w:val="20"/>
          <w:szCs w:val="20"/>
        </w:rPr>
        <w:t>份；本合同经双方签署后生效。</w:t>
      </w:r>
    </w:p>
    <w:p>
      <w:pPr>
        <w:spacing w:line="360" w:lineRule="auto"/>
        <w:ind w:firstLine="378" w:firstLineChars="189"/>
        <w:rPr>
          <w:rFonts w:hint="eastAsia" w:ascii="宋体" w:hAnsi="宋体" w:cs="宋体"/>
          <w:sz w:val="20"/>
          <w:szCs w:val="20"/>
        </w:rPr>
      </w:pPr>
      <w:r>
        <w:rPr>
          <w:rFonts w:hint="eastAsia" w:ascii="宋体" w:hAnsi="宋体" w:cs="宋体"/>
          <w:sz w:val="20"/>
          <w:szCs w:val="20"/>
        </w:rPr>
        <w:t>（以下无正文）</w:t>
      </w:r>
    </w:p>
    <w:p>
      <w:pPr>
        <w:pStyle w:val="22"/>
        <w:ind w:firstLine="400"/>
        <w:rPr>
          <w:rFonts w:hint="eastAsia" w:ascii="宋体" w:hAnsi="宋体" w:cs="宋体"/>
          <w:sz w:val="20"/>
          <w:szCs w:val="20"/>
        </w:rPr>
      </w:pPr>
    </w:p>
    <w:p>
      <w:pPr>
        <w:rPr>
          <w:rFonts w:hint="eastAsia" w:ascii="宋体" w:hAnsi="宋体" w:cs="宋体"/>
          <w:sz w:val="20"/>
          <w:szCs w:val="20"/>
        </w:rPr>
      </w:pPr>
    </w:p>
    <w:p>
      <w:pPr>
        <w:pStyle w:val="22"/>
      </w:pPr>
    </w:p>
    <w:p>
      <w:pPr>
        <w:rPr>
          <w:rFonts w:hint="eastAsia"/>
        </w:rPr>
      </w:pPr>
    </w:p>
    <w:p>
      <w:pPr>
        <w:ind w:firstLine="400"/>
        <w:rPr>
          <w:rFonts w:hint="eastAsia" w:ascii="宋体" w:hAnsi="宋体"/>
          <w:snapToGrid w:val="0"/>
          <w:kern w:val="0"/>
          <w:sz w:val="20"/>
          <w:szCs w:val="20"/>
        </w:rPr>
      </w:pPr>
      <w:r>
        <w:rPr>
          <w:rFonts w:hint="eastAsia" w:ascii="宋体" w:hAnsi="宋体"/>
          <w:snapToGrid w:val="0"/>
          <w:kern w:val="0"/>
          <w:sz w:val="20"/>
          <w:szCs w:val="20"/>
        </w:rPr>
        <w:t>（本页为编号为【】设备采购合同的签署页）</w:t>
      </w:r>
    </w:p>
    <w:p>
      <w:pPr>
        <w:pStyle w:val="22"/>
      </w:pPr>
    </w:p>
    <w:p>
      <w:pPr>
        <w:widowControl/>
        <w:adjustRightInd w:val="0"/>
        <w:snapToGrid w:val="0"/>
        <w:spacing w:line="360" w:lineRule="auto"/>
        <w:ind w:firstLine="400"/>
        <w:jc w:val="left"/>
        <w:rPr>
          <w:rFonts w:ascii="宋体" w:hAnsi="宋体"/>
          <w:snapToGrid w:val="0"/>
          <w:kern w:val="0"/>
          <w:sz w:val="20"/>
          <w:szCs w:val="20"/>
          <w:lang w:eastAsia="zh-Hans"/>
        </w:rPr>
      </w:pPr>
      <w:r>
        <w:rPr>
          <w:rFonts w:hint="eastAsia" w:ascii="宋体" w:hAnsi="宋体"/>
          <w:snapToGrid w:val="0"/>
          <w:kern w:val="0"/>
          <w:sz w:val="20"/>
          <w:szCs w:val="20"/>
          <w:lang w:eastAsia="zh-Hans"/>
        </w:rPr>
        <w:t>甲方</w:t>
      </w:r>
      <w:r>
        <w:rPr>
          <w:rFonts w:hint="eastAsia" w:ascii="宋体" w:hAnsi="宋体"/>
          <w:snapToGrid w:val="0"/>
          <w:kern w:val="0"/>
          <w:sz w:val="20"/>
          <w:szCs w:val="20"/>
        </w:rPr>
        <w:t>（盖章）</w:t>
      </w:r>
      <w:r>
        <w:rPr>
          <w:rFonts w:hint="eastAsia" w:ascii="宋体" w:hAnsi="宋体"/>
          <w:snapToGrid w:val="0"/>
          <w:kern w:val="0"/>
          <w:sz w:val="20"/>
          <w:szCs w:val="20"/>
          <w:lang w:eastAsia="zh-Hans"/>
        </w:rPr>
        <w:t xml:space="preserve">：                    </w:t>
      </w:r>
      <w:r>
        <w:rPr>
          <w:rFonts w:hint="eastAsia" w:ascii="宋体" w:hAnsi="宋体"/>
          <w:snapToGrid w:val="0"/>
          <w:kern w:val="0"/>
          <w:sz w:val="20"/>
          <w:szCs w:val="20"/>
        </w:rPr>
        <w:t xml:space="preserve">           </w:t>
      </w:r>
      <w:r>
        <w:rPr>
          <w:rFonts w:hint="eastAsia" w:ascii="宋体" w:hAnsi="宋体"/>
          <w:snapToGrid w:val="0"/>
          <w:kern w:val="0"/>
          <w:sz w:val="20"/>
          <w:szCs w:val="20"/>
          <w:lang w:eastAsia="zh-Hans"/>
        </w:rPr>
        <w:t>乙方</w:t>
      </w:r>
      <w:r>
        <w:rPr>
          <w:rFonts w:hint="eastAsia" w:ascii="宋体" w:hAnsi="宋体"/>
          <w:snapToGrid w:val="0"/>
          <w:kern w:val="0"/>
          <w:sz w:val="20"/>
          <w:szCs w:val="20"/>
        </w:rPr>
        <w:t>（盖章）</w:t>
      </w:r>
      <w:r>
        <w:rPr>
          <w:rFonts w:hint="eastAsia" w:ascii="宋体" w:hAnsi="宋体"/>
          <w:snapToGrid w:val="0"/>
          <w:kern w:val="0"/>
          <w:sz w:val="20"/>
          <w:szCs w:val="20"/>
          <w:lang w:eastAsia="zh-Hans"/>
        </w:rPr>
        <w:t>：</w:t>
      </w:r>
    </w:p>
    <w:p>
      <w:pPr>
        <w:widowControl/>
        <w:adjustRightInd w:val="0"/>
        <w:snapToGrid w:val="0"/>
        <w:spacing w:line="360" w:lineRule="auto"/>
        <w:ind w:firstLine="400"/>
        <w:jc w:val="left"/>
        <w:rPr>
          <w:rFonts w:ascii="宋体" w:hAnsi="宋体"/>
          <w:snapToGrid w:val="0"/>
          <w:kern w:val="0"/>
          <w:sz w:val="20"/>
          <w:szCs w:val="20"/>
          <w:lang w:eastAsia="zh-Hans"/>
        </w:rPr>
      </w:pPr>
      <w:r>
        <w:rPr>
          <w:rFonts w:ascii="宋体" w:hAnsi="宋体"/>
          <w:snapToGrid w:val="0"/>
          <w:kern w:val="0"/>
          <w:sz w:val="20"/>
          <w:szCs w:val="20"/>
          <w:lang w:eastAsia="zh-Hans"/>
        </w:rPr>
        <w:t>法定代表人或代理人（签字）：                 法定代表人或代理人（签字）：</w:t>
      </w:r>
    </w:p>
    <w:p>
      <w:pPr>
        <w:widowControl/>
        <w:adjustRightInd w:val="0"/>
        <w:snapToGrid w:val="0"/>
        <w:spacing w:line="360" w:lineRule="auto"/>
        <w:ind w:firstLine="400"/>
        <w:jc w:val="left"/>
        <w:rPr>
          <w:rFonts w:ascii="宋体" w:hAnsi="宋体"/>
          <w:snapToGrid w:val="0"/>
          <w:kern w:val="0"/>
          <w:sz w:val="20"/>
          <w:szCs w:val="20"/>
          <w:lang w:eastAsia="zh-Hans"/>
        </w:rPr>
      </w:pPr>
      <w:r>
        <w:rPr>
          <w:rFonts w:ascii="宋体" w:hAnsi="宋体"/>
          <w:snapToGrid w:val="0"/>
          <w:kern w:val="0"/>
          <w:sz w:val="20"/>
          <w:szCs w:val="20"/>
          <w:lang w:eastAsia="zh-Hans"/>
        </w:rPr>
        <w:t xml:space="preserve">地  址：                                     地  址： </w:t>
      </w:r>
    </w:p>
    <w:p>
      <w:pPr>
        <w:widowControl/>
        <w:adjustRightInd w:val="0"/>
        <w:snapToGrid w:val="0"/>
        <w:spacing w:line="360" w:lineRule="auto"/>
        <w:ind w:firstLine="400"/>
        <w:jc w:val="left"/>
        <w:rPr>
          <w:rFonts w:ascii="宋体" w:hAnsi="宋体"/>
          <w:snapToGrid w:val="0"/>
          <w:kern w:val="0"/>
          <w:sz w:val="20"/>
          <w:szCs w:val="20"/>
          <w:lang w:eastAsia="zh-Hans"/>
        </w:rPr>
      </w:pPr>
      <w:r>
        <w:rPr>
          <w:rFonts w:ascii="宋体" w:hAnsi="宋体"/>
          <w:snapToGrid w:val="0"/>
          <w:kern w:val="0"/>
          <w:sz w:val="20"/>
          <w:szCs w:val="20"/>
          <w:lang w:eastAsia="zh-Hans"/>
        </w:rPr>
        <w:t xml:space="preserve">电话：                                       电话： </w:t>
      </w:r>
    </w:p>
    <w:p>
      <w:pPr>
        <w:widowControl/>
        <w:adjustRightInd w:val="0"/>
        <w:snapToGrid w:val="0"/>
        <w:spacing w:line="360" w:lineRule="auto"/>
        <w:ind w:firstLine="400"/>
        <w:jc w:val="left"/>
        <w:rPr>
          <w:rFonts w:ascii="宋体" w:hAnsi="宋体"/>
          <w:snapToGrid w:val="0"/>
          <w:kern w:val="0"/>
          <w:sz w:val="20"/>
          <w:szCs w:val="20"/>
          <w:lang w:eastAsia="zh-Hans"/>
        </w:rPr>
      </w:pPr>
      <w:r>
        <w:rPr>
          <w:rFonts w:ascii="宋体" w:hAnsi="宋体"/>
          <w:snapToGrid w:val="0"/>
          <w:kern w:val="0"/>
          <w:sz w:val="20"/>
          <w:szCs w:val="20"/>
          <w:lang w:eastAsia="zh-Hans"/>
        </w:rPr>
        <w:t xml:space="preserve">传真：                                       传真： </w:t>
      </w:r>
    </w:p>
    <w:p>
      <w:pPr>
        <w:widowControl/>
        <w:adjustRightInd w:val="0"/>
        <w:snapToGrid w:val="0"/>
        <w:spacing w:line="360" w:lineRule="auto"/>
        <w:ind w:firstLine="400"/>
        <w:jc w:val="left"/>
        <w:rPr>
          <w:rFonts w:ascii="宋体" w:hAnsi="宋体"/>
          <w:snapToGrid w:val="0"/>
          <w:kern w:val="0"/>
          <w:sz w:val="20"/>
          <w:szCs w:val="20"/>
          <w:lang w:eastAsia="zh-Hans"/>
        </w:rPr>
      </w:pPr>
      <w:r>
        <w:rPr>
          <w:rFonts w:ascii="宋体" w:hAnsi="宋体"/>
          <w:snapToGrid w:val="0"/>
          <w:kern w:val="0"/>
          <w:sz w:val="20"/>
          <w:szCs w:val="20"/>
          <w:lang w:eastAsia="zh-Hans"/>
        </w:rPr>
        <w:t xml:space="preserve">开户银行：                                   开户银行：   </w:t>
      </w:r>
    </w:p>
    <w:p>
      <w:pPr>
        <w:widowControl/>
        <w:adjustRightInd w:val="0"/>
        <w:snapToGrid w:val="0"/>
        <w:spacing w:line="360" w:lineRule="auto"/>
        <w:ind w:firstLine="400"/>
        <w:jc w:val="left"/>
        <w:rPr>
          <w:rFonts w:hint="eastAsia" w:ascii="宋体" w:hAnsi="宋体"/>
          <w:snapToGrid w:val="0"/>
          <w:kern w:val="0"/>
          <w:sz w:val="20"/>
          <w:szCs w:val="20"/>
        </w:rPr>
      </w:pPr>
      <w:r>
        <w:rPr>
          <w:rFonts w:ascii="宋体" w:hAnsi="宋体"/>
          <w:snapToGrid w:val="0"/>
          <w:kern w:val="0"/>
          <w:sz w:val="20"/>
          <w:szCs w:val="20"/>
          <w:lang w:eastAsia="zh-Hans"/>
        </w:rPr>
        <w:t xml:space="preserve">账  号：                                     账 号： </w:t>
      </w:r>
    </w:p>
    <w:p>
      <w:pPr>
        <w:tabs>
          <w:tab w:val="left" w:pos="2208"/>
        </w:tabs>
        <w:rPr>
          <w:rFonts w:ascii="宋体" w:hAnsi="宋体" w:cs="宋体"/>
          <w:sz w:val="20"/>
          <w:szCs w:val="20"/>
        </w:rPr>
      </w:pPr>
      <w:r>
        <w:tab/>
      </w:r>
    </w:p>
    <w:p>
      <w:pPr>
        <w:rPr>
          <w:rFonts w:hint="eastAsia"/>
        </w:rPr>
      </w:pPr>
    </w:p>
    <w:p>
      <w:r>
        <w:rPr>
          <w:rFonts w:hint="eastAsia"/>
        </w:rPr>
        <w:t>附件1：设备清单明细表</w:t>
      </w:r>
    </w:p>
    <w:p>
      <w:pPr>
        <w:ind w:firstLine="480"/>
      </w:pP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41"/>
        <w:gridCol w:w="2126"/>
        <w:gridCol w:w="748"/>
        <w:gridCol w:w="812"/>
        <w:gridCol w:w="708"/>
        <w:gridCol w:w="70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89" w:type="dxa"/>
            <w:noWrap w:val="0"/>
            <w:vAlign w:val="center"/>
          </w:tcPr>
          <w:p>
            <w:pPr>
              <w:pStyle w:val="59"/>
              <w:ind w:left="402" w:hanging="402"/>
              <w:jc w:val="center"/>
              <w:rPr>
                <w:rFonts w:ascii="宋体" w:hAnsi="宋体" w:cs="宋体"/>
                <w:b/>
                <w:sz w:val="20"/>
                <w:szCs w:val="20"/>
              </w:rPr>
            </w:pPr>
            <w:r>
              <w:rPr>
                <w:rFonts w:hint="eastAsia" w:ascii="宋体" w:hAnsi="宋体" w:cs="宋体"/>
                <w:b/>
                <w:sz w:val="20"/>
                <w:szCs w:val="20"/>
              </w:rPr>
              <w:t>序号</w:t>
            </w:r>
          </w:p>
        </w:tc>
        <w:tc>
          <w:tcPr>
            <w:tcW w:w="1541" w:type="dxa"/>
            <w:noWrap w:val="0"/>
            <w:vAlign w:val="center"/>
          </w:tcPr>
          <w:p>
            <w:pPr>
              <w:pStyle w:val="59"/>
              <w:ind w:left="402" w:hanging="402"/>
              <w:jc w:val="center"/>
              <w:rPr>
                <w:rFonts w:hint="eastAsia" w:ascii="宋体" w:hAnsi="宋体" w:cs="宋体"/>
                <w:b/>
                <w:sz w:val="20"/>
                <w:szCs w:val="20"/>
              </w:rPr>
            </w:pPr>
            <w:r>
              <w:rPr>
                <w:rFonts w:hint="eastAsia" w:ascii="宋体" w:hAnsi="宋体" w:cs="宋体"/>
                <w:b/>
                <w:sz w:val="20"/>
                <w:szCs w:val="20"/>
              </w:rPr>
              <w:t>产品及部件</w:t>
            </w:r>
          </w:p>
          <w:p>
            <w:pPr>
              <w:pStyle w:val="59"/>
              <w:ind w:left="402" w:hanging="402"/>
              <w:jc w:val="center"/>
              <w:rPr>
                <w:rFonts w:ascii="宋体" w:hAnsi="宋体" w:cs="宋体"/>
                <w:b/>
                <w:sz w:val="20"/>
                <w:szCs w:val="20"/>
              </w:rPr>
            </w:pPr>
            <w:r>
              <w:rPr>
                <w:rFonts w:hint="eastAsia" w:ascii="宋体" w:hAnsi="宋体" w:cs="宋体"/>
                <w:b/>
                <w:sz w:val="20"/>
                <w:szCs w:val="20"/>
              </w:rPr>
              <w:t>名称</w:t>
            </w:r>
          </w:p>
        </w:tc>
        <w:tc>
          <w:tcPr>
            <w:tcW w:w="2126" w:type="dxa"/>
            <w:noWrap w:val="0"/>
            <w:vAlign w:val="center"/>
          </w:tcPr>
          <w:p>
            <w:pPr>
              <w:pStyle w:val="59"/>
              <w:ind w:left="402" w:hanging="402"/>
              <w:jc w:val="center"/>
              <w:rPr>
                <w:rFonts w:ascii="宋体" w:hAnsi="宋体" w:cs="宋体"/>
                <w:b/>
                <w:sz w:val="20"/>
                <w:szCs w:val="20"/>
              </w:rPr>
            </w:pPr>
            <w:r>
              <w:rPr>
                <w:rFonts w:hint="eastAsia" w:ascii="宋体" w:hAnsi="宋体" w:cs="宋体"/>
                <w:b/>
                <w:sz w:val="20"/>
                <w:szCs w:val="20"/>
              </w:rPr>
              <w:t>规格型号及</w:t>
            </w:r>
          </w:p>
          <w:p>
            <w:pPr>
              <w:pStyle w:val="59"/>
              <w:ind w:left="402" w:hanging="402"/>
              <w:jc w:val="center"/>
              <w:rPr>
                <w:rFonts w:ascii="宋体" w:hAnsi="宋体" w:cs="宋体"/>
                <w:b/>
                <w:sz w:val="20"/>
                <w:szCs w:val="20"/>
              </w:rPr>
            </w:pPr>
            <w:r>
              <w:rPr>
                <w:rFonts w:hint="eastAsia" w:ascii="宋体" w:hAnsi="宋体" w:cs="宋体"/>
                <w:b/>
                <w:sz w:val="20"/>
                <w:szCs w:val="20"/>
              </w:rPr>
              <w:t>技术参数</w:t>
            </w:r>
          </w:p>
        </w:tc>
        <w:tc>
          <w:tcPr>
            <w:tcW w:w="748" w:type="dxa"/>
            <w:noWrap w:val="0"/>
            <w:vAlign w:val="center"/>
          </w:tcPr>
          <w:p>
            <w:pPr>
              <w:pStyle w:val="59"/>
              <w:ind w:left="402" w:hanging="402"/>
              <w:jc w:val="center"/>
              <w:rPr>
                <w:rFonts w:ascii="宋体" w:hAnsi="宋体" w:cs="宋体"/>
                <w:b/>
                <w:sz w:val="20"/>
                <w:szCs w:val="20"/>
              </w:rPr>
            </w:pPr>
            <w:r>
              <w:rPr>
                <w:rFonts w:hint="eastAsia" w:ascii="宋体" w:hAnsi="宋体" w:cs="宋体"/>
                <w:b/>
                <w:sz w:val="20"/>
                <w:szCs w:val="20"/>
              </w:rPr>
              <w:t>单位</w:t>
            </w:r>
          </w:p>
        </w:tc>
        <w:tc>
          <w:tcPr>
            <w:tcW w:w="812" w:type="dxa"/>
            <w:noWrap w:val="0"/>
            <w:vAlign w:val="center"/>
          </w:tcPr>
          <w:p>
            <w:pPr>
              <w:pStyle w:val="59"/>
              <w:ind w:left="402" w:hanging="402"/>
              <w:jc w:val="center"/>
              <w:rPr>
                <w:rFonts w:ascii="宋体" w:hAnsi="宋体" w:cs="宋体"/>
                <w:b/>
                <w:sz w:val="20"/>
                <w:szCs w:val="20"/>
              </w:rPr>
            </w:pPr>
            <w:r>
              <w:rPr>
                <w:rFonts w:hint="eastAsia" w:ascii="宋体" w:hAnsi="宋体" w:cs="宋体"/>
                <w:b/>
                <w:sz w:val="20"/>
                <w:szCs w:val="20"/>
              </w:rPr>
              <w:t>数量</w:t>
            </w:r>
          </w:p>
        </w:tc>
        <w:tc>
          <w:tcPr>
            <w:tcW w:w="708" w:type="dxa"/>
            <w:noWrap w:val="0"/>
            <w:vAlign w:val="center"/>
          </w:tcPr>
          <w:p>
            <w:pPr>
              <w:pStyle w:val="59"/>
              <w:ind w:left="402" w:hanging="402"/>
              <w:jc w:val="center"/>
              <w:rPr>
                <w:rFonts w:ascii="宋体" w:hAnsi="宋体" w:cs="宋体"/>
                <w:b/>
                <w:sz w:val="20"/>
                <w:szCs w:val="20"/>
              </w:rPr>
            </w:pPr>
            <w:r>
              <w:rPr>
                <w:rFonts w:hint="eastAsia" w:ascii="宋体" w:hAnsi="宋体" w:cs="宋体"/>
                <w:b/>
                <w:sz w:val="20"/>
                <w:szCs w:val="20"/>
              </w:rPr>
              <w:t>单价</w:t>
            </w:r>
          </w:p>
        </w:tc>
        <w:tc>
          <w:tcPr>
            <w:tcW w:w="708" w:type="dxa"/>
            <w:noWrap w:val="0"/>
            <w:vAlign w:val="center"/>
          </w:tcPr>
          <w:p>
            <w:pPr>
              <w:pStyle w:val="59"/>
              <w:ind w:left="402" w:hanging="402"/>
              <w:jc w:val="center"/>
              <w:rPr>
                <w:rFonts w:ascii="宋体" w:hAnsi="宋体" w:cs="宋体"/>
                <w:b/>
                <w:sz w:val="20"/>
                <w:szCs w:val="20"/>
              </w:rPr>
            </w:pPr>
            <w:r>
              <w:rPr>
                <w:rFonts w:hint="eastAsia" w:ascii="宋体" w:hAnsi="宋体" w:cs="宋体"/>
                <w:b/>
                <w:sz w:val="20"/>
                <w:szCs w:val="20"/>
              </w:rPr>
              <w:t>总价</w:t>
            </w:r>
          </w:p>
        </w:tc>
        <w:tc>
          <w:tcPr>
            <w:tcW w:w="708" w:type="dxa"/>
            <w:noWrap w:val="0"/>
            <w:vAlign w:val="center"/>
          </w:tcPr>
          <w:p>
            <w:pPr>
              <w:pStyle w:val="59"/>
              <w:ind w:left="402" w:hanging="402"/>
              <w:jc w:val="center"/>
              <w:rPr>
                <w:rFonts w:ascii="宋体" w:hAnsi="宋体" w:cs="宋体"/>
                <w:b/>
                <w:sz w:val="20"/>
                <w:szCs w:val="20"/>
              </w:rPr>
            </w:pPr>
            <w:r>
              <w:rPr>
                <w:rFonts w:hint="eastAsia" w:ascii="宋体" w:hAnsi="宋体" w:cs="宋体"/>
                <w:b/>
                <w:sz w:val="20"/>
                <w:szCs w:val="20"/>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noWrap w:val="0"/>
            <w:vAlign w:val="center"/>
          </w:tcPr>
          <w:p>
            <w:pPr>
              <w:pStyle w:val="59"/>
              <w:ind w:left="400" w:hanging="400"/>
              <w:jc w:val="center"/>
              <w:rPr>
                <w:rFonts w:ascii="宋体" w:hAnsi="宋体" w:cs="宋体"/>
                <w:sz w:val="20"/>
                <w:szCs w:val="20"/>
              </w:rPr>
            </w:pPr>
            <w:r>
              <w:rPr>
                <w:rFonts w:hint="eastAsia" w:ascii="宋体" w:hAnsi="宋体" w:cs="宋体"/>
                <w:sz w:val="20"/>
                <w:szCs w:val="20"/>
              </w:rPr>
              <w:t>1</w:t>
            </w:r>
          </w:p>
        </w:tc>
        <w:tc>
          <w:tcPr>
            <w:tcW w:w="1541" w:type="dxa"/>
            <w:noWrap w:val="0"/>
            <w:vAlign w:val="center"/>
          </w:tcPr>
          <w:p>
            <w:pPr>
              <w:pStyle w:val="59"/>
              <w:ind w:left="400" w:hanging="400"/>
              <w:jc w:val="center"/>
              <w:rPr>
                <w:rFonts w:ascii="宋体" w:hAnsi="宋体" w:cs="宋体"/>
                <w:sz w:val="20"/>
                <w:szCs w:val="20"/>
              </w:rPr>
            </w:pPr>
          </w:p>
        </w:tc>
        <w:tc>
          <w:tcPr>
            <w:tcW w:w="2126" w:type="dxa"/>
            <w:noWrap w:val="0"/>
            <w:vAlign w:val="center"/>
          </w:tcPr>
          <w:p>
            <w:pPr>
              <w:pStyle w:val="59"/>
              <w:ind w:left="400" w:hanging="400"/>
              <w:jc w:val="center"/>
              <w:rPr>
                <w:rFonts w:ascii="宋体" w:hAnsi="宋体" w:cs="宋体"/>
                <w:sz w:val="20"/>
                <w:szCs w:val="20"/>
              </w:rPr>
            </w:pPr>
          </w:p>
        </w:tc>
        <w:tc>
          <w:tcPr>
            <w:tcW w:w="748" w:type="dxa"/>
            <w:noWrap w:val="0"/>
            <w:vAlign w:val="center"/>
          </w:tcPr>
          <w:p>
            <w:pPr>
              <w:pStyle w:val="59"/>
              <w:ind w:left="400" w:hanging="400"/>
              <w:jc w:val="center"/>
              <w:rPr>
                <w:rFonts w:ascii="宋体" w:hAnsi="宋体" w:cs="宋体"/>
                <w:sz w:val="20"/>
                <w:szCs w:val="20"/>
              </w:rPr>
            </w:pPr>
          </w:p>
        </w:tc>
        <w:tc>
          <w:tcPr>
            <w:tcW w:w="812" w:type="dxa"/>
            <w:noWrap w:val="0"/>
            <w:vAlign w:val="center"/>
          </w:tcPr>
          <w:p>
            <w:pPr>
              <w:pStyle w:val="59"/>
              <w:ind w:left="400" w:hanging="400"/>
              <w:jc w:val="center"/>
              <w:rPr>
                <w:rFonts w:ascii="宋体" w:hAnsi="宋体" w:cs="宋体"/>
                <w:sz w:val="20"/>
                <w:szCs w:val="20"/>
              </w:rPr>
            </w:pPr>
          </w:p>
        </w:tc>
        <w:tc>
          <w:tcPr>
            <w:tcW w:w="708" w:type="dxa"/>
            <w:noWrap w:val="0"/>
            <w:vAlign w:val="center"/>
          </w:tcPr>
          <w:p>
            <w:pPr>
              <w:pStyle w:val="59"/>
              <w:ind w:left="400" w:hanging="400"/>
              <w:jc w:val="center"/>
              <w:rPr>
                <w:rFonts w:ascii="宋体" w:hAnsi="宋体" w:cs="宋体"/>
                <w:sz w:val="20"/>
                <w:szCs w:val="20"/>
              </w:rPr>
            </w:pPr>
          </w:p>
        </w:tc>
        <w:tc>
          <w:tcPr>
            <w:tcW w:w="708" w:type="dxa"/>
            <w:noWrap w:val="0"/>
            <w:vAlign w:val="center"/>
          </w:tcPr>
          <w:p>
            <w:pPr>
              <w:pStyle w:val="59"/>
              <w:ind w:left="400" w:hanging="400"/>
              <w:jc w:val="center"/>
              <w:rPr>
                <w:rFonts w:ascii="宋体" w:hAnsi="宋体" w:cs="宋体"/>
                <w:sz w:val="20"/>
                <w:szCs w:val="20"/>
              </w:rPr>
            </w:pPr>
          </w:p>
        </w:tc>
        <w:tc>
          <w:tcPr>
            <w:tcW w:w="708" w:type="dxa"/>
            <w:noWrap w:val="0"/>
            <w:vAlign w:val="center"/>
          </w:tcPr>
          <w:p>
            <w:pPr>
              <w:pStyle w:val="59"/>
              <w:ind w:left="400" w:hanging="400"/>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noWrap w:val="0"/>
            <w:vAlign w:val="center"/>
          </w:tcPr>
          <w:p>
            <w:pPr>
              <w:pStyle w:val="59"/>
              <w:ind w:left="400" w:hanging="400"/>
              <w:jc w:val="center"/>
              <w:rPr>
                <w:rFonts w:ascii="宋体" w:hAnsi="宋体" w:cs="宋体"/>
                <w:sz w:val="20"/>
                <w:szCs w:val="20"/>
              </w:rPr>
            </w:pPr>
            <w:r>
              <w:rPr>
                <w:rFonts w:hint="eastAsia" w:ascii="宋体" w:hAnsi="宋体" w:cs="宋体"/>
                <w:sz w:val="20"/>
                <w:szCs w:val="20"/>
              </w:rPr>
              <w:t>2</w:t>
            </w:r>
          </w:p>
        </w:tc>
        <w:tc>
          <w:tcPr>
            <w:tcW w:w="1541" w:type="dxa"/>
            <w:noWrap w:val="0"/>
            <w:vAlign w:val="center"/>
          </w:tcPr>
          <w:p>
            <w:pPr>
              <w:pStyle w:val="59"/>
              <w:ind w:left="400" w:hanging="400"/>
              <w:jc w:val="center"/>
              <w:rPr>
                <w:rFonts w:ascii="宋体" w:hAnsi="宋体" w:cs="宋体"/>
                <w:sz w:val="20"/>
                <w:szCs w:val="20"/>
              </w:rPr>
            </w:pPr>
          </w:p>
        </w:tc>
        <w:tc>
          <w:tcPr>
            <w:tcW w:w="2126" w:type="dxa"/>
            <w:noWrap w:val="0"/>
            <w:vAlign w:val="center"/>
          </w:tcPr>
          <w:p>
            <w:pPr>
              <w:pStyle w:val="59"/>
              <w:ind w:left="400" w:hanging="400"/>
              <w:jc w:val="center"/>
              <w:rPr>
                <w:rFonts w:ascii="宋体" w:hAnsi="宋体" w:cs="宋体"/>
                <w:sz w:val="20"/>
                <w:szCs w:val="20"/>
              </w:rPr>
            </w:pPr>
          </w:p>
        </w:tc>
        <w:tc>
          <w:tcPr>
            <w:tcW w:w="748" w:type="dxa"/>
            <w:noWrap w:val="0"/>
            <w:vAlign w:val="center"/>
          </w:tcPr>
          <w:p>
            <w:pPr>
              <w:pStyle w:val="59"/>
              <w:ind w:left="400" w:hanging="400"/>
              <w:jc w:val="center"/>
              <w:rPr>
                <w:rFonts w:ascii="宋体" w:hAnsi="宋体" w:cs="宋体"/>
                <w:sz w:val="20"/>
                <w:szCs w:val="20"/>
              </w:rPr>
            </w:pPr>
          </w:p>
        </w:tc>
        <w:tc>
          <w:tcPr>
            <w:tcW w:w="812" w:type="dxa"/>
            <w:noWrap w:val="0"/>
            <w:vAlign w:val="center"/>
          </w:tcPr>
          <w:p>
            <w:pPr>
              <w:pStyle w:val="59"/>
              <w:ind w:left="400" w:hanging="400"/>
              <w:jc w:val="center"/>
              <w:rPr>
                <w:rFonts w:ascii="宋体" w:hAnsi="宋体" w:cs="宋体"/>
                <w:sz w:val="20"/>
                <w:szCs w:val="20"/>
              </w:rPr>
            </w:pPr>
          </w:p>
        </w:tc>
        <w:tc>
          <w:tcPr>
            <w:tcW w:w="708" w:type="dxa"/>
            <w:noWrap w:val="0"/>
            <w:vAlign w:val="center"/>
          </w:tcPr>
          <w:p>
            <w:pPr>
              <w:pStyle w:val="59"/>
              <w:ind w:left="400" w:hanging="400"/>
              <w:jc w:val="center"/>
              <w:rPr>
                <w:rFonts w:ascii="宋体" w:hAnsi="宋体" w:cs="宋体"/>
                <w:sz w:val="20"/>
                <w:szCs w:val="20"/>
              </w:rPr>
            </w:pPr>
          </w:p>
        </w:tc>
        <w:tc>
          <w:tcPr>
            <w:tcW w:w="708" w:type="dxa"/>
            <w:noWrap w:val="0"/>
            <w:vAlign w:val="center"/>
          </w:tcPr>
          <w:p>
            <w:pPr>
              <w:pStyle w:val="59"/>
              <w:ind w:left="400" w:hanging="400"/>
              <w:jc w:val="center"/>
              <w:rPr>
                <w:rFonts w:ascii="宋体" w:hAnsi="宋体" w:cs="宋体"/>
                <w:sz w:val="20"/>
                <w:szCs w:val="20"/>
              </w:rPr>
            </w:pPr>
          </w:p>
        </w:tc>
        <w:tc>
          <w:tcPr>
            <w:tcW w:w="708" w:type="dxa"/>
            <w:noWrap w:val="0"/>
            <w:vAlign w:val="center"/>
          </w:tcPr>
          <w:p>
            <w:pPr>
              <w:pStyle w:val="59"/>
              <w:ind w:left="400" w:hanging="400"/>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noWrap w:val="0"/>
            <w:vAlign w:val="center"/>
          </w:tcPr>
          <w:p>
            <w:pPr>
              <w:pStyle w:val="59"/>
              <w:ind w:left="400" w:hanging="400"/>
              <w:jc w:val="center"/>
              <w:rPr>
                <w:rFonts w:ascii="宋体" w:hAnsi="宋体" w:cs="宋体"/>
                <w:sz w:val="20"/>
                <w:szCs w:val="20"/>
              </w:rPr>
            </w:pPr>
            <w:r>
              <w:rPr>
                <w:rFonts w:hint="eastAsia" w:ascii="宋体" w:hAnsi="宋体" w:cs="宋体"/>
                <w:sz w:val="20"/>
                <w:szCs w:val="20"/>
              </w:rPr>
              <w:t>…</w:t>
            </w:r>
          </w:p>
        </w:tc>
        <w:tc>
          <w:tcPr>
            <w:tcW w:w="1541" w:type="dxa"/>
            <w:noWrap w:val="0"/>
            <w:vAlign w:val="center"/>
          </w:tcPr>
          <w:p>
            <w:pPr>
              <w:pStyle w:val="59"/>
              <w:ind w:left="400" w:hanging="400"/>
              <w:jc w:val="center"/>
              <w:rPr>
                <w:rFonts w:ascii="宋体" w:hAnsi="宋体" w:cs="宋体"/>
                <w:sz w:val="20"/>
                <w:szCs w:val="20"/>
              </w:rPr>
            </w:pPr>
          </w:p>
        </w:tc>
        <w:tc>
          <w:tcPr>
            <w:tcW w:w="2126" w:type="dxa"/>
            <w:noWrap w:val="0"/>
            <w:vAlign w:val="center"/>
          </w:tcPr>
          <w:p>
            <w:pPr>
              <w:pStyle w:val="59"/>
              <w:ind w:left="400" w:hanging="400"/>
              <w:jc w:val="center"/>
              <w:rPr>
                <w:rFonts w:ascii="宋体" w:hAnsi="宋体" w:cs="宋体"/>
                <w:sz w:val="20"/>
                <w:szCs w:val="20"/>
              </w:rPr>
            </w:pPr>
          </w:p>
        </w:tc>
        <w:tc>
          <w:tcPr>
            <w:tcW w:w="748" w:type="dxa"/>
            <w:noWrap w:val="0"/>
            <w:vAlign w:val="center"/>
          </w:tcPr>
          <w:p>
            <w:pPr>
              <w:pStyle w:val="59"/>
              <w:ind w:left="400" w:hanging="400"/>
              <w:jc w:val="center"/>
              <w:rPr>
                <w:rFonts w:ascii="宋体" w:hAnsi="宋体" w:cs="宋体"/>
                <w:sz w:val="20"/>
                <w:szCs w:val="20"/>
              </w:rPr>
            </w:pPr>
          </w:p>
        </w:tc>
        <w:tc>
          <w:tcPr>
            <w:tcW w:w="812" w:type="dxa"/>
            <w:noWrap w:val="0"/>
            <w:vAlign w:val="center"/>
          </w:tcPr>
          <w:p>
            <w:pPr>
              <w:pStyle w:val="59"/>
              <w:ind w:left="400" w:hanging="400"/>
              <w:jc w:val="center"/>
              <w:rPr>
                <w:rFonts w:ascii="宋体" w:hAnsi="宋体" w:cs="宋体"/>
                <w:sz w:val="20"/>
                <w:szCs w:val="20"/>
              </w:rPr>
            </w:pPr>
          </w:p>
        </w:tc>
        <w:tc>
          <w:tcPr>
            <w:tcW w:w="708" w:type="dxa"/>
            <w:noWrap w:val="0"/>
            <w:vAlign w:val="center"/>
          </w:tcPr>
          <w:p>
            <w:pPr>
              <w:pStyle w:val="59"/>
              <w:ind w:left="400" w:hanging="400"/>
              <w:jc w:val="center"/>
              <w:rPr>
                <w:rFonts w:ascii="宋体" w:hAnsi="宋体" w:cs="宋体"/>
                <w:sz w:val="20"/>
                <w:szCs w:val="20"/>
              </w:rPr>
            </w:pPr>
          </w:p>
        </w:tc>
        <w:tc>
          <w:tcPr>
            <w:tcW w:w="708" w:type="dxa"/>
            <w:noWrap w:val="0"/>
            <w:vAlign w:val="center"/>
          </w:tcPr>
          <w:p>
            <w:pPr>
              <w:pStyle w:val="59"/>
              <w:ind w:left="400" w:hanging="400"/>
              <w:jc w:val="center"/>
              <w:rPr>
                <w:rFonts w:ascii="宋体" w:hAnsi="宋体" w:cs="宋体"/>
                <w:sz w:val="20"/>
                <w:szCs w:val="20"/>
              </w:rPr>
            </w:pPr>
          </w:p>
        </w:tc>
        <w:tc>
          <w:tcPr>
            <w:tcW w:w="708" w:type="dxa"/>
            <w:noWrap w:val="0"/>
            <w:vAlign w:val="center"/>
          </w:tcPr>
          <w:p>
            <w:pPr>
              <w:pStyle w:val="59"/>
              <w:ind w:left="400" w:hanging="400"/>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noWrap w:val="0"/>
            <w:vAlign w:val="center"/>
          </w:tcPr>
          <w:p>
            <w:pPr>
              <w:pStyle w:val="59"/>
              <w:ind w:left="400" w:hanging="400"/>
              <w:jc w:val="center"/>
              <w:rPr>
                <w:rFonts w:ascii="宋体" w:hAnsi="宋体" w:cs="宋体"/>
                <w:sz w:val="20"/>
                <w:szCs w:val="20"/>
              </w:rPr>
            </w:pPr>
            <w:r>
              <w:rPr>
                <w:rFonts w:hint="eastAsia" w:ascii="宋体" w:hAnsi="宋体" w:cs="宋体"/>
                <w:sz w:val="20"/>
                <w:szCs w:val="20"/>
              </w:rPr>
              <w:t>合计</w:t>
            </w:r>
          </w:p>
        </w:tc>
        <w:tc>
          <w:tcPr>
            <w:tcW w:w="1541" w:type="dxa"/>
            <w:noWrap w:val="0"/>
            <w:vAlign w:val="center"/>
          </w:tcPr>
          <w:p>
            <w:pPr>
              <w:pStyle w:val="59"/>
              <w:ind w:left="400" w:hanging="400"/>
              <w:jc w:val="center"/>
              <w:rPr>
                <w:rFonts w:ascii="宋体" w:hAnsi="宋体" w:cs="宋体"/>
                <w:sz w:val="20"/>
                <w:szCs w:val="20"/>
              </w:rPr>
            </w:pPr>
          </w:p>
        </w:tc>
        <w:tc>
          <w:tcPr>
            <w:tcW w:w="2126" w:type="dxa"/>
            <w:noWrap w:val="0"/>
            <w:vAlign w:val="center"/>
          </w:tcPr>
          <w:p>
            <w:pPr>
              <w:pStyle w:val="59"/>
              <w:ind w:left="400" w:hanging="400"/>
              <w:jc w:val="center"/>
              <w:rPr>
                <w:rFonts w:ascii="宋体" w:hAnsi="宋体" w:cs="宋体"/>
                <w:sz w:val="20"/>
                <w:szCs w:val="20"/>
              </w:rPr>
            </w:pPr>
          </w:p>
        </w:tc>
        <w:tc>
          <w:tcPr>
            <w:tcW w:w="748" w:type="dxa"/>
            <w:noWrap w:val="0"/>
            <w:vAlign w:val="center"/>
          </w:tcPr>
          <w:p>
            <w:pPr>
              <w:pStyle w:val="59"/>
              <w:ind w:left="400" w:hanging="400"/>
              <w:jc w:val="center"/>
              <w:rPr>
                <w:rFonts w:ascii="宋体" w:hAnsi="宋体" w:cs="宋体"/>
                <w:sz w:val="20"/>
                <w:szCs w:val="20"/>
              </w:rPr>
            </w:pPr>
          </w:p>
        </w:tc>
        <w:tc>
          <w:tcPr>
            <w:tcW w:w="812" w:type="dxa"/>
            <w:noWrap w:val="0"/>
            <w:vAlign w:val="center"/>
          </w:tcPr>
          <w:p>
            <w:pPr>
              <w:pStyle w:val="59"/>
              <w:ind w:left="400" w:hanging="400"/>
              <w:jc w:val="center"/>
              <w:rPr>
                <w:rFonts w:ascii="宋体" w:hAnsi="宋体" w:cs="宋体"/>
                <w:sz w:val="20"/>
                <w:szCs w:val="20"/>
              </w:rPr>
            </w:pPr>
          </w:p>
        </w:tc>
        <w:tc>
          <w:tcPr>
            <w:tcW w:w="708" w:type="dxa"/>
            <w:noWrap w:val="0"/>
            <w:vAlign w:val="center"/>
          </w:tcPr>
          <w:p>
            <w:pPr>
              <w:ind w:firstLine="400"/>
              <w:jc w:val="center"/>
              <w:rPr>
                <w:rFonts w:ascii="宋体" w:hAnsi="宋体" w:cs="宋体"/>
                <w:sz w:val="20"/>
                <w:szCs w:val="20"/>
              </w:rPr>
            </w:pPr>
          </w:p>
        </w:tc>
        <w:tc>
          <w:tcPr>
            <w:tcW w:w="708" w:type="dxa"/>
            <w:noWrap w:val="0"/>
            <w:vAlign w:val="center"/>
          </w:tcPr>
          <w:p>
            <w:pPr>
              <w:ind w:firstLine="400"/>
              <w:jc w:val="center"/>
              <w:rPr>
                <w:rFonts w:ascii="宋体" w:hAnsi="宋体" w:cs="宋体"/>
                <w:sz w:val="20"/>
                <w:szCs w:val="20"/>
              </w:rPr>
            </w:pPr>
          </w:p>
        </w:tc>
        <w:tc>
          <w:tcPr>
            <w:tcW w:w="708" w:type="dxa"/>
            <w:noWrap w:val="0"/>
            <w:vAlign w:val="center"/>
          </w:tcPr>
          <w:p>
            <w:pPr>
              <w:ind w:firstLine="400"/>
              <w:jc w:val="center"/>
              <w:rPr>
                <w:rFonts w:ascii="宋体" w:hAnsi="宋体" w:cs="宋体"/>
                <w:sz w:val="20"/>
                <w:szCs w:val="20"/>
              </w:rPr>
            </w:pPr>
          </w:p>
        </w:tc>
      </w:tr>
    </w:tbl>
    <w:p>
      <w:pPr>
        <w:rPr>
          <w:rFonts w:ascii="宋体" w:hAnsi="宋体" w:cs="宋体"/>
          <w:sz w:val="20"/>
          <w:szCs w:val="20"/>
        </w:rPr>
      </w:pPr>
      <w:bookmarkStart w:id="467" w:name="_Toc5379"/>
      <w:bookmarkStart w:id="468" w:name="_Toc24623"/>
      <w:bookmarkStart w:id="469" w:name="_Toc16330037"/>
      <w:bookmarkStart w:id="470" w:name="_Toc25120"/>
      <w:bookmarkStart w:id="471" w:name="_Toc3778"/>
    </w:p>
    <w:p>
      <w:pPr>
        <w:rPr>
          <w:rFonts w:hint="eastAsia"/>
        </w:rPr>
      </w:pPr>
      <w:bookmarkStart w:id="472" w:name="_Toc129697515"/>
      <w:bookmarkStart w:id="473" w:name="_Toc26688"/>
      <w:bookmarkStart w:id="474" w:name="_Toc129674537"/>
      <w:bookmarkStart w:id="475" w:name="_Toc20518"/>
      <w:bookmarkStart w:id="476" w:name="_Toc32671"/>
      <w:bookmarkStart w:id="477" w:name="_Toc31470"/>
      <w:bookmarkStart w:id="478" w:name="_Toc27206"/>
      <w:bookmarkStart w:id="479" w:name="_Toc16201"/>
      <w:bookmarkStart w:id="480" w:name="_Toc11411"/>
      <w:bookmarkStart w:id="481" w:name="_Toc3913"/>
      <w:r>
        <w:rPr>
          <w:rFonts w:hint="eastAsia"/>
        </w:rPr>
        <w:t xml:space="preserve">附件2： </w:t>
      </w:r>
      <w:bookmarkEnd w:id="467"/>
      <w:bookmarkEnd w:id="468"/>
      <w:bookmarkEnd w:id="469"/>
      <w:bookmarkEnd w:id="470"/>
      <w:bookmarkEnd w:id="471"/>
      <w:r>
        <w:rPr>
          <w:rFonts w:hint="eastAsia"/>
        </w:rPr>
        <w:t>技术协议书</w:t>
      </w:r>
      <w:bookmarkEnd w:id="472"/>
      <w:bookmarkEnd w:id="473"/>
      <w:bookmarkEnd w:id="474"/>
      <w:bookmarkEnd w:id="475"/>
      <w:bookmarkEnd w:id="476"/>
      <w:bookmarkEnd w:id="477"/>
      <w:bookmarkEnd w:id="478"/>
      <w:bookmarkEnd w:id="479"/>
      <w:bookmarkEnd w:id="480"/>
      <w:bookmarkEnd w:id="481"/>
    </w:p>
    <w:p>
      <w:pPr>
        <w:ind w:firstLine="482"/>
        <w:rPr>
          <w:rFonts w:hint="eastAsia"/>
          <w:b/>
          <w:bCs/>
          <w:i/>
          <w:iCs/>
          <w:sz w:val="24"/>
          <w:szCs w:val="24"/>
        </w:rPr>
      </w:pPr>
    </w:p>
    <w:p>
      <w:pPr>
        <w:ind w:firstLine="482"/>
        <w:rPr>
          <w:rFonts w:hint="eastAsia"/>
          <w:b/>
          <w:bCs/>
          <w:i/>
          <w:iCs/>
          <w:sz w:val="24"/>
          <w:szCs w:val="24"/>
        </w:rPr>
      </w:pPr>
    </w:p>
    <w:p>
      <w:pPr>
        <w:ind w:firstLine="482"/>
        <w:rPr>
          <w:rFonts w:hint="eastAsia"/>
          <w:b/>
          <w:bCs/>
          <w:i/>
          <w:iCs/>
          <w:sz w:val="24"/>
          <w:szCs w:val="24"/>
        </w:rPr>
      </w:pPr>
    </w:p>
    <w:p>
      <w:pPr>
        <w:ind w:firstLine="482"/>
        <w:rPr>
          <w:rFonts w:hint="eastAsia"/>
          <w:b/>
          <w:bCs/>
          <w:i/>
          <w:iCs/>
          <w:sz w:val="24"/>
          <w:szCs w:val="24"/>
        </w:rPr>
      </w:pPr>
    </w:p>
    <w:p>
      <w:pPr>
        <w:ind w:firstLine="482"/>
        <w:rPr>
          <w:rFonts w:hint="eastAsia"/>
          <w:b/>
          <w:bCs/>
          <w:i/>
          <w:iCs/>
          <w:sz w:val="24"/>
          <w:szCs w:val="24"/>
        </w:rPr>
      </w:pPr>
    </w:p>
    <w:p>
      <w:pPr>
        <w:ind w:firstLine="482"/>
        <w:rPr>
          <w:rFonts w:hint="eastAsia"/>
          <w:b/>
          <w:bCs/>
          <w:i/>
          <w:iCs/>
          <w:sz w:val="24"/>
          <w:szCs w:val="24"/>
        </w:rPr>
      </w:pPr>
    </w:p>
    <w:p>
      <w:pPr>
        <w:ind w:firstLine="482"/>
        <w:rPr>
          <w:rFonts w:hint="eastAsia"/>
          <w:b/>
          <w:bCs/>
          <w:i/>
          <w:iCs/>
          <w:sz w:val="24"/>
          <w:szCs w:val="24"/>
        </w:rPr>
      </w:pPr>
    </w:p>
    <w:p>
      <w:pPr>
        <w:ind w:firstLine="482"/>
        <w:rPr>
          <w:rFonts w:hint="eastAsia"/>
          <w:b/>
          <w:bCs/>
          <w:i/>
          <w:iCs/>
          <w:sz w:val="24"/>
          <w:szCs w:val="24"/>
        </w:rPr>
      </w:pPr>
    </w:p>
    <w:p>
      <w:pPr>
        <w:ind w:firstLine="482"/>
        <w:rPr>
          <w:rFonts w:hint="eastAsia"/>
          <w:b/>
          <w:bCs/>
          <w:i/>
          <w:iCs/>
          <w:sz w:val="24"/>
          <w:szCs w:val="24"/>
        </w:rPr>
      </w:pPr>
    </w:p>
    <w:p>
      <w:pPr>
        <w:ind w:firstLine="482"/>
        <w:rPr>
          <w:rFonts w:hint="eastAsia"/>
          <w:b/>
          <w:bCs/>
          <w:i/>
          <w:iCs/>
          <w:sz w:val="24"/>
          <w:szCs w:val="24"/>
        </w:rPr>
      </w:pPr>
    </w:p>
    <w:p>
      <w:pPr>
        <w:ind w:firstLine="482"/>
        <w:rPr>
          <w:rFonts w:hint="eastAsia"/>
          <w:b/>
          <w:bCs/>
          <w:i/>
          <w:iCs/>
          <w:sz w:val="24"/>
          <w:szCs w:val="24"/>
        </w:rPr>
      </w:pPr>
    </w:p>
    <w:p>
      <w:pPr>
        <w:ind w:firstLine="482"/>
        <w:rPr>
          <w:rFonts w:hint="eastAsia"/>
          <w:b/>
          <w:bCs/>
          <w:i/>
          <w:iCs/>
          <w:sz w:val="24"/>
          <w:szCs w:val="24"/>
        </w:rPr>
      </w:pPr>
    </w:p>
    <w:p>
      <w:pPr>
        <w:ind w:firstLine="482"/>
        <w:rPr>
          <w:rFonts w:hint="eastAsia"/>
          <w:b/>
          <w:bCs/>
          <w:i/>
          <w:iCs/>
          <w:sz w:val="24"/>
          <w:szCs w:val="24"/>
        </w:rPr>
      </w:pPr>
    </w:p>
    <w:p>
      <w:pPr>
        <w:ind w:firstLine="482"/>
        <w:rPr>
          <w:rFonts w:hint="eastAsia"/>
          <w:b/>
          <w:bCs/>
          <w:i/>
          <w:iCs/>
          <w:sz w:val="24"/>
          <w:szCs w:val="24"/>
        </w:rPr>
      </w:pPr>
    </w:p>
    <w:p>
      <w:pPr>
        <w:ind w:firstLine="482"/>
        <w:rPr>
          <w:rFonts w:hint="eastAsia"/>
          <w:b/>
          <w:bCs/>
          <w:i/>
          <w:iCs/>
          <w:sz w:val="24"/>
          <w:szCs w:val="24"/>
        </w:rPr>
      </w:pPr>
    </w:p>
    <w:p>
      <w:pPr>
        <w:ind w:firstLine="482"/>
        <w:rPr>
          <w:rFonts w:hint="eastAsia"/>
          <w:b/>
          <w:bCs/>
          <w:i/>
          <w:iCs/>
          <w:sz w:val="24"/>
          <w:szCs w:val="24"/>
        </w:rPr>
      </w:pPr>
    </w:p>
    <w:p>
      <w:pPr>
        <w:ind w:firstLine="482"/>
        <w:rPr>
          <w:rFonts w:hint="eastAsia"/>
          <w:b/>
          <w:bCs/>
          <w:i/>
          <w:iCs/>
          <w:sz w:val="24"/>
          <w:szCs w:val="24"/>
        </w:rPr>
      </w:pPr>
    </w:p>
    <w:p>
      <w:pPr>
        <w:ind w:firstLine="482"/>
        <w:rPr>
          <w:rFonts w:hint="eastAsia"/>
          <w:b/>
          <w:bCs/>
          <w:i/>
          <w:iCs/>
          <w:sz w:val="24"/>
          <w:szCs w:val="24"/>
        </w:rPr>
      </w:pPr>
    </w:p>
    <w:p>
      <w:pPr>
        <w:rPr>
          <w:rFonts w:hint="eastAsia"/>
          <w:b/>
          <w:bCs/>
          <w:i/>
          <w:iCs/>
          <w:sz w:val="24"/>
          <w:szCs w:val="24"/>
        </w:rPr>
      </w:pPr>
    </w:p>
    <w:bookmarkEnd w:id="190"/>
    <w:p>
      <w:pPr>
        <w:pStyle w:val="74"/>
        <w:rPr>
          <w:rFonts w:hint="eastAsia"/>
        </w:rPr>
      </w:pPr>
      <w:bookmarkStart w:id="482" w:name="_Toc4902"/>
      <w:bookmarkStart w:id="483" w:name="_Toc23133"/>
      <w:bookmarkStart w:id="484" w:name="_Toc7264"/>
      <w:r>
        <w:rPr>
          <w:rFonts w:hint="eastAsia"/>
        </w:rPr>
        <w:t>附件</w:t>
      </w:r>
      <w:bookmarkEnd w:id="482"/>
      <w:bookmarkEnd w:id="483"/>
      <w:bookmarkEnd w:id="484"/>
    </w:p>
    <w:p>
      <w:pPr>
        <w:pStyle w:val="64"/>
        <w:ind w:right="210" w:firstLine="480"/>
        <w:rPr>
          <w:rFonts w:hint="eastAsia" w:ascii="宋体" w:hAnsi="宋体"/>
        </w:rPr>
      </w:pPr>
    </w:p>
    <w:p>
      <w:pPr>
        <w:pStyle w:val="64"/>
        <w:ind w:right="210" w:firstLine="480"/>
        <w:rPr>
          <w:rFonts w:hint="eastAsia" w:ascii="宋体" w:hAnsi="宋体"/>
        </w:rPr>
      </w:pPr>
      <w:r>
        <w:rPr>
          <w:rFonts w:hint="eastAsia" w:ascii="宋体" w:hAnsi="宋体"/>
        </w:rPr>
        <w:t>说明：</w:t>
      </w:r>
    </w:p>
    <w:p>
      <w:pPr>
        <w:spacing w:line="560" w:lineRule="exact"/>
        <w:ind w:firstLine="480" w:firstLineChars="200"/>
        <w:rPr>
          <w:rFonts w:hint="eastAsia" w:ascii="宋体" w:hAnsi="宋体"/>
          <w:sz w:val="24"/>
        </w:rPr>
      </w:pPr>
      <w:r>
        <w:rPr>
          <w:rFonts w:hint="eastAsia" w:ascii="宋体" w:hAnsi="宋体"/>
          <w:sz w:val="24"/>
        </w:rPr>
        <w:t>1、投标人须认真填写和提交本部分中的附件文件；</w:t>
      </w:r>
    </w:p>
    <w:p>
      <w:pPr>
        <w:spacing w:line="560" w:lineRule="exact"/>
        <w:ind w:firstLine="480" w:firstLineChars="200"/>
        <w:rPr>
          <w:rFonts w:ascii="宋体" w:hAnsi="宋体"/>
          <w:sz w:val="24"/>
        </w:rPr>
      </w:pPr>
      <w:r>
        <w:rPr>
          <w:rFonts w:hint="eastAsia" w:ascii="宋体" w:hAnsi="宋体"/>
          <w:sz w:val="24"/>
        </w:rPr>
        <w:t>2、对附件文件中所要求的内容应给予明确的答复；</w:t>
      </w:r>
    </w:p>
    <w:p>
      <w:pPr>
        <w:spacing w:line="560" w:lineRule="exact"/>
        <w:ind w:firstLine="480" w:firstLineChars="200"/>
        <w:rPr>
          <w:rFonts w:hint="eastAsia" w:ascii="宋体" w:hAnsi="宋体"/>
          <w:sz w:val="24"/>
        </w:rPr>
      </w:pPr>
      <w:r>
        <w:rPr>
          <w:rFonts w:hint="eastAsia" w:ascii="宋体" w:hAnsi="宋体"/>
          <w:sz w:val="24"/>
        </w:rPr>
        <w:t>3、附件文件的签字人应保证其对一切问题的答复、所做的声明及出具的资格资质文件、资料等具有真实性和准确性；</w:t>
      </w:r>
    </w:p>
    <w:p>
      <w:pPr>
        <w:spacing w:line="560" w:lineRule="exact"/>
        <w:ind w:firstLine="480" w:firstLineChars="200"/>
        <w:rPr>
          <w:rFonts w:hint="eastAsia" w:ascii="宋体" w:hAnsi="宋体"/>
          <w:sz w:val="24"/>
        </w:rPr>
      </w:pPr>
      <w:r>
        <w:rPr>
          <w:rFonts w:hint="eastAsia" w:ascii="宋体" w:hAnsi="宋体"/>
          <w:sz w:val="24"/>
        </w:rPr>
        <w:t>4、招标人将对投标人提交的文件、资料等内容予以保密，但不退还；</w:t>
      </w:r>
    </w:p>
    <w:p>
      <w:pPr>
        <w:spacing w:line="560" w:lineRule="exact"/>
        <w:ind w:firstLine="480" w:firstLineChars="200"/>
        <w:rPr>
          <w:rFonts w:hint="eastAsia" w:ascii="宋体" w:hAnsi="宋体"/>
          <w:sz w:val="24"/>
        </w:rPr>
      </w:pPr>
      <w:r>
        <w:rPr>
          <w:rFonts w:hint="eastAsia" w:ascii="宋体" w:hAnsi="宋体"/>
          <w:sz w:val="24"/>
        </w:rPr>
        <w:t>5、所有附件文件应以中文书写，作为投标文件的组成部分。</w:t>
      </w:r>
    </w:p>
    <w:p>
      <w:pPr>
        <w:ind w:firstLine="480"/>
        <w:rPr>
          <w:rFonts w:hint="eastAsia"/>
        </w:rPr>
      </w:pPr>
    </w:p>
    <w:p>
      <w:pPr>
        <w:ind w:firstLine="480"/>
        <w:rPr>
          <w:rFonts w:hint="eastAsia"/>
        </w:rPr>
      </w:pPr>
    </w:p>
    <w:p>
      <w:pPr>
        <w:ind w:firstLine="480"/>
      </w:pPr>
    </w:p>
    <w:p>
      <w:pPr>
        <w:pStyle w:val="6"/>
        <w:spacing w:before="120" w:after="120" w:line="560" w:lineRule="exact"/>
        <w:ind w:firstLine="482"/>
        <w:rPr>
          <w:rFonts w:ascii="宋体" w:hAnsi="宋体" w:cs="宋体"/>
          <w:b/>
          <w:bCs w:val="0"/>
          <w:szCs w:val="24"/>
        </w:rPr>
        <w:sectPr>
          <w:pgSz w:w="11907" w:h="16840"/>
          <w:pgMar w:top="1702" w:right="1418" w:bottom="1418" w:left="1418" w:header="851" w:footer="822" w:gutter="0"/>
          <w:cols w:space="720" w:num="1"/>
          <w:docGrid w:linePitch="290" w:charSpace="-3931"/>
        </w:sectPr>
      </w:pPr>
    </w:p>
    <w:p>
      <w:pPr>
        <w:pStyle w:val="292"/>
        <w:numPr>
          <w:ilvl w:val="0"/>
          <w:numId w:val="1"/>
        </w:numPr>
        <w:tabs>
          <w:tab w:val="right" w:leader="dot" w:pos="9061"/>
        </w:tabs>
        <w:spacing w:line="360" w:lineRule="auto"/>
        <w:ind w:firstLineChars="0"/>
        <w:jc w:val="center"/>
        <w:outlineLvl w:val="0"/>
        <w:rPr>
          <w:rFonts w:hint="eastAsia"/>
          <w:b/>
          <w:iCs/>
          <w:vanish/>
          <w:sz w:val="36"/>
          <w:szCs w:val="20"/>
        </w:rPr>
      </w:pPr>
      <w:bookmarkStart w:id="485" w:name="_Toc129697517"/>
      <w:bookmarkEnd w:id="485"/>
    </w:p>
    <w:p>
      <w:pPr>
        <w:pStyle w:val="4"/>
        <w:numPr>
          <w:ilvl w:val="0"/>
          <w:numId w:val="0"/>
        </w:numPr>
        <w:spacing w:before="120"/>
      </w:pPr>
      <w:bookmarkStart w:id="486" w:name="_Toc11186"/>
      <w:bookmarkStart w:id="487" w:name="_Toc21352"/>
      <w:bookmarkStart w:id="488" w:name="_Toc17586"/>
      <w:r>
        <w:rPr>
          <w:rFonts w:hint="eastAsia"/>
        </w:rPr>
        <w:t>附件一：投标函</w:t>
      </w:r>
      <w:bookmarkEnd w:id="486"/>
      <w:bookmarkEnd w:id="487"/>
      <w:bookmarkEnd w:id="488"/>
    </w:p>
    <w:p>
      <w:pPr>
        <w:ind w:firstLine="723"/>
        <w:jc w:val="center"/>
        <w:rPr>
          <w:rFonts w:ascii="宋体" w:hAnsi="宋体"/>
          <w:b/>
          <w:bCs/>
          <w:sz w:val="36"/>
          <w:szCs w:val="36"/>
        </w:rPr>
      </w:pPr>
      <w:r>
        <w:rPr>
          <w:rFonts w:hint="eastAsia" w:ascii="宋体" w:hAnsi="宋体"/>
          <w:b/>
          <w:bCs/>
          <w:sz w:val="36"/>
          <w:szCs w:val="36"/>
        </w:rPr>
        <w:t>投标函</w:t>
      </w:r>
    </w:p>
    <w:p>
      <w:pPr>
        <w:pStyle w:val="46"/>
        <w:adjustRightInd w:val="0"/>
        <w:snapToGrid w:val="0"/>
        <w:spacing w:before="72" w:beforeLines="30" w:line="460" w:lineRule="exact"/>
        <w:ind w:left="0" w:leftChars="0"/>
        <w:rPr>
          <w:rFonts w:hint="eastAsia" w:ascii="宋体" w:hAnsi="宋体"/>
          <w:i/>
          <w:iCs/>
          <w:sz w:val="24"/>
        </w:rPr>
      </w:pPr>
      <w:r>
        <w:rPr>
          <w:rFonts w:hint="eastAsia" w:ascii="宋体" w:hAnsi="宋体"/>
          <w:sz w:val="24"/>
        </w:rPr>
        <w:t>中国重汽集团</w:t>
      </w:r>
      <w:r>
        <w:rPr>
          <w:rFonts w:hint="eastAsia" w:ascii="宋体" w:hAnsi="宋体"/>
          <w:sz w:val="24"/>
          <w:lang w:eastAsia="zh-CN"/>
        </w:rPr>
        <w:t>泰安五岳专用汽车</w:t>
      </w:r>
      <w:r>
        <w:rPr>
          <w:rFonts w:hint="eastAsia" w:ascii="宋体" w:hAnsi="宋体"/>
          <w:sz w:val="24"/>
        </w:rPr>
        <w:t>有限公司</w:t>
      </w:r>
      <w:r>
        <w:rPr>
          <w:rFonts w:hint="eastAsia" w:ascii="宋体" w:hAnsi="宋体"/>
          <w:i/>
          <w:iCs/>
          <w:sz w:val="24"/>
        </w:rPr>
        <w:t>（招标人全称）：</w:t>
      </w:r>
    </w:p>
    <w:p>
      <w:pPr>
        <w:spacing w:before="30" w:line="460" w:lineRule="exact"/>
        <w:ind w:firstLine="480" w:firstLineChars="200"/>
        <w:rPr>
          <w:rFonts w:hint="eastAsia" w:ascii="宋体" w:hAnsi="宋体"/>
          <w:sz w:val="24"/>
        </w:rPr>
      </w:pPr>
      <w:r>
        <w:rPr>
          <w:rFonts w:hint="eastAsia" w:ascii="宋体" w:hAnsi="宋体"/>
          <w:sz w:val="24"/>
        </w:rPr>
        <w:t>按照《中华人民共和国招标投标法》等有关法律规定，我们根据编号为</w:t>
      </w:r>
      <w:r>
        <w:rPr>
          <w:rFonts w:hint="eastAsia" w:ascii="宋体" w:hAnsi="宋体"/>
          <w:sz w:val="24"/>
          <w:u w:val="single"/>
        </w:rPr>
        <w:t xml:space="preserve">        </w:t>
      </w:r>
      <w:r>
        <w:rPr>
          <w:rFonts w:hint="eastAsia" w:ascii="宋体" w:hAnsi="宋体"/>
          <w:sz w:val="24"/>
        </w:rPr>
        <w:t>招标文件的要求，对</w:t>
      </w:r>
      <w:r>
        <w:rPr>
          <w:rFonts w:hint="eastAsia" w:ascii="宋体" w:hAnsi="宋体"/>
          <w:sz w:val="24"/>
          <w:u w:val="single"/>
        </w:rPr>
        <w:t xml:space="preserve"> </w:t>
      </w:r>
      <w:r>
        <w:rPr>
          <w:rFonts w:hint="eastAsia" w:ascii="宋体" w:hAnsi="宋体"/>
          <w:sz w:val="24"/>
          <w:u w:val="single"/>
          <w:lang w:val="en-US" w:eastAsia="zh-CN"/>
        </w:rPr>
        <w:t>中国重汽集团</w:t>
      </w:r>
      <w:r>
        <w:rPr>
          <w:rFonts w:hint="eastAsia" w:ascii="宋体" w:hAnsi="宋体"/>
          <w:sz w:val="24"/>
          <w:u w:val="single"/>
          <w:lang w:eastAsia="zh-CN"/>
        </w:rPr>
        <w:t>泰安五岳专用汽车</w:t>
      </w:r>
      <w:r>
        <w:rPr>
          <w:rFonts w:hint="eastAsia" w:ascii="宋体" w:hAnsi="宋体"/>
          <w:sz w:val="24"/>
          <w:u w:val="single"/>
          <w:lang w:val="en-US" w:eastAsia="zh-CN"/>
        </w:rPr>
        <w:t>有限公司</w:t>
      </w:r>
      <w:r>
        <w:rPr>
          <w:rFonts w:hint="eastAsia" w:ascii="宋体" w:hAnsi="宋体"/>
          <w:sz w:val="24"/>
          <w:u w:val="single"/>
          <w:lang w:eastAsia="zh-CN"/>
        </w:rPr>
        <w:t>网络安全边界防护项目</w:t>
      </w:r>
      <w:r>
        <w:rPr>
          <w:rFonts w:hint="eastAsia" w:ascii="宋体" w:hAnsi="宋体"/>
          <w:sz w:val="24"/>
          <w:u w:val="single"/>
        </w:rPr>
        <w:t xml:space="preserve"> </w:t>
      </w:r>
      <w:r>
        <w:rPr>
          <w:rFonts w:hint="eastAsia" w:ascii="宋体" w:hAnsi="宋体"/>
          <w:sz w:val="24"/>
        </w:rPr>
        <w:t>进行投标。由投标人</w:t>
      </w:r>
      <w:r>
        <w:rPr>
          <w:rFonts w:hint="eastAsia" w:ascii="宋体" w:hAnsi="宋体"/>
          <w:u w:val="single"/>
        </w:rPr>
        <w:t xml:space="preserve">                  </w:t>
      </w:r>
      <w:r>
        <w:rPr>
          <w:rFonts w:hint="eastAsia" w:ascii="宋体" w:hAnsi="宋体"/>
          <w:sz w:val="24"/>
        </w:rPr>
        <w:t>（全称）正式委托全权代表</w:t>
      </w:r>
      <w:r>
        <w:rPr>
          <w:rFonts w:hint="eastAsia" w:ascii="宋体" w:hAnsi="宋体"/>
          <w:u w:val="single"/>
        </w:rPr>
        <w:t xml:space="preserve">               </w:t>
      </w:r>
      <w:r>
        <w:rPr>
          <w:rFonts w:hint="eastAsia" w:ascii="宋体" w:hAnsi="宋体"/>
          <w:sz w:val="24"/>
        </w:rPr>
        <w:t>（姓名、职务）提交投标文件正本一份</w:t>
      </w:r>
      <w:r>
        <w:rPr>
          <w:rFonts w:hint="eastAsia" w:ascii="宋体" w:hAnsi="宋体"/>
          <w:sz w:val="24"/>
          <w:highlight w:val="none"/>
        </w:rPr>
        <w:t>，副本</w:t>
      </w:r>
      <w:r>
        <w:rPr>
          <w:rFonts w:hint="eastAsia" w:ascii="宋体" w:hAnsi="宋体"/>
          <w:sz w:val="24"/>
          <w:highlight w:val="none"/>
          <w:lang w:val="en-US" w:eastAsia="zh-CN"/>
        </w:rPr>
        <w:t>三</w:t>
      </w:r>
      <w:r>
        <w:rPr>
          <w:rFonts w:hint="eastAsia" w:ascii="宋体" w:hAnsi="宋体"/>
          <w:sz w:val="24"/>
          <w:highlight w:val="none"/>
        </w:rPr>
        <w:t>份</w:t>
      </w:r>
      <w:r>
        <w:rPr>
          <w:rFonts w:hint="eastAsia" w:ascii="宋体" w:hAnsi="宋体"/>
          <w:sz w:val="24"/>
        </w:rPr>
        <w:t>，并保证所提供的全部资料的真实性、准确性。</w:t>
      </w:r>
    </w:p>
    <w:p>
      <w:pPr>
        <w:tabs>
          <w:tab w:val="left" w:pos="105"/>
        </w:tabs>
        <w:adjustRightInd w:val="0"/>
        <w:snapToGrid w:val="0"/>
        <w:spacing w:before="72" w:beforeLines="30" w:line="460" w:lineRule="exact"/>
        <w:ind w:firstLine="480" w:firstLineChars="200"/>
        <w:rPr>
          <w:rFonts w:hint="eastAsia"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pPr>
        <w:tabs>
          <w:tab w:val="left" w:pos="105"/>
        </w:tabs>
        <w:adjustRightInd w:val="0"/>
        <w:snapToGrid w:val="0"/>
        <w:spacing w:before="72" w:beforeLines="30" w:line="460" w:lineRule="exact"/>
        <w:ind w:firstLine="480" w:firstLineChars="200"/>
        <w:rPr>
          <w:rFonts w:hint="eastAsia"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pPr>
        <w:adjustRightInd w:val="0"/>
        <w:snapToGrid w:val="0"/>
        <w:spacing w:before="72" w:beforeLines="30" w:line="460" w:lineRule="exact"/>
        <w:ind w:firstLine="480" w:firstLineChars="200"/>
        <w:rPr>
          <w:rFonts w:hint="eastAsia" w:ascii="宋体" w:hAnsi="宋体"/>
          <w:sz w:val="24"/>
        </w:rPr>
      </w:pPr>
      <w:r>
        <w:rPr>
          <w:rFonts w:hint="eastAsia" w:ascii="宋体" w:hAnsi="宋体"/>
          <w:sz w:val="24"/>
        </w:rPr>
        <w:t>（3）我方已详细检查所有招标文件、附件以及所提供的参考文件等，因模糊和误解产生的一切后果，由我方自负。</w:t>
      </w:r>
    </w:p>
    <w:p>
      <w:pPr>
        <w:adjustRightInd w:val="0"/>
        <w:snapToGrid w:val="0"/>
        <w:spacing w:before="72" w:beforeLines="30" w:line="460" w:lineRule="exact"/>
        <w:ind w:firstLine="480" w:firstLineChars="200"/>
        <w:rPr>
          <w:rFonts w:hint="eastAsia" w:ascii="宋体" w:hAnsi="宋体"/>
          <w:sz w:val="24"/>
        </w:rPr>
      </w:pPr>
      <w:r>
        <w:rPr>
          <w:rFonts w:hint="eastAsia" w:ascii="宋体" w:hAnsi="宋体"/>
          <w:sz w:val="24"/>
        </w:rPr>
        <w:t>（4）投标文件在公开报价后90天内有效。如果我方在规定公开报价后的有效期内撤回递交投标文件，将被没收投标保证金。</w:t>
      </w:r>
    </w:p>
    <w:p>
      <w:pPr>
        <w:adjustRightInd w:val="0"/>
        <w:snapToGrid w:val="0"/>
        <w:spacing w:before="72" w:beforeLines="30" w:line="460" w:lineRule="exact"/>
        <w:ind w:firstLine="480" w:firstLineChars="200"/>
        <w:rPr>
          <w:rFonts w:hint="eastAsia" w:ascii="宋体" w:hAnsi="宋体"/>
          <w:sz w:val="24"/>
        </w:rPr>
      </w:pPr>
      <w:r>
        <w:rPr>
          <w:rFonts w:hint="eastAsia" w:ascii="宋体" w:hAnsi="宋体"/>
          <w:sz w:val="24"/>
        </w:rPr>
        <w:t>（5）我方同意招标人的要求，提供与递交投标文件有关的其他数据和资料。</w:t>
      </w:r>
    </w:p>
    <w:p>
      <w:pPr>
        <w:adjustRightInd w:val="0"/>
        <w:snapToGrid w:val="0"/>
        <w:spacing w:before="72" w:beforeLines="30" w:line="460" w:lineRule="exact"/>
        <w:ind w:firstLine="480" w:firstLineChars="200"/>
        <w:rPr>
          <w:rFonts w:hint="eastAsia" w:ascii="宋体" w:hAnsi="宋体"/>
          <w:sz w:val="24"/>
        </w:rPr>
      </w:pPr>
      <w:r>
        <w:rPr>
          <w:rFonts w:hint="eastAsia" w:ascii="宋体" w:hAnsi="宋体"/>
          <w:bCs/>
          <w:sz w:val="24"/>
        </w:rPr>
        <w:t>（6）我方愿按《中华人民共和国民法典》履行自己的全部责任。</w:t>
      </w:r>
    </w:p>
    <w:p>
      <w:pPr>
        <w:adjustRightInd w:val="0"/>
        <w:snapToGrid w:val="0"/>
        <w:spacing w:before="72" w:beforeLines="30" w:line="460" w:lineRule="exact"/>
        <w:ind w:firstLine="480" w:firstLineChars="200"/>
        <w:rPr>
          <w:rFonts w:hint="eastAsia"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，招标人有权不做任何解释。</w:t>
      </w:r>
    </w:p>
    <w:p>
      <w:pPr>
        <w:adjustRightInd w:val="0"/>
        <w:snapToGrid w:val="0"/>
        <w:spacing w:before="72" w:beforeLines="30" w:line="460" w:lineRule="exact"/>
        <w:ind w:firstLine="480" w:firstLineChars="200"/>
        <w:rPr>
          <w:rFonts w:hint="eastAsia" w:ascii="宋体" w:hAnsi="宋体"/>
          <w:sz w:val="24"/>
        </w:rPr>
      </w:pPr>
      <w:r>
        <w:rPr>
          <w:rFonts w:hint="eastAsia" w:ascii="宋体" w:hAnsi="宋体"/>
          <w:sz w:val="24"/>
        </w:rPr>
        <w:t>（8）我方同意按招标文件规定交纳投标保证金、中标服务费，遵守贵机构有关招标的各项规定。</w:t>
      </w:r>
    </w:p>
    <w:p>
      <w:pPr>
        <w:pStyle w:val="7"/>
        <w:spacing w:after="0" w:line="460" w:lineRule="exact"/>
        <w:ind w:left="-2" w:firstLine="480"/>
        <w:rPr>
          <w:rFonts w:hint="eastAsia" w:ascii="宋体" w:hAnsi="宋体"/>
          <w:sz w:val="24"/>
        </w:rPr>
      </w:pPr>
      <w:r>
        <w:rPr>
          <w:rFonts w:hint="eastAsia" w:ascii="宋体" w:hAnsi="宋体"/>
          <w:sz w:val="24"/>
        </w:rPr>
        <w:t>（9）与本报价有关的所有往来信函，应按下列地址进行：</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地址：                           邮政编码：</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电话：                           传真：</w:t>
      </w:r>
    </w:p>
    <w:p>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电子信箱：                        电子信箱：</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投标人全称：                     开户银行名称：</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公章：                           银行帐号：</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法人代表签字：                   开户行行号：</w:t>
      </w:r>
    </w:p>
    <w:p>
      <w:pPr>
        <w:pStyle w:val="7"/>
        <w:adjustRightInd w:val="0"/>
        <w:snapToGrid w:val="0"/>
        <w:spacing w:after="0"/>
        <w:ind w:left="571" w:leftChars="272" w:firstLine="480"/>
        <w:jc w:val="right"/>
        <w:rPr>
          <w:rFonts w:hint="eastAsia" w:ascii="宋体" w:hAnsi="宋体"/>
          <w:sz w:val="24"/>
        </w:rPr>
      </w:pPr>
    </w:p>
    <w:p>
      <w:pPr>
        <w:spacing w:line="360" w:lineRule="auto"/>
        <w:ind w:left="795" w:firstLine="6960" w:firstLineChars="2900"/>
        <w:rPr>
          <w:rFonts w:hint="eastAsia"/>
          <w:sz w:val="24"/>
          <w:szCs w:val="24"/>
        </w:rPr>
      </w:pPr>
      <w:r>
        <w:rPr>
          <w:rFonts w:hint="eastAsia" w:ascii="宋体" w:hAnsi="宋体"/>
          <w:sz w:val="24"/>
        </w:rPr>
        <w:t>年  月  日</w:t>
      </w:r>
    </w:p>
    <w:p>
      <w:pPr>
        <w:pStyle w:val="4"/>
        <w:numPr>
          <w:ilvl w:val="0"/>
          <w:numId w:val="0"/>
        </w:numPr>
        <w:spacing w:before="120"/>
        <w:rPr>
          <w:b w:val="0"/>
          <w:bCs/>
        </w:rPr>
      </w:pPr>
      <w:r>
        <w:br w:type="page"/>
      </w:r>
      <w:bookmarkStart w:id="489" w:name="_Toc3310"/>
      <w:bookmarkStart w:id="490" w:name="_Toc29653"/>
      <w:bookmarkStart w:id="491" w:name="_Toc7153"/>
      <w:bookmarkStart w:id="492" w:name="_Toc453709582"/>
      <w:r>
        <w:rPr>
          <w:rFonts w:hint="eastAsia"/>
        </w:rPr>
        <w:t>附件二：授权委托书</w:t>
      </w:r>
      <w:bookmarkEnd w:id="489"/>
      <w:bookmarkEnd w:id="490"/>
      <w:bookmarkEnd w:id="491"/>
      <w:bookmarkEnd w:id="492"/>
    </w:p>
    <w:p>
      <w:pPr>
        <w:pStyle w:val="7"/>
        <w:spacing w:after="0"/>
        <w:ind w:firstLine="480"/>
        <w:rPr>
          <w:rFonts w:ascii="宋体" w:hAnsi="宋体"/>
        </w:rPr>
      </w:pPr>
    </w:p>
    <w:p>
      <w:pPr>
        <w:pStyle w:val="7"/>
        <w:spacing w:after="0" w:line="460" w:lineRule="exact"/>
        <w:ind w:firstLine="643"/>
        <w:jc w:val="center"/>
        <w:rPr>
          <w:rFonts w:ascii="宋体" w:hAnsi="宋体"/>
          <w:b/>
          <w:bCs/>
          <w:sz w:val="32"/>
          <w:szCs w:val="32"/>
        </w:rPr>
      </w:pPr>
      <w:r>
        <w:rPr>
          <w:rFonts w:hint="eastAsia" w:ascii="宋体" w:hAnsi="宋体" w:cs="宋体"/>
          <w:b/>
          <w:bCs/>
          <w:sz w:val="32"/>
          <w:szCs w:val="32"/>
        </w:rPr>
        <w:t>法定代表人授权委托书</w:t>
      </w:r>
    </w:p>
    <w:p>
      <w:pPr>
        <w:pStyle w:val="7"/>
        <w:spacing w:after="0" w:line="460" w:lineRule="exact"/>
        <w:ind w:firstLine="643"/>
        <w:jc w:val="center"/>
        <w:rPr>
          <w:rFonts w:ascii="宋体" w:hAnsi="宋体"/>
          <w:b/>
          <w:bCs/>
          <w:sz w:val="32"/>
          <w:szCs w:val="32"/>
        </w:rPr>
      </w:pPr>
    </w:p>
    <w:p>
      <w:pPr>
        <w:pStyle w:val="7"/>
        <w:spacing w:after="0" w:line="560" w:lineRule="exact"/>
        <w:rPr>
          <w:rFonts w:ascii="宋体" w:hAnsi="宋体"/>
          <w:sz w:val="24"/>
          <w:szCs w:val="24"/>
        </w:rPr>
      </w:pPr>
      <w:r>
        <w:rPr>
          <w:rFonts w:hint="eastAsia" w:ascii="宋体" w:hAnsi="宋体" w:cs="宋体"/>
          <w:sz w:val="24"/>
          <w:szCs w:val="24"/>
        </w:rPr>
        <w:t>中国重汽集团</w:t>
      </w:r>
      <w:r>
        <w:rPr>
          <w:rFonts w:hint="eastAsia" w:ascii="宋体" w:hAnsi="宋体" w:cs="宋体"/>
          <w:sz w:val="24"/>
          <w:szCs w:val="24"/>
          <w:lang w:eastAsia="zh-CN"/>
        </w:rPr>
        <w:t>泰安五岳专用汽车</w:t>
      </w:r>
      <w:r>
        <w:rPr>
          <w:rFonts w:hint="eastAsia" w:ascii="宋体" w:hAnsi="宋体" w:cs="宋体"/>
          <w:sz w:val="24"/>
          <w:szCs w:val="24"/>
        </w:rPr>
        <w:t>有限公司 （招标人）：</w:t>
      </w:r>
    </w:p>
    <w:p>
      <w:pPr>
        <w:pStyle w:val="7"/>
        <w:spacing w:after="0" w:line="560" w:lineRule="exact"/>
        <w:ind w:firstLine="480"/>
        <w:rPr>
          <w:rFonts w:ascii="宋体" w:hAnsi="宋体"/>
          <w:sz w:val="24"/>
          <w:szCs w:val="24"/>
        </w:rPr>
      </w:pP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（投标人名称）法定代表人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授权我公司</w:t>
      </w:r>
      <w:r>
        <w:rPr>
          <w:rFonts w:ascii="宋体" w:hAnsi="宋体" w:cs="宋体"/>
          <w:sz w:val="24"/>
          <w:szCs w:val="24"/>
          <w:u w:val="single"/>
        </w:rPr>
        <w:t xml:space="preserve">               </w:t>
      </w:r>
      <w:r>
        <w:rPr>
          <w:rFonts w:hint="eastAsia" w:ascii="宋体" w:hAnsi="宋体" w:cs="宋体"/>
          <w:sz w:val="24"/>
          <w:szCs w:val="24"/>
        </w:rPr>
        <w:t>（职务或职称）</w:t>
      </w:r>
      <w:r>
        <w:rPr>
          <w:rFonts w:ascii="宋体" w:hAnsi="宋体" w:cs="宋体"/>
          <w:sz w:val="24"/>
          <w:szCs w:val="24"/>
          <w:u w:val="single"/>
        </w:rPr>
        <w:t xml:space="preserve">            </w:t>
      </w:r>
      <w:r>
        <w:rPr>
          <w:rFonts w:hint="eastAsia" w:ascii="宋体" w:hAnsi="宋体" w:cs="宋体"/>
          <w:sz w:val="24"/>
          <w:szCs w:val="24"/>
        </w:rPr>
        <w:t>（姓名）为我单位本次投标授权代理人，全权处理此次招标项目（</w:t>
      </w:r>
      <w:r>
        <w:rPr>
          <w:rFonts w:hint="eastAsia" w:ascii="宋体" w:hAnsi="宋体" w:cs="宋体"/>
          <w:sz w:val="24"/>
          <w:szCs w:val="24"/>
          <w:highlight w:val="none"/>
        </w:rPr>
        <w:t>项目编号：</w:t>
      </w:r>
      <w:r>
        <w:rPr>
          <w:rFonts w:hint="eastAsia" w:ascii="宋体" w:hAnsi="宋体" w:cs="宋体"/>
          <w:sz w:val="24"/>
          <w:szCs w:val="24"/>
          <w:highlight w:val="none"/>
          <w:lang w:eastAsia="zh-CN"/>
        </w:rPr>
        <w:t>CGZXCX-202310-1393</w:t>
      </w:r>
      <w:r>
        <w:rPr>
          <w:rFonts w:hint="eastAsia" w:ascii="宋体" w:hAnsi="宋体" w:cs="宋体"/>
          <w:sz w:val="24"/>
          <w:szCs w:val="24"/>
        </w:rPr>
        <w:t>）投标活动的一切事宜。</w:t>
      </w:r>
    </w:p>
    <w:p>
      <w:pPr>
        <w:adjustRightInd w:val="0"/>
        <w:snapToGrid w:val="0"/>
        <w:spacing w:before="72" w:beforeLines="30"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pPr>
        <w:adjustRightInd w:val="0"/>
        <w:snapToGrid w:val="0"/>
        <w:spacing w:before="72" w:beforeLines="30" w:line="312" w:lineRule="auto"/>
        <w:ind w:firstLine="480" w:firstLineChars="200"/>
        <w:rPr>
          <w:rFonts w:hint="eastAsia" w:ascii="宋体" w:hAnsi="宋体"/>
          <w:sz w:val="24"/>
        </w:rPr>
      </w:pPr>
      <w:r>
        <w:rPr>
          <w:rFonts w:hint="eastAsia" w:ascii="宋体" w:hAnsi="宋体"/>
          <w:sz w:val="24"/>
        </w:rPr>
        <w:t>全权代表无转委权。特此委托。</w:t>
      </w:r>
      <w:r>
        <w:rPr>
          <w:rFonts w:hint="eastAsia"/>
        </w:rPr>
        <mc:AlternateContent>
          <mc:Choice Requires="wps">
            <w:drawing>
              <wp:anchor distT="0" distB="0" distL="114300" distR="114300" simplePos="0" relativeHeight="251659264"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 name="矩形 2"/>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80"/>
                              <w:jc w:val="center"/>
                            </w:pPr>
                          </w:p>
                          <w:p>
                            <w:pPr>
                              <w:ind w:firstLine="480"/>
                              <w:jc w:val="center"/>
                            </w:pPr>
                          </w:p>
                          <w:p>
                            <w:pPr>
                              <w:ind w:firstLine="480"/>
                              <w:jc w:val="center"/>
                            </w:pPr>
                            <w:r>
                              <w:rPr>
                                <w:rFonts w:hint="eastAsia"/>
                              </w:rPr>
                              <w:t>法定代表人身份证复印件（正面）</w:t>
                            </w:r>
                          </w:p>
                          <w:p>
                            <w:pPr>
                              <w:ind w:firstLine="480"/>
                              <w:jc w:val="center"/>
                            </w:pPr>
                          </w:p>
                          <w:p>
                            <w:pPr>
                              <w:ind w:firstLine="480"/>
                              <w:jc w:val="center"/>
                            </w:pPr>
                          </w:p>
                        </w:txbxContent>
                      </wps:txbx>
                      <wps:bodyPr wrap="square" upright="1"/>
                    </wps:wsp>
                  </a:graphicData>
                </a:graphic>
              </wp:anchor>
            </w:drawing>
          </mc:Choice>
          <mc:Fallback>
            <w:pict>
              <v:rect id="矩形 2" o:spid="_x0000_s1026" o:spt="1" style="position:absolute;left:0pt;margin-left:25.45pt;margin-top:19.35pt;height:122.25pt;width:209.25pt;z-index:251659264;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vpUfy2AAAAAkBAAAPAAAAAAAAAAEAIAAAACIA&#10;AABkcnMvZG93bnJldi54bWxQSwECFAAUAAAACACHTuJAh5WlVQkCAAA4BAAADgAAAAAAAAABACAA&#10;AAAnAQAAZHJzL2Uyb0RvYy54bWxQSwUGAAAAAAYABgBZAQAAogUAAAAA&#10;">
                <v:fill on="t" focussize="0,0"/>
                <v:stroke color="#000000" joinstyle="miter"/>
                <v:imagedata o:title=""/>
                <o:lock v:ext="edit" aspectratio="f"/>
                <v:textbox>
                  <w:txbxContent>
                    <w:p>
                      <w:pPr>
                        <w:ind w:firstLine="480"/>
                        <w:jc w:val="center"/>
                      </w:pPr>
                    </w:p>
                    <w:p>
                      <w:pPr>
                        <w:ind w:firstLine="480"/>
                        <w:jc w:val="center"/>
                      </w:pPr>
                    </w:p>
                    <w:p>
                      <w:pPr>
                        <w:ind w:firstLine="480"/>
                        <w:jc w:val="center"/>
                      </w:pPr>
                    </w:p>
                    <w:p>
                      <w:pPr>
                        <w:ind w:firstLine="480"/>
                        <w:jc w:val="center"/>
                      </w:pPr>
                      <w:r>
                        <w:rPr>
                          <w:rFonts w:hint="eastAsia"/>
                        </w:rPr>
                        <w:t>法定代表人身份证复印件（正面）</w:t>
                      </w:r>
                    </w:p>
                    <w:p>
                      <w:pPr>
                        <w:ind w:firstLine="480"/>
                        <w:jc w:val="center"/>
                      </w:pPr>
                    </w:p>
                    <w:p>
                      <w:pPr>
                        <w:ind w:firstLine="480"/>
                        <w:jc w:val="center"/>
                      </w:pPr>
                    </w:p>
                  </w:txbxContent>
                </v:textbox>
              </v: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4"/>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r>
                              <w:rPr>
                                <w:rFonts w:hint="eastAsia"/>
                              </w:rPr>
                              <w:t>授权代理人身份证复印件（正面）</w:t>
                            </w:r>
                          </w:p>
                        </w:txbxContent>
                      </wps:txbx>
                      <wps:bodyPr wrap="square" upright="1"/>
                    </wps:wsp>
                  </a:graphicData>
                </a:graphic>
              </wp:anchor>
            </w:drawing>
          </mc:Choice>
          <mc:Fallback>
            <w:pict>
              <v:rect id="矩形 4" o:spid="_x0000_s1026" o:spt="1" style="position:absolute;left:0pt;margin-left:25.45pt;margin-top:145.35pt;height:122.25pt;width:209.25pt;z-index:251661312;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P4KwtgAAAAKAQAADwAAAAAAAAABACAAAAAi&#10;AAAAZHJzL2Rvd25yZXYueG1sUEsBAhQAFAAAAAgAh07iQEc2KBYKAgAAOAQAAA4AAAAAAAAAAQAg&#10;AAAAJwEAAGRycy9lMm9Eb2MueG1sUEsFBgAAAAAGAAYAWQEAAKMFAAAAAA==&#10;">
                <v:fill on="t" focussize="0,0"/>
                <v:stroke color="#000000" joinstyle="miter"/>
                <v:imagedata o:title=""/>
                <o:lock v:ext="edit" aspectratio="f"/>
                <v:textbox>
                  <w:txbxContent>
                    <w:p>
                      <w:pPr>
                        <w:ind w:firstLine="480"/>
                        <w:jc w:val="center"/>
                      </w:pPr>
                      <w:r>
                        <w:rPr>
                          <w:rFonts w:hint="eastAsia"/>
                        </w:rPr>
                        <w:t>授权代理人身份证复印件（正面）</w:t>
                      </w:r>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2" name="矩形 3"/>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80"/>
                              <w:jc w:val="center"/>
                            </w:pPr>
                          </w:p>
                          <w:p>
                            <w:pPr>
                              <w:ind w:firstLine="480"/>
                              <w:jc w:val="center"/>
                            </w:pPr>
                          </w:p>
                          <w:p>
                            <w:pPr>
                              <w:ind w:firstLine="480"/>
                              <w:jc w:val="center"/>
                            </w:pPr>
                            <w:r>
                              <w:rPr>
                                <w:rFonts w:hint="eastAsia"/>
                              </w:rPr>
                              <w:t>法定代表人身份证复印件（反面）</w:t>
                            </w:r>
                          </w:p>
                          <w:p>
                            <w:pPr>
                              <w:ind w:firstLine="480"/>
                              <w:jc w:val="center"/>
                            </w:pPr>
                          </w:p>
                        </w:txbxContent>
                      </wps:txbx>
                      <wps:bodyPr wrap="square" upright="1"/>
                    </wps:wsp>
                  </a:graphicData>
                </a:graphic>
              </wp:anchor>
            </w:drawing>
          </mc:Choice>
          <mc:Fallback>
            <w:pict>
              <v:rect id="矩形 3" o:spid="_x0000_s1026" o:spt="1" style="position:absolute;left:0pt;margin-left:245.95pt;margin-top:19.35pt;height:122.25pt;width:198pt;z-index:251660288;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u5wT2AAAAAoBAAAPAAAAAAAAAAEAIAAAACIA&#10;AABkcnMvZG93bnJldi54bWxQSwECFAAUAAAACACHTuJA7tXRggkCAAA4BAAADgAAAAAAAAABACAA&#10;AAAnAQAAZHJzL2Uyb0RvYy54bWxQSwUGAAAAAAYABgBZAQAAogUAAAAA&#10;">
                <v:fill on="t" focussize="0,0"/>
                <v:stroke color="#000000" joinstyle="miter"/>
                <v:imagedata o:title=""/>
                <o:lock v:ext="edit" aspectratio="f"/>
                <v:textbox>
                  <w:txbxContent>
                    <w:p>
                      <w:pPr>
                        <w:ind w:firstLine="480"/>
                        <w:jc w:val="center"/>
                      </w:pPr>
                    </w:p>
                    <w:p>
                      <w:pPr>
                        <w:ind w:firstLine="480"/>
                        <w:jc w:val="center"/>
                      </w:pPr>
                    </w:p>
                    <w:p>
                      <w:pPr>
                        <w:ind w:firstLine="480"/>
                        <w:jc w:val="center"/>
                      </w:pPr>
                    </w:p>
                    <w:p>
                      <w:pPr>
                        <w:ind w:firstLine="480"/>
                        <w:jc w:val="center"/>
                      </w:pPr>
                      <w:r>
                        <w:rPr>
                          <w:rFonts w:hint="eastAsia"/>
                        </w:rPr>
                        <w:t>法定代表人身份证复印件（反面）</w:t>
                      </w:r>
                    </w:p>
                    <w:p>
                      <w:pPr>
                        <w:ind w:firstLine="480"/>
                        <w:jc w:val="center"/>
                      </w:pP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4" name="矩形 5"/>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r>
                              <w:rPr>
                                <w:rFonts w:hint="eastAsia"/>
                              </w:rPr>
                              <w:t>授权代理人身份证复印件（反面）</w:t>
                            </w:r>
                          </w:p>
                        </w:txbxContent>
                      </wps:txbx>
                      <wps:bodyPr wrap="square" upright="1"/>
                    </wps:wsp>
                  </a:graphicData>
                </a:graphic>
              </wp:anchor>
            </w:drawing>
          </mc:Choice>
          <mc:Fallback>
            <w:pict>
              <v:rect id="矩形 5" o:spid="_x0000_s1026" o:spt="1" style="position:absolute;left:0pt;margin-left:245.95pt;margin-top:144.6pt;height:122.25pt;width:198pt;z-index:251662336;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ctpajaAAAACwEAAA8AAAAAAAAAAQAg&#10;AAAAIgAAAGRycy9kb3ducmV2LnhtbFBLAQIUABQAAAAIAIdO4kBNUMEUDAIAADgEAAAOAAAAAAAA&#10;AAEAIAAAACkBAABkcnMvZTJvRG9jLnhtbFBLBQYAAAAABgAGAFkBAACnBQAAAAA=&#10;">
                <v:fill on="t" focussize="0,0"/>
                <v:stroke color="#000000" joinstyle="miter"/>
                <v:imagedata o:title=""/>
                <o:lock v:ext="edit" aspectratio="f"/>
                <v:textbox>
                  <w:txbxContent>
                    <w:p>
                      <w:pPr>
                        <w:ind w:firstLine="480"/>
                        <w:jc w:val="center"/>
                      </w:pPr>
                      <w:r>
                        <w:rPr>
                          <w:rFonts w:hint="eastAsia"/>
                        </w:rPr>
                        <w:t>授权代理人身份证复印件（反面）</w:t>
                      </w:r>
                    </w:p>
                  </w:txbxContent>
                </v:textbox>
              </v:rect>
            </w:pict>
          </mc:Fallback>
        </mc:AlternateContent>
      </w: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rPr>
          <w:rFonts w:hint="eastAsia" w:ascii="宋体" w:hAnsi="宋体"/>
          <w:sz w:val="24"/>
        </w:rPr>
      </w:pPr>
    </w:p>
    <w:p>
      <w:pPr>
        <w:pStyle w:val="7"/>
        <w:spacing w:after="0" w:line="560" w:lineRule="exact"/>
        <w:ind w:firstLine="480"/>
        <w:rPr>
          <w:rFonts w:ascii="宋体" w:hAnsi="宋体"/>
          <w:sz w:val="24"/>
          <w:szCs w:val="24"/>
        </w:rPr>
      </w:pPr>
      <w:r>
        <w:rPr>
          <w:rFonts w:hint="eastAsia" w:ascii="宋体" w:hAnsi="宋体" w:cs="宋体"/>
          <w:sz w:val="24"/>
          <w:szCs w:val="24"/>
        </w:rPr>
        <w:t>单位名称（公章）：</w:t>
      </w:r>
      <w:r>
        <w:rPr>
          <w:rFonts w:ascii="宋体" w:hAnsi="宋体" w:cs="宋体"/>
          <w:sz w:val="24"/>
          <w:szCs w:val="24"/>
          <w:u w:val="single"/>
        </w:rPr>
        <w:t xml:space="preserve">                 </w:t>
      </w:r>
    </w:p>
    <w:p>
      <w:pPr>
        <w:pStyle w:val="7"/>
        <w:spacing w:after="0" w:line="560" w:lineRule="exact"/>
        <w:ind w:firstLine="480"/>
        <w:rPr>
          <w:rFonts w:ascii="宋体" w:hAnsi="宋体"/>
          <w:sz w:val="24"/>
          <w:szCs w:val="24"/>
        </w:rPr>
      </w:pPr>
      <w:r>
        <w:rPr>
          <w:rFonts w:hint="eastAsia" w:ascii="宋体" w:hAnsi="宋体" w:cs="宋体"/>
          <w:sz w:val="24"/>
          <w:szCs w:val="24"/>
        </w:rPr>
        <w:t>法定代表人签字：</w:t>
      </w:r>
      <w:r>
        <w:rPr>
          <w:rFonts w:ascii="宋体" w:hAnsi="宋体" w:cs="宋体"/>
          <w:sz w:val="24"/>
          <w:szCs w:val="24"/>
          <w:u w:val="single"/>
        </w:rPr>
        <w:t xml:space="preserve">                  </w:t>
      </w:r>
    </w:p>
    <w:p>
      <w:pPr>
        <w:pStyle w:val="7"/>
        <w:spacing w:after="0" w:line="560" w:lineRule="exact"/>
        <w:ind w:firstLine="480"/>
        <w:rPr>
          <w:rFonts w:ascii="宋体" w:hAnsi="宋体"/>
          <w:sz w:val="24"/>
          <w:szCs w:val="24"/>
        </w:rPr>
      </w:pPr>
      <w:r>
        <w:rPr>
          <w:rFonts w:hint="eastAsia" w:ascii="宋体" w:hAnsi="宋体" w:cs="宋体"/>
          <w:sz w:val="24"/>
          <w:szCs w:val="24"/>
        </w:rPr>
        <w:t>授权代理人签字：</w:t>
      </w:r>
      <w:r>
        <w:rPr>
          <w:rFonts w:ascii="宋体" w:hAnsi="宋体" w:cs="宋体"/>
          <w:sz w:val="24"/>
          <w:szCs w:val="24"/>
          <w:u w:val="single"/>
        </w:rPr>
        <w:t xml:space="preserve">                  </w:t>
      </w:r>
    </w:p>
    <w:p>
      <w:pPr>
        <w:pStyle w:val="7"/>
        <w:spacing w:after="0" w:line="560" w:lineRule="exact"/>
        <w:ind w:firstLine="480"/>
        <w:rPr>
          <w:rFonts w:ascii="宋体" w:hAnsi="宋体"/>
          <w:sz w:val="24"/>
          <w:szCs w:val="24"/>
        </w:rPr>
      </w:pPr>
    </w:p>
    <w:p>
      <w:pPr>
        <w:pStyle w:val="7"/>
        <w:spacing w:after="0" w:line="560" w:lineRule="exact"/>
        <w:ind w:left="5880" w:right="283" w:rightChars="135" w:firstLine="480"/>
        <w:jc w:val="right"/>
        <w:rPr>
          <w:rFonts w:ascii="宋体" w:hAns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pStyle w:val="7"/>
        <w:spacing w:after="0" w:line="560" w:lineRule="exact"/>
        <w:ind w:firstLine="480"/>
        <w:rPr>
          <w:rFonts w:ascii="宋体" w:hAnsi="宋体"/>
        </w:rPr>
      </w:pPr>
    </w:p>
    <w:p>
      <w:pPr>
        <w:pStyle w:val="7"/>
        <w:spacing w:after="0" w:line="560" w:lineRule="exact"/>
        <w:ind w:firstLine="480"/>
        <w:rPr>
          <w:rFonts w:hint="eastAsia" w:ascii="宋体" w:hAnsi="宋体"/>
        </w:rPr>
      </w:pPr>
    </w:p>
    <w:p>
      <w:pPr>
        <w:pStyle w:val="4"/>
        <w:numPr>
          <w:ilvl w:val="0"/>
          <w:numId w:val="0"/>
        </w:numPr>
        <w:spacing w:before="120"/>
        <w:rPr>
          <w:rFonts w:hint="eastAsia"/>
        </w:rPr>
      </w:pPr>
      <w:bookmarkStart w:id="493" w:name="_Toc453709583"/>
      <w:bookmarkStart w:id="494" w:name="_Toc30919"/>
      <w:bookmarkStart w:id="495" w:name="_Toc8462"/>
      <w:bookmarkStart w:id="496" w:name="_Toc16899"/>
      <w:r>
        <w:rPr>
          <w:rFonts w:hint="eastAsia"/>
        </w:rPr>
        <w:t>附件三：开标一览表</w:t>
      </w:r>
      <w:bookmarkEnd w:id="493"/>
      <w:bookmarkEnd w:id="494"/>
      <w:bookmarkEnd w:id="495"/>
      <w:bookmarkEnd w:id="496"/>
    </w:p>
    <w:p>
      <w:pPr>
        <w:pStyle w:val="7"/>
        <w:spacing w:after="0" w:line="320" w:lineRule="exact"/>
        <w:ind w:firstLine="643"/>
        <w:jc w:val="center"/>
        <w:rPr>
          <w:rFonts w:ascii="宋体" w:hAnsi="宋体"/>
          <w:b/>
          <w:bCs/>
          <w:sz w:val="32"/>
          <w:szCs w:val="32"/>
        </w:rPr>
      </w:pPr>
      <w:r>
        <w:rPr>
          <w:rFonts w:hint="eastAsia" w:ascii="宋体" w:hAnsi="宋体" w:cs="宋体"/>
          <w:b/>
          <w:bCs/>
          <w:sz w:val="32"/>
          <w:szCs w:val="32"/>
        </w:rPr>
        <w:t>开标一览表</w:t>
      </w:r>
    </w:p>
    <w:p>
      <w:pPr>
        <w:pStyle w:val="33"/>
        <w:spacing w:line="360" w:lineRule="exact"/>
        <w:ind w:left="0" w:leftChars="0" w:firstLine="0" w:firstLineChars="0"/>
        <w:rPr>
          <w:rFonts w:hint="eastAsia" w:ascii="宋体" w:hAnsi="宋体" w:eastAsia="宋体" w:cs="宋体"/>
          <w:sz w:val="24"/>
          <w:szCs w:val="24"/>
          <w:lang w:eastAsia="zh-CN"/>
        </w:rPr>
      </w:pPr>
      <w:r>
        <w:rPr>
          <w:rFonts w:hint="eastAsia" w:ascii="宋体" w:hAnsi="宋体" w:cs="宋体"/>
          <w:sz w:val="24"/>
          <w:szCs w:val="24"/>
        </w:rPr>
        <w:t>项目名称：</w:t>
      </w:r>
      <w:bookmarkStart w:id="497" w:name="_Hlk143287314"/>
      <w:r>
        <w:rPr>
          <w:rFonts w:hint="eastAsia" w:ascii="宋体" w:hAnsi="宋体" w:cs="宋体"/>
          <w:sz w:val="24"/>
          <w:szCs w:val="24"/>
          <w:lang w:val="en-US" w:eastAsia="zh-CN"/>
        </w:rPr>
        <w:t>中国重汽集团</w:t>
      </w:r>
      <w:r>
        <w:rPr>
          <w:rFonts w:hint="eastAsia" w:ascii="宋体" w:hAnsi="宋体" w:cs="宋体"/>
          <w:sz w:val="24"/>
          <w:szCs w:val="24"/>
          <w:lang w:eastAsia="zh-CN"/>
        </w:rPr>
        <w:t>泰安五岳专用汽车</w:t>
      </w:r>
      <w:bookmarkEnd w:id="497"/>
      <w:r>
        <w:rPr>
          <w:rFonts w:hint="eastAsia" w:ascii="宋体" w:hAnsi="宋体" w:cs="宋体"/>
          <w:sz w:val="24"/>
          <w:szCs w:val="24"/>
          <w:lang w:val="en-US" w:eastAsia="zh-CN"/>
        </w:rPr>
        <w:t>有限公司</w:t>
      </w:r>
      <w:r>
        <w:rPr>
          <w:rFonts w:hint="eastAsia" w:ascii="宋体" w:hAnsi="宋体" w:eastAsia="宋体" w:cs="宋体"/>
          <w:sz w:val="24"/>
          <w:szCs w:val="24"/>
          <w:lang w:eastAsia="zh-CN"/>
        </w:rPr>
        <w:t>网络安全边界防护项目</w:t>
      </w:r>
    </w:p>
    <w:p>
      <w:pPr>
        <w:pStyle w:val="33"/>
        <w:spacing w:line="360" w:lineRule="exact"/>
        <w:ind w:left="0" w:leftChars="0" w:firstLine="0" w:firstLineChars="0"/>
        <w:rPr>
          <w:rFonts w:ascii="宋体" w:hAnsi="宋体" w:cs="宋体"/>
          <w:sz w:val="24"/>
          <w:szCs w:val="24"/>
        </w:rPr>
      </w:pPr>
      <w:r>
        <w:rPr>
          <w:rFonts w:hint="eastAsia" w:ascii="宋体" w:hAnsi="宋体" w:cs="宋体"/>
          <w:b w:val="0"/>
          <w:bCs w:val="0"/>
          <w:sz w:val="24"/>
          <w:szCs w:val="24"/>
          <w:highlight w:val="none"/>
        </w:rPr>
        <w:t>项目编号：</w:t>
      </w:r>
      <w:r>
        <w:rPr>
          <w:rFonts w:hint="eastAsia" w:ascii="宋体" w:hAnsi="宋体" w:cs="宋体"/>
          <w:b w:val="0"/>
          <w:bCs w:val="0"/>
          <w:sz w:val="24"/>
          <w:szCs w:val="24"/>
          <w:highlight w:val="none"/>
          <w:lang w:eastAsia="zh-CN"/>
        </w:rPr>
        <w:t>CGZXCX-202310-1393</w:t>
      </w:r>
      <w:r>
        <w:rPr>
          <w:rFonts w:ascii="宋体" w:hAnsi="宋体" w:cs="宋体"/>
          <w:b w:val="0"/>
          <w:bCs w:val="0"/>
          <w:highlight w:val="none"/>
        </w:rPr>
        <w:t xml:space="preserve">  </w:t>
      </w:r>
      <w:r>
        <w:rPr>
          <w:rFonts w:ascii="宋体" w:hAnsi="宋体" w:cs="宋体"/>
        </w:rPr>
        <w:t xml:space="preserve">                                           </w:t>
      </w:r>
    </w:p>
    <w:tbl>
      <w:tblPr>
        <w:tblStyle w:val="7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871"/>
        <w:gridCol w:w="5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165" w:type="dxa"/>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b/>
                <w:bCs/>
                <w:sz w:val="24"/>
              </w:rPr>
              <w:t>投标人名称</w:t>
            </w:r>
          </w:p>
        </w:tc>
        <w:tc>
          <w:tcPr>
            <w:tcW w:w="6841"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65"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rPr>
            </w:pPr>
            <w:r>
              <w:rPr>
                <w:rFonts w:hint="eastAsia" w:ascii="宋体" w:hAnsi="宋体"/>
                <w:b/>
                <w:bCs/>
                <w:sz w:val="24"/>
              </w:rPr>
              <w:t>投标总报价</w:t>
            </w:r>
            <w:r>
              <w:rPr>
                <w:rFonts w:ascii="宋体" w:hAnsi="宋体"/>
                <w:b/>
                <w:bCs/>
                <w:sz w:val="24"/>
              </w:rPr>
              <w:t>(</w:t>
            </w:r>
            <w:r>
              <w:rPr>
                <w:rFonts w:hint="eastAsia" w:ascii="宋体" w:hAnsi="宋体"/>
                <w:b/>
                <w:bCs/>
                <w:sz w:val="24"/>
              </w:rPr>
              <w:t>万元)</w:t>
            </w:r>
          </w:p>
        </w:tc>
        <w:tc>
          <w:tcPr>
            <w:tcW w:w="6841"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2640" w:firstLineChars="1100"/>
              <w:rPr>
                <w:rFonts w:ascii="宋体" w:hAnsi="宋体"/>
                <w:bCs/>
                <w:sz w:val="24"/>
              </w:rPr>
            </w:pPr>
            <w:r>
              <w:rPr>
                <w:rFonts w:hint="eastAsia" w:ascii="宋体" w:hAnsi="宋体"/>
                <w:bCs/>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sz w:val="24"/>
              </w:rPr>
            </w:pPr>
          </w:p>
        </w:tc>
        <w:tc>
          <w:tcPr>
            <w:tcW w:w="6841"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2640" w:firstLineChars="1100"/>
              <w:rPr>
                <w:rFonts w:ascii="宋体" w:hAnsi="宋体"/>
                <w:bCs/>
                <w:sz w:val="24"/>
              </w:rPr>
            </w:pPr>
            <w:r>
              <w:rPr>
                <w:rFonts w:hint="eastAsia" w:ascii="宋体" w:hAnsi="宋体"/>
                <w:bCs/>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03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jc w:val="center"/>
              <w:rPr>
                <w:rFonts w:hint="eastAsia" w:ascii="宋体" w:hAnsi="宋体"/>
                <w:b/>
                <w:bCs/>
                <w:sz w:val="24"/>
              </w:rPr>
            </w:pPr>
            <w:r>
              <w:rPr>
                <w:rFonts w:hint="eastAsia" w:ascii="宋体" w:hAnsi="宋体"/>
                <w:b/>
                <w:bCs/>
                <w:sz w:val="24"/>
              </w:rPr>
              <w:t>供货期</w:t>
            </w:r>
          </w:p>
          <w:p>
            <w:pPr>
              <w:tabs>
                <w:tab w:val="left" w:pos="0"/>
                <w:tab w:val="left" w:pos="720"/>
                <w:tab w:val="left" w:pos="1440"/>
                <w:tab w:val="left" w:pos="2160"/>
                <w:tab w:val="left" w:pos="2880"/>
                <w:tab w:val="left" w:pos="3600"/>
                <w:tab w:val="left" w:pos="4320"/>
              </w:tabs>
              <w:autoSpaceDE w:val="0"/>
              <w:autoSpaceDN w:val="0"/>
              <w:adjustRightInd w:val="0"/>
              <w:jc w:val="center"/>
              <w:rPr>
                <w:rFonts w:hint="eastAsia" w:ascii="宋体" w:hAnsi="宋体"/>
                <w:sz w:val="24"/>
              </w:rPr>
            </w:pPr>
            <w:r>
              <w:rPr>
                <w:rFonts w:hint="eastAsia" w:ascii="宋体" w:hAnsi="宋体"/>
                <w:sz w:val="24"/>
              </w:rPr>
              <w:t>（日历天）</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jc w:val="left"/>
              <w:rPr>
                <w:rFonts w:hint="eastAsia" w:ascii="宋体" w:hAnsi="宋体"/>
                <w:sz w:val="24"/>
              </w:rPr>
            </w:pPr>
            <w:r>
              <w:rPr>
                <w:rFonts w:hint="eastAsia" w:ascii="宋体" w:hAnsi="宋体"/>
                <w:sz w:val="24"/>
              </w:rPr>
              <w:t>自接到中标通知之日起</w:t>
            </w:r>
            <w:r>
              <w:rPr>
                <w:rFonts w:hint="eastAsia" w:ascii="宋体" w:hAnsi="宋体"/>
                <w:sz w:val="24"/>
                <w:u w:val="single"/>
              </w:rPr>
              <w:t xml:space="preserve">    </w:t>
            </w:r>
            <w:r>
              <w:rPr>
                <w:rFonts w:hint="eastAsia" w:ascii="宋体" w:hAnsi="宋体"/>
                <w:sz w:val="24"/>
              </w:rPr>
              <w:t>日历天内交货到指定地点，到货后</w:t>
            </w:r>
            <w:r>
              <w:rPr>
                <w:rFonts w:hint="eastAsia" w:ascii="宋体" w:hAnsi="宋体"/>
                <w:sz w:val="24"/>
                <w:u w:val="single"/>
              </w:rPr>
              <w:t xml:space="preserve">    </w:t>
            </w:r>
            <w:r>
              <w:rPr>
                <w:rFonts w:hint="eastAsia" w:ascii="宋体" w:hAnsi="宋体"/>
                <w:sz w:val="24"/>
              </w:rPr>
              <w:t>日历天内安装调试完成，共</w:t>
            </w:r>
            <w:r>
              <w:rPr>
                <w:rFonts w:hint="eastAsia" w:ascii="宋体" w:hAnsi="宋体"/>
                <w:sz w:val="24"/>
                <w:u w:val="single"/>
              </w:rPr>
              <w:t xml:space="preserve">    </w:t>
            </w:r>
            <w:r>
              <w:rPr>
                <w:rFonts w:hint="eastAsia" w:ascii="宋体" w:hAnsi="宋体"/>
                <w:sz w:val="24"/>
              </w:rPr>
              <w:t>日历天。</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jc w:val="left"/>
              <w:rPr>
                <w:rFonts w:ascii="宋体" w:hAnsi="宋体"/>
                <w:bCs/>
                <w:sz w:val="24"/>
                <w:u w:val="single"/>
              </w:rPr>
            </w:pPr>
            <w:r>
              <w:rPr>
                <w:rFonts w:hint="eastAsia" w:ascii="宋体" w:hAnsi="宋体"/>
                <w:sz w:val="24"/>
              </w:rPr>
              <w:t>（</w:t>
            </w:r>
            <w:r>
              <w:rPr>
                <w:rFonts w:hint="eastAsia" w:ascii="宋体" w:hAnsi="宋体"/>
                <w:bCs/>
                <w:i/>
                <w:iCs/>
                <w:sz w:val="24"/>
              </w:rPr>
              <w:t>投标人可在不偏离商务条款的前提下竞报）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03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b/>
                <w:bCs/>
                <w:sz w:val="24"/>
              </w:rPr>
              <w:t>质保期</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ind w:left="480" w:hanging="480" w:hangingChars="200"/>
              <w:jc w:val="left"/>
              <w:rPr>
                <w:rFonts w:hint="eastAsia" w:ascii="宋体" w:hAnsi="宋体"/>
                <w:bCs/>
                <w:sz w:val="24"/>
              </w:rPr>
            </w:pPr>
            <w:r>
              <w:rPr>
                <w:rFonts w:hint="eastAsia" w:ascii="宋体" w:hAnsi="宋体"/>
                <w:bCs/>
                <w:sz w:val="24"/>
              </w:rPr>
              <w:t>自最终验收报告签署之日（以签署日期最晚者为准）</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ind w:left="480" w:hanging="480" w:hangingChars="200"/>
              <w:jc w:val="left"/>
              <w:rPr>
                <w:rFonts w:ascii="宋体" w:hAnsi="宋体"/>
                <w:bCs/>
                <w:sz w:val="24"/>
              </w:rPr>
            </w:pPr>
            <w:r>
              <w:rPr>
                <w:rFonts w:hint="eastAsia" w:ascii="宋体" w:hAnsi="宋体"/>
                <w:bCs/>
                <w:sz w:val="24"/>
              </w:rPr>
              <w:t>起</w:t>
            </w:r>
            <w:r>
              <w:rPr>
                <w:rFonts w:hint="eastAsia" w:ascii="宋体" w:hAnsi="宋体"/>
                <w:bCs/>
                <w:sz w:val="24"/>
                <w:u w:val="single"/>
              </w:rPr>
              <w:t xml:space="preserve">    </w:t>
            </w:r>
            <w:r>
              <w:rPr>
                <w:rFonts w:hint="eastAsia" w:ascii="宋体" w:hAnsi="宋体"/>
                <w:sz w:val="24"/>
                <w:u w:val="single"/>
              </w:rPr>
              <w:t xml:space="preserve">   </w:t>
            </w:r>
            <w:r>
              <w:rPr>
                <w:rFonts w:hint="eastAsia" w:ascii="宋体" w:hAnsi="宋体"/>
                <w:bCs/>
                <w:sz w:val="24"/>
                <w:u w:val="single"/>
              </w:rPr>
              <w:t xml:space="preserve"> </w:t>
            </w:r>
            <w:r>
              <w:rPr>
                <w:rFonts w:hint="eastAsia" w:ascii="宋体" w:hAnsi="宋体"/>
                <w:bCs/>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03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jc w:val="center"/>
              <w:rPr>
                <w:rFonts w:hint="eastAsia" w:ascii="宋体" w:hAnsi="宋体"/>
                <w:sz w:val="24"/>
              </w:rPr>
            </w:pPr>
            <w:r>
              <w:rPr>
                <w:rFonts w:hint="eastAsia"/>
                <w:b/>
                <w:sz w:val="24"/>
              </w:rPr>
              <w:t>付款方式有无偏离</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03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jc w:val="center"/>
              <w:rPr>
                <w:rFonts w:hint="eastAsia" w:ascii="宋体" w:hAnsi="宋体"/>
                <w:b/>
                <w:bCs/>
                <w:sz w:val="24"/>
              </w:rPr>
            </w:pPr>
            <w:r>
              <w:rPr>
                <w:rFonts w:hint="eastAsia" w:ascii="宋体" w:hAnsi="宋体"/>
                <w:b/>
                <w:bCs/>
                <w:sz w:val="24"/>
              </w:rPr>
              <w:t>对采购合同的认同程度</w:t>
            </w:r>
          </w:p>
          <w:p>
            <w:pPr>
              <w:tabs>
                <w:tab w:val="left" w:pos="0"/>
                <w:tab w:val="left" w:pos="720"/>
                <w:tab w:val="left" w:pos="1440"/>
                <w:tab w:val="left" w:pos="2160"/>
                <w:tab w:val="left" w:pos="2880"/>
                <w:tab w:val="left" w:pos="3600"/>
                <w:tab w:val="left" w:pos="4320"/>
              </w:tabs>
              <w:autoSpaceDE w:val="0"/>
              <w:autoSpaceDN w:val="0"/>
              <w:adjustRightInd w:val="0"/>
              <w:jc w:val="center"/>
              <w:rPr>
                <w:rFonts w:hint="eastAsia"/>
              </w:rPr>
            </w:pPr>
            <w:r>
              <w:rPr>
                <w:rFonts w:hint="eastAsia" w:ascii="宋体" w:hAnsi="宋体"/>
                <w:sz w:val="24"/>
              </w:rPr>
              <w:t>（是否完全认同）</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jc w:val="left"/>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03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Pr>
                <w:rFonts w:hint="eastAsia" w:ascii="宋体" w:hAnsi="宋体"/>
                <w:b/>
                <w:bCs/>
                <w:sz w:val="24"/>
              </w:rPr>
              <w:t>对招标文件的响应程度</w:t>
            </w:r>
          </w:p>
          <w:p>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sz w:val="24"/>
              </w:rPr>
            </w:pPr>
            <w:r>
              <w:rPr>
                <w:rFonts w:hint="eastAsia" w:ascii="宋体" w:hAnsi="宋体"/>
                <w:sz w:val="24"/>
              </w:rPr>
              <w:t>（是否完全响应）</w:t>
            </w:r>
          </w:p>
        </w:tc>
        <w:tc>
          <w:tcPr>
            <w:tcW w:w="5970" w:type="dxa"/>
            <w:tcBorders>
              <w:top w:val="single" w:color="auto" w:sz="4" w:space="0"/>
              <w:left w:val="single" w:color="auto" w:sz="4" w:space="0"/>
              <w:bottom w:val="single" w:color="auto" w:sz="4" w:space="0"/>
              <w:right w:val="single" w:color="auto" w:sz="4" w:space="0"/>
            </w:tcBorders>
            <w:noWrap w:val="0"/>
            <w:vAlign w:val="top"/>
          </w:tcPr>
          <w:p>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rPr>
                <w:rFonts w:ascii="宋体" w:hAnsi="宋体"/>
                <w:bCs/>
                <w:sz w:val="24"/>
              </w:rPr>
            </w:pPr>
          </w:p>
        </w:tc>
      </w:tr>
    </w:tbl>
    <w:p>
      <w:pPr>
        <w:ind w:firstLine="482"/>
        <w:rPr>
          <w:rFonts w:hint="eastAsia" w:ascii="宋体" w:hAnsi="宋体"/>
          <w:b/>
          <w:bCs/>
        </w:rPr>
      </w:pPr>
    </w:p>
    <w:p>
      <w:pPr>
        <w:ind w:firstLine="482"/>
        <w:rPr>
          <w:rFonts w:hint="eastAsia" w:ascii="宋体" w:hAnsi="宋体"/>
        </w:rPr>
      </w:pPr>
      <w:r>
        <w:rPr>
          <w:rFonts w:hint="eastAsia" w:ascii="宋体" w:hAnsi="宋体"/>
        </w:rPr>
        <w:t>注： 1、此表中的报价必须与相应的报价明细表中的报价一致。</w:t>
      </w:r>
    </w:p>
    <w:p>
      <w:pPr>
        <w:ind w:firstLine="1001" w:firstLineChars="477"/>
        <w:rPr>
          <w:rFonts w:hint="eastAsia" w:ascii="宋体" w:hAnsi="宋体"/>
        </w:rPr>
      </w:pPr>
      <w:r>
        <w:rPr>
          <w:rFonts w:hint="eastAsia" w:ascii="宋体" w:hAnsi="宋体"/>
        </w:rPr>
        <w:t>2、本表除附在投标文件中外，还应单独密封一份，以便唱标。</w:t>
      </w:r>
    </w:p>
    <w:p>
      <w:pPr>
        <w:spacing w:line="300" w:lineRule="auto"/>
        <w:ind w:firstLine="517" w:firstLineChars="245"/>
        <w:rPr>
          <w:rFonts w:ascii="宋体" w:hAnsi="宋体"/>
          <w:b/>
          <w:bCs/>
        </w:rPr>
      </w:pPr>
      <w:r>
        <w:rPr>
          <w:rFonts w:hint="eastAsia" w:ascii="宋体" w:hAnsi="宋体"/>
          <w:b/>
          <w:bCs/>
        </w:rPr>
        <w:t xml:space="preserve"> </w:t>
      </w:r>
      <w:r>
        <w:rPr>
          <w:rFonts w:ascii="宋体" w:hAnsi="宋体"/>
          <w:b/>
          <w:bCs/>
        </w:rPr>
        <w:t xml:space="preserve">    3.</w:t>
      </w:r>
      <w:r>
        <w:rPr>
          <w:rFonts w:hint="eastAsia"/>
        </w:rPr>
        <w:t xml:space="preserve"> </w:t>
      </w:r>
      <w:r>
        <w:rPr>
          <w:rFonts w:hint="eastAsia" w:ascii="宋体" w:hAnsi="宋体"/>
          <w:b/>
          <w:bCs/>
        </w:rPr>
        <w:t>报价均包含：税率、不含税价、含税价三种报价方式。</w:t>
      </w:r>
    </w:p>
    <w:p>
      <w:pPr>
        <w:spacing w:line="300" w:lineRule="auto"/>
        <w:ind w:firstLine="517" w:firstLineChars="245"/>
        <w:rPr>
          <w:rFonts w:hint="eastAsia" w:ascii="宋体" w:hAnsi="宋体"/>
          <w:b/>
          <w:bCs/>
        </w:rPr>
      </w:pPr>
    </w:p>
    <w:p>
      <w:pPr>
        <w:spacing w:line="540" w:lineRule="exact"/>
        <w:ind w:firstLine="480"/>
        <w:rPr>
          <w:rFonts w:hint="eastAsia" w:ascii="宋体" w:hAnsi="宋体"/>
          <w:sz w:val="24"/>
        </w:rPr>
      </w:pPr>
      <w:r>
        <w:rPr>
          <w:rFonts w:hint="eastAsia" w:ascii="宋体" w:hAnsi="宋体"/>
          <w:sz w:val="24"/>
        </w:rPr>
        <w:t>投标人：（盖章）</w:t>
      </w:r>
    </w:p>
    <w:p>
      <w:pPr>
        <w:spacing w:line="540" w:lineRule="exact"/>
        <w:ind w:firstLine="480"/>
        <w:rPr>
          <w:rFonts w:hint="eastAsia" w:ascii="宋体" w:hAnsi="宋体"/>
          <w:sz w:val="24"/>
        </w:rPr>
      </w:pPr>
      <w:r>
        <w:rPr>
          <w:rFonts w:hint="eastAsia" w:ascii="宋体" w:hAnsi="宋体"/>
          <w:sz w:val="24"/>
        </w:rPr>
        <w:t>法定代表人（委托代理人）：（签字）</w:t>
      </w:r>
    </w:p>
    <w:p>
      <w:pPr>
        <w:spacing w:line="540" w:lineRule="exact"/>
        <w:ind w:firstLine="48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7"/>
        <w:spacing w:after="0"/>
        <w:ind w:firstLine="480"/>
        <w:jc w:val="right"/>
        <w:outlineLvl w:val="0"/>
        <w:rPr>
          <w:rFonts w:ascii="宋体" w:hAnsi="宋体"/>
        </w:rPr>
        <w:sectPr>
          <w:pgSz w:w="11907" w:h="16840"/>
          <w:pgMar w:top="1418" w:right="1418" w:bottom="1418" w:left="1418" w:header="851" w:footer="851" w:gutter="0"/>
          <w:cols w:space="720" w:num="1"/>
          <w:docGrid w:linePitch="290" w:charSpace="-3931"/>
        </w:sectPr>
      </w:pPr>
    </w:p>
    <w:p>
      <w:pPr>
        <w:pStyle w:val="4"/>
        <w:numPr>
          <w:ilvl w:val="0"/>
          <w:numId w:val="0"/>
        </w:numPr>
        <w:spacing w:before="120"/>
        <w:rPr>
          <w:rFonts w:hint="eastAsia"/>
        </w:rPr>
      </w:pPr>
      <w:bookmarkStart w:id="498" w:name="_Toc518655809"/>
      <w:bookmarkStart w:id="499" w:name="_Toc353881017"/>
      <w:bookmarkStart w:id="500" w:name="_Toc26556"/>
      <w:bookmarkStart w:id="501" w:name="_Toc424118186"/>
      <w:bookmarkStart w:id="502" w:name="_Toc28588"/>
      <w:bookmarkStart w:id="503" w:name="_Toc12321"/>
      <w:bookmarkStart w:id="504" w:name="_Toc28470"/>
      <w:bookmarkStart w:id="505" w:name="_Toc5421"/>
      <w:r>
        <w:rPr>
          <w:rFonts w:hint="eastAsia"/>
        </w:rPr>
        <w:t>附件</w:t>
      </w:r>
      <w:bookmarkEnd w:id="498"/>
      <w:bookmarkEnd w:id="499"/>
      <w:bookmarkEnd w:id="500"/>
      <w:bookmarkEnd w:id="501"/>
      <w:bookmarkEnd w:id="502"/>
      <w:r>
        <w:rPr>
          <w:rFonts w:hint="eastAsia"/>
        </w:rPr>
        <w:t>四；分项报价表</w:t>
      </w:r>
      <w:bookmarkEnd w:id="503"/>
      <w:bookmarkEnd w:id="504"/>
      <w:bookmarkEnd w:id="505"/>
    </w:p>
    <w:p>
      <w:pPr>
        <w:ind w:firstLine="480"/>
        <w:rPr>
          <w:rFonts w:ascii="宋体" w:hAnsi="宋体" w:cs="宋体"/>
          <w:b/>
          <w:bCs/>
          <w:sz w:val="24"/>
          <w:szCs w:val="24"/>
        </w:rPr>
      </w:pPr>
      <w:r>
        <w:rPr>
          <w:rFonts w:hint="eastAsia" w:ascii="宋体" w:hAnsi="宋体" w:cs="宋体"/>
          <w:sz w:val="24"/>
          <w:szCs w:val="24"/>
          <w:lang w:eastAsia="zh-CN"/>
        </w:rPr>
        <w:t>中国重汽集团泰安五岳专用汽车有限公司网络安全边界防护项目</w:t>
      </w:r>
      <w:r>
        <w:rPr>
          <w:rFonts w:hint="eastAsia" w:ascii="宋体" w:hAnsi="宋体" w:cs="宋体"/>
          <w:b/>
          <w:bCs/>
          <w:sz w:val="24"/>
          <w:szCs w:val="24"/>
        </w:rPr>
        <w:t>应单独分项详细报价。</w:t>
      </w:r>
    </w:p>
    <w:tbl>
      <w:tblPr>
        <w:tblStyle w:val="78"/>
        <w:tblpPr w:leftFromText="180" w:rightFromText="180" w:vertAnchor="text" w:horzAnchor="margin" w:tblpY="289"/>
        <w:tblW w:w="9639" w:type="dxa"/>
        <w:tblInd w:w="0" w:type="dxa"/>
        <w:tblLayout w:type="fixed"/>
        <w:tblCellMar>
          <w:top w:w="0" w:type="dxa"/>
          <w:left w:w="108" w:type="dxa"/>
          <w:bottom w:w="0" w:type="dxa"/>
          <w:right w:w="108" w:type="dxa"/>
        </w:tblCellMar>
      </w:tblPr>
      <w:tblGrid>
        <w:gridCol w:w="776"/>
        <w:gridCol w:w="2823"/>
        <w:gridCol w:w="3090"/>
        <w:gridCol w:w="690"/>
        <w:gridCol w:w="690"/>
        <w:gridCol w:w="1570"/>
      </w:tblGrid>
      <w:tr>
        <w:tblPrEx>
          <w:tblCellMar>
            <w:top w:w="0" w:type="dxa"/>
            <w:left w:w="108" w:type="dxa"/>
            <w:bottom w:w="0" w:type="dxa"/>
            <w:right w:w="108" w:type="dxa"/>
          </w:tblCellMar>
        </w:tblPrEx>
        <w:trPr>
          <w:trHeight w:val="555" w:hRule="atLeast"/>
        </w:trPr>
        <w:tc>
          <w:tcPr>
            <w:tcW w:w="776" w:type="dxa"/>
            <w:tcBorders>
              <w:top w:val="nil"/>
              <w:left w:val="nil"/>
              <w:bottom w:val="nil"/>
              <w:right w:val="nil"/>
            </w:tcBorders>
            <w:noWrap/>
            <w:vAlign w:val="bottom"/>
          </w:tcPr>
          <w:p>
            <w:pPr>
              <w:widowControl/>
              <w:ind w:firstLine="400"/>
              <w:jc w:val="left"/>
              <w:rPr>
                <w:rFonts w:ascii="宋体" w:hAnsi="宋体" w:cs="宋体"/>
                <w:kern w:val="0"/>
                <w:sz w:val="20"/>
                <w:szCs w:val="20"/>
              </w:rPr>
            </w:pPr>
          </w:p>
        </w:tc>
        <w:tc>
          <w:tcPr>
            <w:tcW w:w="7293" w:type="dxa"/>
            <w:gridSpan w:val="4"/>
            <w:tcBorders>
              <w:top w:val="nil"/>
              <w:left w:val="nil"/>
              <w:bottom w:val="nil"/>
              <w:right w:val="nil"/>
            </w:tcBorders>
            <w:noWrap w:val="0"/>
            <w:vAlign w:val="center"/>
          </w:tcPr>
          <w:p>
            <w:pPr>
              <w:widowControl/>
              <w:ind w:firstLine="640"/>
              <w:jc w:val="center"/>
              <w:rPr>
                <w:rFonts w:ascii="等线" w:hAnsi="等线" w:eastAsia="等线" w:cs="宋体"/>
                <w:b/>
                <w:bCs/>
                <w:kern w:val="0"/>
                <w:sz w:val="32"/>
                <w:szCs w:val="32"/>
              </w:rPr>
            </w:pPr>
            <w:r>
              <w:rPr>
                <w:rFonts w:hint="eastAsia" w:ascii="等线" w:hAnsi="等线" w:eastAsia="等线" w:cs="宋体"/>
                <w:b/>
                <w:bCs/>
                <w:kern w:val="0"/>
                <w:sz w:val="32"/>
                <w:szCs w:val="32"/>
              </w:rPr>
              <w:t>投标方提供物资及服务</w:t>
            </w:r>
          </w:p>
        </w:tc>
        <w:tc>
          <w:tcPr>
            <w:tcW w:w="1570" w:type="dxa"/>
            <w:tcBorders>
              <w:top w:val="nil"/>
              <w:left w:val="nil"/>
              <w:bottom w:val="nil"/>
              <w:right w:val="nil"/>
            </w:tcBorders>
            <w:noWrap/>
            <w:vAlign w:val="bottom"/>
          </w:tcPr>
          <w:p>
            <w:pPr>
              <w:widowControl/>
              <w:ind w:firstLine="640"/>
              <w:jc w:val="center"/>
              <w:rPr>
                <w:rFonts w:hint="eastAsia" w:ascii="等线" w:hAnsi="等线" w:eastAsia="等线" w:cs="宋体"/>
                <w:b/>
                <w:bCs/>
                <w:kern w:val="0"/>
                <w:sz w:val="32"/>
                <w:szCs w:val="32"/>
              </w:rPr>
            </w:pPr>
          </w:p>
        </w:tc>
      </w:tr>
      <w:tr>
        <w:tblPrEx>
          <w:tblCellMar>
            <w:top w:w="0" w:type="dxa"/>
            <w:left w:w="108" w:type="dxa"/>
            <w:bottom w:w="0" w:type="dxa"/>
            <w:right w:w="108" w:type="dxa"/>
          </w:tblCellMar>
        </w:tblPrEx>
        <w:trPr>
          <w:trHeight w:val="48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等线" w:hAnsi="等线" w:eastAsia="等线" w:cs="宋体"/>
                <w:kern w:val="0"/>
              </w:rPr>
            </w:pPr>
            <w:r>
              <w:rPr>
                <w:rFonts w:hint="eastAsia" w:ascii="等线" w:hAnsi="等线" w:eastAsia="等线" w:cs="宋体"/>
                <w:kern w:val="0"/>
              </w:rPr>
              <w:t>序号</w:t>
            </w:r>
          </w:p>
        </w:tc>
        <w:tc>
          <w:tcPr>
            <w:tcW w:w="28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等线" w:hAnsi="等线" w:eastAsia="等线" w:cs="宋体"/>
                <w:kern w:val="0"/>
              </w:rPr>
            </w:pPr>
            <w:r>
              <w:rPr>
                <w:rFonts w:hint="eastAsia" w:ascii="等线" w:hAnsi="等线" w:eastAsia="等线" w:cs="宋体"/>
                <w:kern w:val="0"/>
              </w:rPr>
              <w:t>名称</w:t>
            </w:r>
          </w:p>
        </w:tc>
        <w:tc>
          <w:tcPr>
            <w:tcW w:w="309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等线" w:hAnsi="等线" w:eastAsia="等线" w:cs="宋体"/>
                <w:kern w:val="0"/>
              </w:rPr>
            </w:pPr>
            <w:r>
              <w:rPr>
                <w:rFonts w:hint="eastAsia" w:ascii="等线" w:hAnsi="等线" w:eastAsia="等线" w:cs="宋体"/>
                <w:kern w:val="0"/>
              </w:rPr>
              <w:t>品牌及型号</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等线" w:hAnsi="等线" w:eastAsia="等线" w:cs="宋体"/>
                <w:kern w:val="0"/>
              </w:rPr>
            </w:pPr>
            <w:r>
              <w:rPr>
                <w:rFonts w:hint="eastAsia" w:ascii="等线" w:hAnsi="等线" w:eastAsia="等线" w:cs="宋体"/>
                <w:kern w:val="0"/>
              </w:rPr>
              <w:t>单位</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等线" w:hAnsi="等线" w:eastAsia="等线" w:cs="宋体"/>
                <w:kern w:val="0"/>
              </w:rPr>
            </w:pPr>
            <w:r>
              <w:rPr>
                <w:rFonts w:hint="eastAsia" w:ascii="等线" w:hAnsi="等线" w:eastAsia="等线" w:cs="宋体"/>
                <w:kern w:val="0"/>
              </w:rPr>
              <w:t>数量</w:t>
            </w:r>
          </w:p>
        </w:tc>
        <w:tc>
          <w:tcPr>
            <w:tcW w:w="157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等线" w:hAnsi="等线" w:eastAsia="等线" w:cs="宋体"/>
                <w:kern w:val="0"/>
              </w:rPr>
            </w:pPr>
            <w:r>
              <w:rPr>
                <w:rFonts w:hint="eastAsia" w:ascii="等线" w:hAnsi="等线" w:eastAsia="等线" w:cs="宋体"/>
                <w:kern w:val="0"/>
              </w:rPr>
              <w:t>单价（万元）</w:t>
            </w:r>
          </w:p>
        </w:tc>
      </w:tr>
      <w:tr>
        <w:tblPrEx>
          <w:tblCellMar>
            <w:top w:w="0" w:type="dxa"/>
            <w:left w:w="108" w:type="dxa"/>
            <w:bottom w:w="0" w:type="dxa"/>
            <w:right w:w="108" w:type="dxa"/>
          </w:tblCellMar>
        </w:tblPrEx>
        <w:trPr>
          <w:trHeight w:val="405" w:hRule="atLeast"/>
        </w:trPr>
        <w:tc>
          <w:tcPr>
            <w:tcW w:w="77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等线" w:hAnsi="等线" w:eastAsia="等线" w:cs="宋体"/>
                <w:kern w:val="0"/>
              </w:rPr>
            </w:pPr>
            <w:r>
              <w:rPr>
                <w:rFonts w:hint="eastAsia" w:ascii="等线" w:hAnsi="等线" w:eastAsia="等线" w:cs="宋体"/>
                <w:kern w:val="0"/>
              </w:rPr>
              <w:t>一</w:t>
            </w:r>
          </w:p>
        </w:tc>
        <w:tc>
          <w:tcPr>
            <w:tcW w:w="2823" w:type="dxa"/>
            <w:tcBorders>
              <w:top w:val="nil"/>
              <w:left w:val="nil"/>
              <w:bottom w:val="single" w:color="auto" w:sz="4" w:space="0"/>
              <w:right w:val="single" w:color="auto" w:sz="4" w:space="0"/>
            </w:tcBorders>
            <w:noWrap w:val="0"/>
            <w:vAlign w:val="center"/>
          </w:tcPr>
          <w:p>
            <w:pPr>
              <w:widowControl/>
              <w:jc w:val="center"/>
              <w:rPr>
                <w:rFonts w:hint="eastAsia" w:ascii="等线" w:hAnsi="等线" w:eastAsia="等线" w:cs="宋体"/>
                <w:kern w:val="0"/>
              </w:rPr>
            </w:pPr>
          </w:p>
        </w:tc>
        <w:tc>
          <w:tcPr>
            <w:tcW w:w="309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等线" w:hAnsi="等线" w:eastAsia="等线" w:cs="宋体"/>
                <w:kern w:val="0"/>
              </w:rPr>
            </w:pPr>
          </w:p>
        </w:tc>
        <w:tc>
          <w:tcPr>
            <w:tcW w:w="690" w:type="dxa"/>
            <w:tcBorders>
              <w:top w:val="nil"/>
              <w:left w:val="nil"/>
              <w:bottom w:val="single" w:color="auto" w:sz="4" w:space="0"/>
              <w:right w:val="single" w:color="auto" w:sz="4" w:space="0"/>
            </w:tcBorders>
            <w:noWrap w:val="0"/>
            <w:vAlign w:val="center"/>
          </w:tcPr>
          <w:p>
            <w:pPr>
              <w:widowControl/>
              <w:jc w:val="center"/>
              <w:rPr>
                <w:rFonts w:hint="eastAsia" w:ascii="等线" w:hAnsi="等线" w:eastAsia="等线" w:cs="宋体"/>
                <w:kern w:val="0"/>
              </w:rPr>
            </w:pPr>
          </w:p>
        </w:tc>
        <w:tc>
          <w:tcPr>
            <w:tcW w:w="690" w:type="dxa"/>
            <w:tcBorders>
              <w:top w:val="nil"/>
              <w:left w:val="nil"/>
              <w:bottom w:val="single" w:color="auto" w:sz="4" w:space="0"/>
              <w:right w:val="single" w:color="auto" w:sz="4" w:space="0"/>
            </w:tcBorders>
            <w:noWrap w:val="0"/>
            <w:vAlign w:val="center"/>
          </w:tcPr>
          <w:p>
            <w:pPr>
              <w:widowControl/>
              <w:jc w:val="center"/>
              <w:rPr>
                <w:rFonts w:hint="eastAsia" w:ascii="等线" w:hAnsi="等线" w:eastAsia="等线" w:cs="宋体"/>
                <w:kern w:val="0"/>
              </w:rPr>
            </w:pPr>
          </w:p>
        </w:tc>
        <w:tc>
          <w:tcPr>
            <w:tcW w:w="1570" w:type="dxa"/>
            <w:tcBorders>
              <w:top w:val="nil"/>
              <w:left w:val="nil"/>
              <w:bottom w:val="single" w:color="auto" w:sz="4" w:space="0"/>
              <w:right w:val="single" w:color="auto" w:sz="4" w:space="0"/>
            </w:tcBorders>
            <w:noWrap w:val="0"/>
            <w:vAlign w:val="bottom"/>
          </w:tcPr>
          <w:p>
            <w:pPr>
              <w:widowControl/>
              <w:jc w:val="center"/>
              <w:rPr>
                <w:rFonts w:hint="eastAsia" w:ascii="等线" w:hAnsi="等线" w:eastAsia="等线" w:cs="宋体"/>
                <w:kern w:val="0"/>
              </w:rPr>
            </w:pPr>
          </w:p>
        </w:tc>
      </w:tr>
      <w:tr>
        <w:tblPrEx>
          <w:tblCellMar>
            <w:top w:w="0" w:type="dxa"/>
            <w:left w:w="108" w:type="dxa"/>
            <w:bottom w:w="0" w:type="dxa"/>
            <w:right w:w="108" w:type="dxa"/>
          </w:tblCellMar>
        </w:tblPrEx>
        <w:trPr>
          <w:trHeight w:val="405" w:hRule="atLeast"/>
        </w:trPr>
        <w:tc>
          <w:tcPr>
            <w:tcW w:w="776" w:type="dxa"/>
            <w:tcBorders>
              <w:left w:val="single" w:color="auto" w:sz="4" w:space="0"/>
              <w:bottom w:val="single" w:color="auto" w:sz="4" w:space="0"/>
              <w:right w:val="single" w:color="auto" w:sz="4" w:space="0"/>
            </w:tcBorders>
            <w:noWrap w:val="0"/>
            <w:vAlign w:val="center"/>
          </w:tcPr>
          <w:p>
            <w:pPr>
              <w:widowControl/>
              <w:jc w:val="center"/>
              <w:rPr>
                <w:rFonts w:hint="eastAsia" w:ascii="等线" w:hAnsi="等线" w:eastAsia="等线" w:cs="宋体"/>
                <w:kern w:val="0"/>
              </w:rPr>
            </w:pPr>
            <w:r>
              <w:rPr>
                <w:rFonts w:hint="eastAsia" w:ascii="等线" w:hAnsi="等线" w:eastAsia="等线" w:cs="宋体"/>
                <w:kern w:val="0"/>
              </w:rPr>
              <w:t>二</w:t>
            </w:r>
          </w:p>
        </w:tc>
        <w:tc>
          <w:tcPr>
            <w:tcW w:w="2823" w:type="dxa"/>
            <w:tcBorders>
              <w:left w:val="nil"/>
              <w:bottom w:val="single" w:color="auto" w:sz="4" w:space="0"/>
              <w:right w:val="single" w:color="auto" w:sz="4" w:space="0"/>
            </w:tcBorders>
            <w:noWrap w:val="0"/>
            <w:vAlign w:val="center"/>
          </w:tcPr>
          <w:p>
            <w:pPr>
              <w:widowControl/>
              <w:jc w:val="center"/>
              <w:rPr>
                <w:rFonts w:hint="eastAsia" w:ascii="等线" w:hAnsi="等线" w:eastAsia="等线" w:cs="宋体"/>
                <w:kern w:val="0"/>
              </w:rPr>
            </w:pPr>
          </w:p>
        </w:tc>
        <w:tc>
          <w:tcPr>
            <w:tcW w:w="3090" w:type="dxa"/>
            <w:tcBorders>
              <w:top w:val="nil"/>
              <w:left w:val="nil"/>
              <w:bottom w:val="single" w:color="auto" w:sz="4" w:space="0"/>
              <w:right w:val="single" w:color="auto" w:sz="4" w:space="0"/>
            </w:tcBorders>
            <w:noWrap w:val="0"/>
            <w:vAlign w:val="center"/>
          </w:tcPr>
          <w:p>
            <w:pPr>
              <w:widowControl/>
              <w:jc w:val="center"/>
              <w:rPr>
                <w:rFonts w:hint="eastAsia" w:ascii="等线" w:hAnsi="等线" w:eastAsia="等线" w:cs="宋体"/>
                <w:kern w:val="0"/>
              </w:rPr>
            </w:pPr>
          </w:p>
        </w:tc>
        <w:tc>
          <w:tcPr>
            <w:tcW w:w="690"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kern w:val="0"/>
              </w:rPr>
            </w:pPr>
          </w:p>
        </w:tc>
        <w:tc>
          <w:tcPr>
            <w:tcW w:w="690" w:type="dxa"/>
            <w:tcBorders>
              <w:top w:val="nil"/>
              <w:left w:val="nil"/>
              <w:bottom w:val="single" w:color="auto" w:sz="4" w:space="0"/>
              <w:right w:val="single" w:color="auto" w:sz="4" w:space="0"/>
            </w:tcBorders>
            <w:noWrap/>
            <w:vAlign w:val="bottom"/>
          </w:tcPr>
          <w:p>
            <w:pPr>
              <w:widowControl/>
              <w:jc w:val="center"/>
              <w:rPr>
                <w:rFonts w:ascii="等线" w:hAnsi="等线" w:eastAsia="等线" w:cs="宋体"/>
                <w:kern w:val="0"/>
              </w:rPr>
            </w:pPr>
          </w:p>
        </w:tc>
        <w:tc>
          <w:tcPr>
            <w:tcW w:w="1570"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kern w:val="0"/>
              </w:rPr>
            </w:pPr>
          </w:p>
        </w:tc>
      </w:tr>
      <w:tr>
        <w:tblPrEx>
          <w:tblCellMar>
            <w:top w:w="0" w:type="dxa"/>
            <w:left w:w="108" w:type="dxa"/>
            <w:bottom w:w="0" w:type="dxa"/>
            <w:right w:w="108" w:type="dxa"/>
          </w:tblCellMar>
        </w:tblPrEx>
        <w:trPr>
          <w:trHeight w:val="405" w:hRule="atLeast"/>
        </w:trPr>
        <w:tc>
          <w:tcPr>
            <w:tcW w:w="776" w:type="dxa"/>
            <w:tcBorders>
              <w:left w:val="single" w:color="auto" w:sz="4" w:space="0"/>
              <w:bottom w:val="single" w:color="auto" w:sz="4" w:space="0"/>
              <w:right w:val="single" w:color="auto" w:sz="4" w:space="0"/>
            </w:tcBorders>
            <w:noWrap w:val="0"/>
            <w:vAlign w:val="center"/>
          </w:tcPr>
          <w:p>
            <w:pPr>
              <w:widowControl/>
              <w:jc w:val="center"/>
              <w:rPr>
                <w:rFonts w:ascii="等线" w:hAnsi="等线" w:eastAsia="等线" w:cs="宋体"/>
                <w:kern w:val="0"/>
              </w:rPr>
            </w:pPr>
            <w:r>
              <w:rPr>
                <w:rFonts w:hint="eastAsia" w:ascii="等线" w:hAnsi="等线" w:eastAsia="等线" w:cs="宋体"/>
                <w:kern w:val="0"/>
              </w:rPr>
              <w:t>三</w:t>
            </w:r>
          </w:p>
        </w:tc>
        <w:tc>
          <w:tcPr>
            <w:tcW w:w="2823" w:type="dxa"/>
            <w:tcBorders>
              <w:left w:val="nil"/>
              <w:bottom w:val="single" w:color="auto" w:sz="4" w:space="0"/>
              <w:right w:val="single" w:color="auto" w:sz="4" w:space="0"/>
            </w:tcBorders>
            <w:noWrap w:val="0"/>
            <w:vAlign w:val="center"/>
          </w:tcPr>
          <w:p>
            <w:pPr>
              <w:widowControl/>
              <w:jc w:val="center"/>
              <w:rPr>
                <w:rFonts w:hint="eastAsia" w:ascii="等线" w:hAnsi="等线" w:eastAsia="等线" w:cs="宋体"/>
                <w:kern w:val="0"/>
              </w:rPr>
            </w:pPr>
          </w:p>
        </w:tc>
        <w:tc>
          <w:tcPr>
            <w:tcW w:w="3090" w:type="dxa"/>
            <w:tcBorders>
              <w:top w:val="nil"/>
              <w:left w:val="nil"/>
              <w:bottom w:val="single" w:color="auto" w:sz="4" w:space="0"/>
              <w:right w:val="single" w:color="auto" w:sz="4" w:space="0"/>
            </w:tcBorders>
            <w:noWrap w:val="0"/>
            <w:vAlign w:val="center"/>
          </w:tcPr>
          <w:p>
            <w:pPr>
              <w:widowControl/>
              <w:jc w:val="center"/>
              <w:rPr>
                <w:rFonts w:hint="eastAsia" w:ascii="等线" w:hAnsi="等线" w:eastAsia="等线" w:cs="宋体"/>
                <w:kern w:val="0"/>
              </w:rPr>
            </w:pPr>
          </w:p>
        </w:tc>
        <w:tc>
          <w:tcPr>
            <w:tcW w:w="690"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kern w:val="0"/>
              </w:rPr>
            </w:pPr>
          </w:p>
        </w:tc>
        <w:tc>
          <w:tcPr>
            <w:tcW w:w="690"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kern w:val="0"/>
              </w:rPr>
            </w:pPr>
          </w:p>
        </w:tc>
        <w:tc>
          <w:tcPr>
            <w:tcW w:w="1570"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kern w:val="0"/>
              </w:rPr>
            </w:pPr>
          </w:p>
        </w:tc>
      </w:tr>
      <w:tr>
        <w:tblPrEx>
          <w:tblCellMar>
            <w:top w:w="0" w:type="dxa"/>
            <w:left w:w="108" w:type="dxa"/>
            <w:bottom w:w="0" w:type="dxa"/>
            <w:right w:w="108" w:type="dxa"/>
          </w:tblCellMar>
        </w:tblPrEx>
        <w:trPr>
          <w:trHeight w:val="405" w:hRule="atLeast"/>
        </w:trPr>
        <w:tc>
          <w:tcPr>
            <w:tcW w:w="776" w:type="dxa"/>
            <w:tcBorders>
              <w:left w:val="single" w:color="auto" w:sz="4" w:space="0"/>
              <w:bottom w:val="single" w:color="auto" w:sz="4" w:space="0"/>
              <w:right w:val="single" w:color="auto" w:sz="4" w:space="0"/>
            </w:tcBorders>
            <w:noWrap w:val="0"/>
            <w:vAlign w:val="center"/>
          </w:tcPr>
          <w:p>
            <w:pPr>
              <w:widowControl/>
              <w:jc w:val="center"/>
              <w:rPr>
                <w:rFonts w:ascii="等线" w:hAnsi="等线" w:eastAsia="等线" w:cs="宋体"/>
                <w:kern w:val="0"/>
              </w:rPr>
            </w:pPr>
            <w:r>
              <w:rPr>
                <w:rFonts w:hint="eastAsia" w:ascii="等线" w:hAnsi="等线" w:eastAsia="等线" w:cs="宋体"/>
                <w:kern w:val="0"/>
              </w:rPr>
              <w:t>四</w:t>
            </w:r>
          </w:p>
        </w:tc>
        <w:tc>
          <w:tcPr>
            <w:tcW w:w="2823" w:type="dxa"/>
            <w:tcBorders>
              <w:left w:val="nil"/>
              <w:bottom w:val="single" w:color="auto" w:sz="4" w:space="0"/>
              <w:right w:val="single" w:color="auto" w:sz="4" w:space="0"/>
            </w:tcBorders>
            <w:noWrap w:val="0"/>
            <w:vAlign w:val="center"/>
          </w:tcPr>
          <w:p>
            <w:pPr>
              <w:widowControl/>
              <w:jc w:val="center"/>
              <w:rPr>
                <w:rFonts w:hint="eastAsia" w:ascii="等线" w:hAnsi="等线" w:eastAsia="等线" w:cs="宋体"/>
                <w:kern w:val="0"/>
              </w:rPr>
            </w:pPr>
          </w:p>
        </w:tc>
        <w:tc>
          <w:tcPr>
            <w:tcW w:w="3090" w:type="dxa"/>
            <w:tcBorders>
              <w:top w:val="nil"/>
              <w:left w:val="nil"/>
              <w:bottom w:val="single" w:color="auto" w:sz="4" w:space="0"/>
              <w:right w:val="single" w:color="auto" w:sz="4" w:space="0"/>
            </w:tcBorders>
            <w:noWrap w:val="0"/>
            <w:vAlign w:val="center"/>
          </w:tcPr>
          <w:p>
            <w:pPr>
              <w:widowControl/>
              <w:jc w:val="center"/>
              <w:rPr>
                <w:rFonts w:hint="eastAsia" w:ascii="等线" w:hAnsi="等线" w:eastAsia="等线" w:cs="宋体"/>
                <w:kern w:val="0"/>
              </w:rPr>
            </w:pPr>
          </w:p>
        </w:tc>
        <w:tc>
          <w:tcPr>
            <w:tcW w:w="690"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kern w:val="0"/>
              </w:rPr>
            </w:pPr>
          </w:p>
        </w:tc>
        <w:tc>
          <w:tcPr>
            <w:tcW w:w="690"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kern w:val="0"/>
              </w:rPr>
            </w:pPr>
          </w:p>
        </w:tc>
        <w:tc>
          <w:tcPr>
            <w:tcW w:w="1570"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kern w:val="0"/>
              </w:rPr>
            </w:pPr>
          </w:p>
        </w:tc>
      </w:tr>
      <w:tr>
        <w:tblPrEx>
          <w:tblCellMar>
            <w:top w:w="0" w:type="dxa"/>
            <w:left w:w="108" w:type="dxa"/>
            <w:bottom w:w="0" w:type="dxa"/>
            <w:right w:w="108" w:type="dxa"/>
          </w:tblCellMar>
        </w:tblPrEx>
        <w:trPr>
          <w:trHeight w:val="405" w:hRule="atLeast"/>
        </w:trPr>
        <w:tc>
          <w:tcPr>
            <w:tcW w:w="9639"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等线" w:hAnsi="等线" w:eastAsia="等线" w:cs="宋体"/>
                <w:kern w:val="0"/>
              </w:rPr>
            </w:pPr>
            <w:r>
              <w:rPr>
                <w:rFonts w:hint="eastAsia" w:ascii="等线" w:hAnsi="等线" w:eastAsia="等线" w:cs="宋体"/>
                <w:kern w:val="0"/>
              </w:rPr>
              <w:t>汇总价格：</w:t>
            </w:r>
          </w:p>
        </w:tc>
      </w:tr>
    </w:tbl>
    <w:p>
      <w:pPr>
        <w:pStyle w:val="54"/>
      </w:pPr>
      <w:r>
        <w:rPr>
          <w:rFonts w:hint="eastAsia" w:ascii="宋体" w:hAnsi="宋体"/>
          <w:b w:val="0"/>
          <w:bCs w:val="0"/>
        </w:rPr>
        <w:t>注：</w:t>
      </w:r>
      <w:r>
        <w:rPr>
          <w:rFonts w:hint="eastAsia"/>
        </w:rPr>
        <w:t xml:space="preserve"> </w:t>
      </w:r>
      <w:r>
        <w:rPr>
          <w:rFonts w:hint="eastAsia" w:ascii="宋体" w:hAnsi="宋体"/>
          <w:b w:val="0"/>
          <w:bCs w:val="0"/>
        </w:rPr>
        <w:t>报价均包含：税率、不含税价、含税价三种报价方式。</w:t>
      </w:r>
    </w:p>
    <w:p/>
    <w:p>
      <w:pPr>
        <w:pStyle w:val="54"/>
        <w:rPr>
          <w:rFonts w:hint="eastAsia"/>
        </w:rPr>
      </w:pPr>
    </w:p>
    <w:p>
      <w:pPr>
        <w:pStyle w:val="4"/>
        <w:numPr>
          <w:ilvl w:val="0"/>
          <w:numId w:val="0"/>
        </w:numPr>
        <w:spacing w:before="120"/>
        <w:rPr>
          <w:rFonts w:hint="eastAsia"/>
        </w:rPr>
      </w:pPr>
      <w:bookmarkStart w:id="506" w:name="_Toc3370"/>
      <w:bookmarkStart w:id="507" w:name="_Toc30122"/>
      <w:bookmarkStart w:id="508" w:name="_Toc10953"/>
      <w:r>
        <w:rPr>
          <w:rFonts w:hint="eastAsia"/>
        </w:rPr>
        <w:br w:type="page"/>
      </w:r>
      <w:r>
        <w:rPr>
          <w:rFonts w:hint="eastAsia"/>
        </w:rPr>
        <w:t>附件五：备品备件、易损件和专用耗材明细表</w:t>
      </w:r>
      <w:bookmarkEnd w:id="506"/>
      <w:bookmarkEnd w:id="507"/>
      <w:bookmarkEnd w:id="508"/>
    </w:p>
    <w:p>
      <w:pPr>
        <w:ind w:firstLine="480"/>
        <w:rPr>
          <w:rFonts w:hint="eastAsia"/>
        </w:rPr>
      </w:pPr>
    </w:p>
    <w:p>
      <w:pPr>
        <w:adjustRightInd w:val="0"/>
        <w:snapToGrid w:val="0"/>
        <w:spacing w:line="420" w:lineRule="exact"/>
        <w:jc w:val="center"/>
        <w:rPr>
          <w:rFonts w:hint="eastAsia" w:ascii="宋体" w:hAnsi="宋体"/>
          <w:b/>
          <w:bCs/>
          <w:sz w:val="32"/>
          <w:szCs w:val="32"/>
        </w:rPr>
      </w:pPr>
      <w:r>
        <w:rPr>
          <w:rFonts w:hint="eastAsia" w:ascii="宋体" w:hAnsi="宋体"/>
          <w:b/>
          <w:bCs/>
          <w:sz w:val="32"/>
          <w:szCs w:val="32"/>
        </w:rPr>
        <w:t>备品备件、易损件和专用耗材明细表</w:t>
      </w:r>
    </w:p>
    <w:p>
      <w:pPr>
        <w:adjustRightInd w:val="0"/>
        <w:snapToGrid w:val="0"/>
        <w:spacing w:line="420" w:lineRule="exact"/>
        <w:ind w:firstLine="480"/>
        <w:jc w:val="center"/>
        <w:rPr>
          <w:rFonts w:hint="eastAsia" w:ascii="宋体" w:hAnsi="宋体"/>
          <w:sz w:val="24"/>
          <w:szCs w:val="24"/>
        </w:rPr>
      </w:pPr>
      <w:r>
        <w:rPr>
          <w:rFonts w:hint="eastAsia" w:ascii="宋体" w:hAnsi="宋体"/>
          <w:sz w:val="24"/>
          <w:szCs w:val="24"/>
        </w:rPr>
        <w:t xml:space="preserve">                                                           </w:t>
      </w:r>
      <w:r>
        <w:rPr>
          <w:rFonts w:hint="eastAsia" w:ascii="宋体" w:hAnsi="宋体"/>
        </w:rPr>
        <w:t>单位：元</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24"/>
        <w:gridCol w:w="1236"/>
        <w:gridCol w:w="720"/>
        <w:gridCol w:w="720"/>
        <w:gridCol w:w="720"/>
        <w:gridCol w:w="72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noWrap w:val="0"/>
            <w:vAlign w:val="top"/>
          </w:tcPr>
          <w:p>
            <w:pPr>
              <w:adjustRightInd w:val="0"/>
              <w:snapToGrid w:val="0"/>
              <w:spacing w:line="360" w:lineRule="exact"/>
              <w:jc w:val="center"/>
              <w:rPr>
                <w:rFonts w:hint="eastAsia" w:ascii="宋体" w:hAnsi="宋体"/>
                <w:b/>
                <w:bCs/>
                <w:sz w:val="24"/>
                <w:szCs w:val="24"/>
              </w:rPr>
            </w:pPr>
            <w:r>
              <w:rPr>
                <w:rFonts w:hint="eastAsia" w:ascii="宋体" w:hAnsi="宋体"/>
                <w:b/>
                <w:bCs/>
                <w:sz w:val="24"/>
                <w:szCs w:val="24"/>
              </w:rPr>
              <w:t>序号</w:t>
            </w:r>
          </w:p>
        </w:tc>
        <w:tc>
          <w:tcPr>
            <w:tcW w:w="1924" w:type="dxa"/>
            <w:noWrap w:val="0"/>
            <w:vAlign w:val="top"/>
          </w:tcPr>
          <w:p>
            <w:pPr>
              <w:adjustRightInd w:val="0"/>
              <w:snapToGrid w:val="0"/>
              <w:spacing w:line="360" w:lineRule="exact"/>
              <w:jc w:val="center"/>
              <w:rPr>
                <w:rFonts w:hint="eastAsia" w:ascii="宋体" w:hAnsi="宋体"/>
                <w:b/>
                <w:bCs/>
                <w:sz w:val="24"/>
                <w:szCs w:val="24"/>
              </w:rPr>
            </w:pPr>
            <w:r>
              <w:rPr>
                <w:rFonts w:hint="eastAsia" w:ascii="宋体" w:hAnsi="宋体"/>
                <w:b/>
                <w:bCs/>
                <w:sz w:val="24"/>
                <w:szCs w:val="24"/>
              </w:rPr>
              <w:t>名称</w:t>
            </w:r>
          </w:p>
        </w:tc>
        <w:tc>
          <w:tcPr>
            <w:tcW w:w="1236" w:type="dxa"/>
            <w:noWrap w:val="0"/>
            <w:vAlign w:val="top"/>
          </w:tcPr>
          <w:p>
            <w:pPr>
              <w:adjustRightInd w:val="0"/>
              <w:snapToGrid w:val="0"/>
              <w:spacing w:line="360" w:lineRule="exact"/>
              <w:jc w:val="center"/>
              <w:rPr>
                <w:rFonts w:hint="eastAsia" w:ascii="宋体" w:hAnsi="宋体"/>
                <w:b/>
                <w:bCs/>
                <w:sz w:val="24"/>
                <w:szCs w:val="24"/>
              </w:rPr>
            </w:pPr>
            <w:r>
              <w:rPr>
                <w:rFonts w:hint="eastAsia" w:ascii="宋体" w:hAnsi="宋体"/>
                <w:b/>
                <w:bCs/>
                <w:sz w:val="24"/>
                <w:szCs w:val="24"/>
              </w:rPr>
              <w:t>型号规格</w:t>
            </w:r>
          </w:p>
        </w:tc>
        <w:tc>
          <w:tcPr>
            <w:tcW w:w="720" w:type="dxa"/>
            <w:noWrap w:val="0"/>
            <w:vAlign w:val="top"/>
          </w:tcPr>
          <w:p>
            <w:pPr>
              <w:adjustRightInd w:val="0"/>
              <w:snapToGrid w:val="0"/>
              <w:spacing w:line="360" w:lineRule="exact"/>
              <w:jc w:val="center"/>
              <w:rPr>
                <w:rFonts w:hint="eastAsia" w:ascii="宋体" w:hAnsi="宋体"/>
                <w:b/>
                <w:bCs/>
                <w:sz w:val="24"/>
                <w:szCs w:val="24"/>
              </w:rPr>
            </w:pPr>
            <w:r>
              <w:rPr>
                <w:rFonts w:hint="eastAsia" w:ascii="宋体" w:hAnsi="宋体"/>
                <w:b/>
                <w:bCs/>
                <w:sz w:val="24"/>
                <w:szCs w:val="24"/>
              </w:rPr>
              <w:t>单位</w:t>
            </w:r>
          </w:p>
        </w:tc>
        <w:tc>
          <w:tcPr>
            <w:tcW w:w="720" w:type="dxa"/>
            <w:noWrap w:val="0"/>
            <w:vAlign w:val="top"/>
          </w:tcPr>
          <w:p>
            <w:pPr>
              <w:adjustRightInd w:val="0"/>
              <w:snapToGrid w:val="0"/>
              <w:spacing w:line="360" w:lineRule="exact"/>
              <w:jc w:val="center"/>
              <w:rPr>
                <w:rFonts w:hint="eastAsia" w:ascii="宋体" w:hAnsi="宋体"/>
                <w:b/>
                <w:bCs/>
                <w:sz w:val="24"/>
                <w:szCs w:val="24"/>
              </w:rPr>
            </w:pPr>
            <w:r>
              <w:rPr>
                <w:rFonts w:hint="eastAsia" w:ascii="宋体" w:hAnsi="宋体"/>
                <w:b/>
                <w:bCs/>
                <w:sz w:val="24"/>
                <w:szCs w:val="24"/>
              </w:rPr>
              <w:t>数量</w:t>
            </w:r>
          </w:p>
        </w:tc>
        <w:tc>
          <w:tcPr>
            <w:tcW w:w="720" w:type="dxa"/>
            <w:noWrap w:val="0"/>
            <w:vAlign w:val="top"/>
          </w:tcPr>
          <w:p>
            <w:pPr>
              <w:adjustRightInd w:val="0"/>
              <w:snapToGrid w:val="0"/>
              <w:spacing w:line="360" w:lineRule="exact"/>
              <w:jc w:val="center"/>
              <w:rPr>
                <w:rFonts w:hint="eastAsia" w:ascii="宋体" w:hAnsi="宋体"/>
                <w:b/>
                <w:bCs/>
                <w:sz w:val="24"/>
                <w:szCs w:val="24"/>
              </w:rPr>
            </w:pPr>
            <w:r>
              <w:rPr>
                <w:rFonts w:hint="eastAsia" w:ascii="宋体" w:hAnsi="宋体"/>
                <w:b/>
                <w:bCs/>
                <w:sz w:val="24"/>
                <w:szCs w:val="24"/>
              </w:rPr>
              <w:t>单价</w:t>
            </w:r>
          </w:p>
        </w:tc>
        <w:tc>
          <w:tcPr>
            <w:tcW w:w="720" w:type="dxa"/>
            <w:noWrap w:val="0"/>
            <w:vAlign w:val="top"/>
          </w:tcPr>
          <w:p>
            <w:pPr>
              <w:adjustRightInd w:val="0"/>
              <w:snapToGrid w:val="0"/>
              <w:spacing w:line="360" w:lineRule="exact"/>
              <w:jc w:val="center"/>
              <w:rPr>
                <w:rFonts w:hint="eastAsia" w:ascii="宋体" w:hAnsi="宋体"/>
                <w:b/>
                <w:bCs/>
                <w:sz w:val="24"/>
                <w:szCs w:val="24"/>
              </w:rPr>
            </w:pPr>
            <w:r>
              <w:rPr>
                <w:rFonts w:hint="eastAsia" w:ascii="宋体" w:hAnsi="宋体"/>
                <w:b/>
                <w:bCs/>
                <w:sz w:val="24"/>
                <w:szCs w:val="24"/>
              </w:rPr>
              <w:t>总价</w:t>
            </w:r>
          </w:p>
        </w:tc>
        <w:tc>
          <w:tcPr>
            <w:tcW w:w="2235" w:type="dxa"/>
            <w:noWrap w:val="0"/>
            <w:vAlign w:val="top"/>
          </w:tcPr>
          <w:p>
            <w:pPr>
              <w:adjustRightInd w:val="0"/>
              <w:snapToGrid w:val="0"/>
              <w:spacing w:line="360" w:lineRule="exact"/>
              <w:jc w:val="center"/>
              <w:rPr>
                <w:rFonts w:hint="eastAsia" w:ascii="宋体" w:hAnsi="宋体"/>
                <w:b/>
                <w:bCs/>
                <w:sz w:val="24"/>
                <w:szCs w:val="24"/>
              </w:rPr>
            </w:pPr>
            <w:r>
              <w:rPr>
                <w:rFonts w:hint="eastAsia" w:ascii="宋体" w:hAnsi="宋体"/>
                <w:b/>
                <w:bCs/>
                <w:sz w:val="24"/>
                <w:szCs w:val="24"/>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6" w:type="dxa"/>
            <w:noWrap w:val="0"/>
            <w:vAlign w:val="top"/>
          </w:tcPr>
          <w:p>
            <w:pPr>
              <w:adjustRightInd w:val="0"/>
              <w:snapToGrid w:val="0"/>
              <w:spacing w:line="360" w:lineRule="exact"/>
              <w:ind w:firstLine="480"/>
              <w:jc w:val="center"/>
              <w:rPr>
                <w:rFonts w:hint="eastAsia" w:ascii="宋体" w:hAnsi="宋体"/>
                <w:sz w:val="24"/>
                <w:szCs w:val="24"/>
              </w:rPr>
            </w:pPr>
          </w:p>
        </w:tc>
        <w:tc>
          <w:tcPr>
            <w:tcW w:w="1924" w:type="dxa"/>
            <w:noWrap w:val="0"/>
            <w:vAlign w:val="top"/>
          </w:tcPr>
          <w:p>
            <w:pPr>
              <w:adjustRightInd w:val="0"/>
              <w:snapToGrid w:val="0"/>
              <w:spacing w:line="360" w:lineRule="exact"/>
              <w:ind w:firstLine="480"/>
              <w:rPr>
                <w:rFonts w:hint="eastAsia" w:ascii="宋体" w:hAnsi="宋体"/>
                <w:sz w:val="24"/>
                <w:szCs w:val="24"/>
              </w:rPr>
            </w:pPr>
          </w:p>
        </w:tc>
        <w:tc>
          <w:tcPr>
            <w:tcW w:w="1236" w:type="dxa"/>
            <w:noWrap w:val="0"/>
            <w:vAlign w:val="top"/>
          </w:tcPr>
          <w:p>
            <w:pPr>
              <w:adjustRightInd w:val="0"/>
              <w:snapToGrid w:val="0"/>
              <w:spacing w:line="360" w:lineRule="exact"/>
              <w:ind w:firstLine="480"/>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2235" w:type="dxa"/>
            <w:noWrap w:val="0"/>
            <w:vAlign w:val="top"/>
          </w:tcPr>
          <w:p>
            <w:pPr>
              <w:adjustRightInd w:val="0"/>
              <w:snapToGrid w:val="0"/>
              <w:spacing w:line="360" w:lineRule="exact"/>
              <w:ind w:firstLine="48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6" w:type="dxa"/>
            <w:noWrap w:val="0"/>
            <w:vAlign w:val="top"/>
          </w:tcPr>
          <w:p>
            <w:pPr>
              <w:adjustRightInd w:val="0"/>
              <w:snapToGrid w:val="0"/>
              <w:spacing w:line="360" w:lineRule="exact"/>
              <w:ind w:firstLine="480"/>
              <w:jc w:val="center"/>
              <w:rPr>
                <w:rFonts w:hint="eastAsia" w:ascii="宋体" w:hAnsi="宋体"/>
                <w:sz w:val="24"/>
                <w:szCs w:val="24"/>
              </w:rPr>
            </w:pPr>
          </w:p>
        </w:tc>
        <w:tc>
          <w:tcPr>
            <w:tcW w:w="1924" w:type="dxa"/>
            <w:noWrap w:val="0"/>
            <w:vAlign w:val="top"/>
          </w:tcPr>
          <w:p>
            <w:pPr>
              <w:adjustRightInd w:val="0"/>
              <w:snapToGrid w:val="0"/>
              <w:spacing w:line="360" w:lineRule="exact"/>
              <w:ind w:firstLine="480"/>
              <w:rPr>
                <w:rFonts w:hint="eastAsia" w:ascii="宋体" w:hAnsi="宋体"/>
                <w:sz w:val="24"/>
                <w:szCs w:val="24"/>
              </w:rPr>
            </w:pPr>
          </w:p>
        </w:tc>
        <w:tc>
          <w:tcPr>
            <w:tcW w:w="1236" w:type="dxa"/>
            <w:noWrap w:val="0"/>
            <w:vAlign w:val="top"/>
          </w:tcPr>
          <w:p>
            <w:pPr>
              <w:adjustRightInd w:val="0"/>
              <w:snapToGrid w:val="0"/>
              <w:spacing w:line="360" w:lineRule="exact"/>
              <w:ind w:firstLine="480"/>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2235" w:type="dxa"/>
            <w:noWrap w:val="0"/>
            <w:vAlign w:val="top"/>
          </w:tcPr>
          <w:p>
            <w:pPr>
              <w:adjustRightInd w:val="0"/>
              <w:snapToGrid w:val="0"/>
              <w:spacing w:line="360" w:lineRule="exact"/>
              <w:ind w:firstLine="48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6" w:type="dxa"/>
            <w:noWrap w:val="0"/>
            <w:vAlign w:val="top"/>
          </w:tcPr>
          <w:p>
            <w:pPr>
              <w:adjustRightInd w:val="0"/>
              <w:snapToGrid w:val="0"/>
              <w:spacing w:line="360" w:lineRule="exact"/>
              <w:ind w:firstLine="480"/>
              <w:jc w:val="center"/>
              <w:rPr>
                <w:rFonts w:hint="eastAsia" w:ascii="宋体" w:hAnsi="宋体"/>
                <w:sz w:val="24"/>
                <w:szCs w:val="24"/>
              </w:rPr>
            </w:pPr>
          </w:p>
        </w:tc>
        <w:tc>
          <w:tcPr>
            <w:tcW w:w="1924" w:type="dxa"/>
            <w:noWrap w:val="0"/>
            <w:vAlign w:val="top"/>
          </w:tcPr>
          <w:p>
            <w:pPr>
              <w:adjustRightInd w:val="0"/>
              <w:snapToGrid w:val="0"/>
              <w:spacing w:line="360" w:lineRule="exact"/>
              <w:ind w:firstLine="480"/>
              <w:rPr>
                <w:rFonts w:hint="eastAsia" w:ascii="宋体" w:hAnsi="宋体"/>
                <w:sz w:val="24"/>
                <w:szCs w:val="24"/>
              </w:rPr>
            </w:pPr>
          </w:p>
        </w:tc>
        <w:tc>
          <w:tcPr>
            <w:tcW w:w="1236" w:type="dxa"/>
            <w:noWrap w:val="0"/>
            <w:vAlign w:val="top"/>
          </w:tcPr>
          <w:p>
            <w:pPr>
              <w:adjustRightInd w:val="0"/>
              <w:snapToGrid w:val="0"/>
              <w:spacing w:line="360" w:lineRule="exact"/>
              <w:ind w:firstLine="480"/>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2235" w:type="dxa"/>
            <w:noWrap w:val="0"/>
            <w:vAlign w:val="top"/>
          </w:tcPr>
          <w:p>
            <w:pPr>
              <w:adjustRightInd w:val="0"/>
              <w:snapToGrid w:val="0"/>
              <w:spacing w:line="360" w:lineRule="exact"/>
              <w:ind w:firstLine="48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6" w:type="dxa"/>
            <w:noWrap w:val="0"/>
            <w:vAlign w:val="top"/>
          </w:tcPr>
          <w:p>
            <w:pPr>
              <w:adjustRightInd w:val="0"/>
              <w:snapToGrid w:val="0"/>
              <w:spacing w:line="360" w:lineRule="exact"/>
              <w:ind w:firstLine="480"/>
              <w:jc w:val="center"/>
              <w:rPr>
                <w:rFonts w:hint="eastAsia" w:ascii="宋体" w:hAnsi="宋体"/>
                <w:sz w:val="24"/>
                <w:szCs w:val="24"/>
              </w:rPr>
            </w:pPr>
          </w:p>
        </w:tc>
        <w:tc>
          <w:tcPr>
            <w:tcW w:w="1924" w:type="dxa"/>
            <w:noWrap w:val="0"/>
            <w:vAlign w:val="top"/>
          </w:tcPr>
          <w:p>
            <w:pPr>
              <w:adjustRightInd w:val="0"/>
              <w:snapToGrid w:val="0"/>
              <w:spacing w:line="360" w:lineRule="exact"/>
              <w:ind w:firstLine="480"/>
              <w:rPr>
                <w:rFonts w:hint="eastAsia" w:ascii="宋体" w:hAnsi="宋体"/>
                <w:sz w:val="24"/>
                <w:szCs w:val="24"/>
              </w:rPr>
            </w:pPr>
          </w:p>
        </w:tc>
        <w:tc>
          <w:tcPr>
            <w:tcW w:w="1236" w:type="dxa"/>
            <w:noWrap w:val="0"/>
            <w:vAlign w:val="top"/>
          </w:tcPr>
          <w:p>
            <w:pPr>
              <w:adjustRightInd w:val="0"/>
              <w:snapToGrid w:val="0"/>
              <w:spacing w:line="360" w:lineRule="exact"/>
              <w:ind w:firstLine="480"/>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2235" w:type="dxa"/>
            <w:noWrap w:val="0"/>
            <w:vAlign w:val="top"/>
          </w:tcPr>
          <w:p>
            <w:pPr>
              <w:adjustRightInd w:val="0"/>
              <w:snapToGrid w:val="0"/>
              <w:spacing w:line="360" w:lineRule="exact"/>
              <w:ind w:firstLine="48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6" w:type="dxa"/>
            <w:noWrap w:val="0"/>
            <w:vAlign w:val="top"/>
          </w:tcPr>
          <w:p>
            <w:pPr>
              <w:adjustRightInd w:val="0"/>
              <w:snapToGrid w:val="0"/>
              <w:spacing w:line="360" w:lineRule="exact"/>
              <w:ind w:firstLine="480"/>
              <w:jc w:val="center"/>
              <w:rPr>
                <w:rFonts w:hint="eastAsia" w:ascii="宋体" w:hAnsi="宋体"/>
                <w:sz w:val="24"/>
                <w:szCs w:val="24"/>
              </w:rPr>
            </w:pPr>
          </w:p>
        </w:tc>
        <w:tc>
          <w:tcPr>
            <w:tcW w:w="1924" w:type="dxa"/>
            <w:noWrap w:val="0"/>
            <w:vAlign w:val="top"/>
          </w:tcPr>
          <w:p>
            <w:pPr>
              <w:adjustRightInd w:val="0"/>
              <w:snapToGrid w:val="0"/>
              <w:spacing w:line="360" w:lineRule="exact"/>
              <w:ind w:firstLine="480"/>
              <w:rPr>
                <w:rFonts w:hint="eastAsia" w:ascii="宋体" w:hAnsi="宋体"/>
                <w:sz w:val="24"/>
                <w:szCs w:val="24"/>
              </w:rPr>
            </w:pPr>
          </w:p>
        </w:tc>
        <w:tc>
          <w:tcPr>
            <w:tcW w:w="1236" w:type="dxa"/>
            <w:noWrap w:val="0"/>
            <w:vAlign w:val="top"/>
          </w:tcPr>
          <w:p>
            <w:pPr>
              <w:adjustRightInd w:val="0"/>
              <w:snapToGrid w:val="0"/>
              <w:spacing w:line="360" w:lineRule="exact"/>
              <w:ind w:firstLine="480"/>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2235" w:type="dxa"/>
            <w:noWrap w:val="0"/>
            <w:vAlign w:val="top"/>
          </w:tcPr>
          <w:p>
            <w:pPr>
              <w:adjustRightInd w:val="0"/>
              <w:snapToGrid w:val="0"/>
              <w:spacing w:line="360" w:lineRule="exact"/>
              <w:ind w:firstLine="48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6" w:type="dxa"/>
            <w:noWrap w:val="0"/>
            <w:vAlign w:val="top"/>
          </w:tcPr>
          <w:p>
            <w:pPr>
              <w:adjustRightInd w:val="0"/>
              <w:snapToGrid w:val="0"/>
              <w:spacing w:line="360" w:lineRule="exact"/>
              <w:ind w:firstLine="480"/>
              <w:jc w:val="center"/>
              <w:rPr>
                <w:rFonts w:hint="eastAsia" w:ascii="宋体" w:hAnsi="宋体"/>
                <w:sz w:val="24"/>
                <w:szCs w:val="24"/>
              </w:rPr>
            </w:pPr>
          </w:p>
        </w:tc>
        <w:tc>
          <w:tcPr>
            <w:tcW w:w="1924" w:type="dxa"/>
            <w:noWrap w:val="0"/>
            <w:vAlign w:val="top"/>
          </w:tcPr>
          <w:p>
            <w:pPr>
              <w:adjustRightInd w:val="0"/>
              <w:snapToGrid w:val="0"/>
              <w:spacing w:line="360" w:lineRule="exact"/>
              <w:ind w:firstLine="480"/>
              <w:rPr>
                <w:rFonts w:hint="eastAsia" w:ascii="宋体" w:hAnsi="宋体"/>
                <w:sz w:val="24"/>
                <w:szCs w:val="24"/>
              </w:rPr>
            </w:pPr>
          </w:p>
        </w:tc>
        <w:tc>
          <w:tcPr>
            <w:tcW w:w="1236" w:type="dxa"/>
            <w:noWrap w:val="0"/>
            <w:vAlign w:val="top"/>
          </w:tcPr>
          <w:p>
            <w:pPr>
              <w:adjustRightInd w:val="0"/>
              <w:snapToGrid w:val="0"/>
              <w:spacing w:line="360" w:lineRule="exact"/>
              <w:ind w:firstLine="480"/>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2235" w:type="dxa"/>
            <w:noWrap w:val="0"/>
            <w:vAlign w:val="top"/>
          </w:tcPr>
          <w:p>
            <w:pPr>
              <w:adjustRightInd w:val="0"/>
              <w:snapToGrid w:val="0"/>
              <w:spacing w:line="360" w:lineRule="exact"/>
              <w:ind w:firstLine="48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6" w:type="dxa"/>
            <w:noWrap w:val="0"/>
            <w:vAlign w:val="top"/>
          </w:tcPr>
          <w:p>
            <w:pPr>
              <w:adjustRightInd w:val="0"/>
              <w:snapToGrid w:val="0"/>
              <w:spacing w:line="360" w:lineRule="exact"/>
              <w:ind w:firstLine="480"/>
              <w:jc w:val="center"/>
              <w:rPr>
                <w:rFonts w:hint="eastAsia" w:ascii="宋体" w:hAnsi="宋体"/>
                <w:sz w:val="24"/>
                <w:szCs w:val="24"/>
              </w:rPr>
            </w:pPr>
          </w:p>
        </w:tc>
        <w:tc>
          <w:tcPr>
            <w:tcW w:w="1924" w:type="dxa"/>
            <w:noWrap w:val="0"/>
            <w:vAlign w:val="top"/>
          </w:tcPr>
          <w:p>
            <w:pPr>
              <w:adjustRightInd w:val="0"/>
              <w:snapToGrid w:val="0"/>
              <w:spacing w:line="360" w:lineRule="exact"/>
              <w:ind w:firstLine="480"/>
              <w:rPr>
                <w:rFonts w:hint="eastAsia" w:ascii="宋体" w:hAnsi="宋体"/>
                <w:sz w:val="24"/>
                <w:szCs w:val="24"/>
              </w:rPr>
            </w:pPr>
          </w:p>
        </w:tc>
        <w:tc>
          <w:tcPr>
            <w:tcW w:w="1236" w:type="dxa"/>
            <w:noWrap w:val="0"/>
            <w:vAlign w:val="top"/>
          </w:tcPr>
          <w:p>
            <w:pPr>
              <w:adjustRightInd w:val="0"/>
              <w:snapToGrid w:val="0"/>
              <w:spacing w:line="360" w:lineRule="exact"/>
              <w:ind w:firstLine="480"/>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2235" w:type="dxa"/>
            <w:noWrap w:val="0"/>
            <w:vAlign w:val="top"/>
          </w:tcPr>
          <w:p>
            <w:pPr>
              <w:adjustRightInd w:val="0"/>
              <w:snapToGrid w:val="0"/>
              <w:spacing w:line="360" w:lineRule="exact"/>
              <w:ind w:firstLine="48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6" w:type="dxa"/>
            <w:noWrap w:val="0"/>
            <w:vAlign w:val="top"/>
          </w:tcPr>
          <w:p>
            <w:pPr>
              <w:adjustRightInd w:val="0"/>
              <w:snapToGrid w:val="0"/>
              <w:spacing w:line="360" w:lineRule="exact"/>
              <w:ind w:firstLine="480"/>
              <w:jc w:val="center"/>
              <w:rPr>
                <w:rFonts w:hint="eastAsia" w:ascii="宋体" w:hAnsi="宋体"/>
                <w:sz w:val="24"/>
                <w:szCs w:val="24"/>
              </w:rPr>
            </w:pPr>
          </w:p>
        </w:tc>
        <w:tc>
          <w:tcPr>
            <w:tcW w:w="1924" w:type="dxa"/>
            <w:noWrap w:val="0"/>
            <w:vAlign w:val="top"/>
          </w:tcPr>
          <w:p>
            <w:pPr>
              <w:adjustRightInd w:val="0"/>
              <w:snapToGrid w:val="0"/>
              <w:spacing w:line="360" w:lineRule="exact"/>
              <w:ind w:firstLine="480"/>
              <w:rPr>
                <w:rFonts w:hint="eastAsia" w:ascii="宋体" w:hAnsi="宋体"/>
                <w:sz w:val="24"/>
                <w:szCs w:val="24"/>
              </w:rPr>
            </w:pPr>
          </w:p>
        </w:tc>
        <w:tc>
          <w:tcPr>
            <w:tcW w:w="1236" w:type="dxa"/>
            <w:noWrap w:val="0"/>
            <w:vAlign w:val="top"/>
          </w:tcPr>
          <w:p>
            <w:pPr>
              <w:adjustRightInd w:val="0"/>
              <w:snapToGrid w:val="0"/>
              <w:spacing w:line="360" w:lineRule="exact"/>
              <w:ind w:firstLine="480"/>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2235" w:type="dxa"/>
            <w:noWrap w:val="0"/>
            <w:vAlign w:val="top"/>
          </w:tcPr>
          <w:p>
            <w:pPr>
              <w:adjustRightInd w:val="0"/>
              <w:snapToGrid w:val="0"/>
              <w:spacing w:line="360" w:lineRule="exact"/>
              <w:ind w:firstLine="48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6" w:type="dxa"/>
            <w:noWrap w:val="0"/>
            <w:vAlign w:val="top"/>
          </w:tcPr>
          <w:p>
            <w:pPr>
              <w:adjustRightInd w:val="0"/>
              <w:snapToGrid w:val="0"/>
              <w:spacing w:line="360" w:lineRule="exact"/>
              <w:ind w:firstLine="480"/>
              <w:jc w:val="center"/>
              <w:rPr>
                <w:rFonts w:hint="eastAsia" w:ascii="宋体" w:hAnsi="宋体"/>
                <w:sz w:val="24"/>
                <w:szCs w:val="24"/>
              </w:rPr>
            </w:pPr>
          </w:p>
        </w:tc>
        <w:tc>
          <w:tcPr>
            <w:tcW w:w="1924" w:type="dxa"/>
            <w:noWrap w:val="0"/>
            <w:vAlign w:val="top"/>
          </w:tcPr>
          <w:p>
            <w:pPr>
              <w:adjustRightInd w:val="0"/>
              <w:snapToGrid w:val="0"/>
              <w:spacing w:line="360" w:lineRule="exact"/>
              <w:ind w:firstLine="480"/>
              <w:rPr>
                <w:rFonts w:hint="eastAsia" w:ascii="宋体" w:hAnsi="宋体"/>
                <w:sz w:val="24"/>
                <w:szCs w:val="24"/>
              </w:rPr>
            </w:pPr>
          </w:p>
        </w:tc>
        <w:tc>
          <w:tcPr>
            <w:tcW w:w="1236" w:type="dxa"/>
            <w:noWrap w:val="0"/>
            <w:vAlign w:val="top"/>
          </w:tcPr>
          <w:p>
            <w:pPr>
              <w:adjustRightInd w:val="0"/>
              <w:snapToGrid w:val="0"/>
              <w:spacing w:line="360" w:lineRule="exact"/>
              <w:ind w:firstLine="480"/>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2235" w:type="dxa"/>
            <w:noWrap w:val="0"/>
            <w:vAlign w:val="top"/>
          </w:tcPr>
          <w:p>
            <w:pPr>
              <w:adjustRightInd w:val="0"/>
              <w:snapToGrid w:val="0"/>
              <w:spacing w:line="360" w:lineRule="exact"/>
              <w:ind w:firstLine="48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6" w:type="dxa"/>
            <w:noWrap w:val="0"/>
            <w:vAlign w:val="top"/>
          </w:tcPr>
          <w:p>
            <w:pPr>
              <w:adjustRightInd w:val="0"/>
              <w:snapToGrid w:val="0"/>
              <w:spacing w:line="360" w:lineRule="exact"/>
              <w:ind w:firstLine="480"/>
              <w:jc w:val="center"/>
              <w:rPr>
                <w:rFonts w:hint="eastAsia" w:ascii="宋体" w:hAnsi="宋体"/>
                <w:sz w:val="24"/>
                <w:szCs w:val="24"/>
              </w:rPr>
            </w:pPr>
          </w:p>
        </w:tc>
        <w:tc>
          <w:tcPr>
            <w:tcW w:w="1924" w:type="dxa"/>
            <w:noWrap w:val="0"/>
            <w:vAlign w:val="top"/>
          </w:tcPr>
          <w:p>
            <w:pPr>
              <w:adjustRightInd w:val="0"/>
              <w:snapToGrid w:val="0"/>
              <w:spacing w:line="360" w:lineRule="exact"/>
              <w:ind w:firstLine="480"/>
              <w:rPr>
                <w:rFonts w:hint="eastAsia" w:ascii="宋体" w:hAnsi="宋体"/>
                <w:sz w:val="24"/>
                <w:szCs w:val="24"/>
              </w:rPr>
            </w:pPr>
          </w:p>
        </w:tc>
        <w:tc>
          <w:tcPr>
            <w:tcW w:w="1236" w:type="dxa"/>
            <w:noWrap w:val="0"/>
            <w:vAlign w:val="top"/>
          </w:tcPr>
          <w:p>
            <w:pPr>
              <w:adjustRightInd w:val="0"/>
              <w:snapToGrid w:val="0"/>
              <w:spacing w:line="360" w:lineRule="exact"/>
              <w:ind w:firstLine="480"/>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2235" w:type="dxa"/>
            <w:noWrap w:val="0"/>
            <w:vAlign w:val="top"/>
          </w:tcPr>
          <w:p>
            <w:pPr>
              <w:adjustRightInd w:val="0"/>
              <w:snapToGrid w:val="0"/>
              <w:spacing w:line="360" w:lineRule="exact"/>
              <w:ind w:firstLine="48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6" w:type="dxa"/>
            <w:noWrap w:val="0"/>
            <w:vAlign w:val="top"/>
          </w:tcPr>
          <w:p>
            <w:pPr>
              <w:adjustRightInd w:val="0"/>
              <w:snapToGrid w:val="0"/>
              <w:spacing w:line="360" w:lineRule="exact"/>
              <w:ind w:firstLine="480"/>
              <w:jc w:val="center"/>
              <w:rPr>
                <w:rFonts w:hint="eastAsia" w:ascii="宋体" w:hAnsi="宋体"/>
                <w:sz w:val="24"/>
                <w:szCs w:val="24"/>
              </w:rPr>
            </w:pPr>
          </w:p>
        </w:tc>
        <w:tc>
          <w:tcPr>
            <w:tcW w:w="1924" w:type="dxa"/>
            <w:noWrap w:val="0"/>
            <w:vAlign w:val="top"/>
          </w:tcPr>
          <w:p>
            <w:pPr>
              <w:adjustRightInd w:val="0"/>
              <w:snapToGrid w:val="0"/>
              <w:spacing w:line="360" w:lineRule="exact"/>
              <w:ind w:firstLine="480"/>
              <w:rPr>
                <w:rFonts w:hint="eastAsia" w:ascii="宋体" w:hAnsi="宋体"/>
                <w:sz w:val="24"/>
                <w:szCs w:val="24"/>
              </w:rPr>
            </w:pPr>
          </w:p>
        </w:tc>
        <w:tc>
          <w:tcPr>
            <w:tcW w:w="1236" w:type="dxa"/>
            <w:noWrap w:val="0"/>
            <w:vAlign w:val="top"/>
          </w:tcPr>
          <w:p>
            <w:pPr>
              <w:adjustRightInd w:val="0"/>
              <w:snapToGrid w:val="0"/>
              <w:spacing w:line="360" w:lineRule="exact"/>
              <w:ind w:firstLine="480"/>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2235" w:type="dxa"/>
            <w:noWrap w:val="0"/>
            <w:vAlign w:val="top"/>
          </w:tcPr>
          <w:p>
            <w:pPr>
              <w:adjustRightInd w:val="0"/>
              <w:snapToGrid w:val="0"/>
              <w:spacing w:line="360" w:lineRule="exact"/>
              <w:ind w:firstLine="48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6" w:type="dxa"/>
            <w:noWrap w:val="0"/>
            <w:vAlign w:val="top"/>
          </w:tcPr>
          <w:p>
            <w:pPr>
              <w:adjustRightInd w:val="0"/>
              <w:snapToGrid w:val="0"/>
              <w:spacing w:line="360" w:lineRule="exact"/>
              <w:ind w:firstLine="480"/>
              <w:jc w:val="center"/>
              <w:rPr>
                <w:rFonts w:hint="eastAsia" w:ascii="宋体" w:hAnsi="宋体"/>
                <w:sz w:val="24"/>
                <w:szCs w:val="24"/>
              </w:rPr>
            </w:pPr>
          </w:p>
        </w:tc>
        <w:tc>
          <w:tcPr>
            <w:tcW w:w="1924" w:type="dxa"/>
            <w:noWrap w:val="0"/>
            <w:vAlign w:val="top"/>
          </w:tcPr>
          <w:p>
            <w:pPr>
              <w:adjustRightInd w:val="0"/>
              <w:snapToGrid w:val="0"/>
              <w:spacing w:line="360" w:lineRule="exact"/>
              <w:ind w:firstLine="480"/>
              <w:rPr>
                <w:rFonts w:hint="eastAsia" w:ascii="宋体" w:hAnsi="宋体"/>
                <w:sz w:val="24"/>
                <w:szCs w:val="24"/>
              </w:rPr>
            </w:pPr>
          </w:p>
        </w:tc>
        <w:tc>
          <w:tcPr>
            <w:tcW w:w="1236" w:type="dxa"/>
            <w:noWrap w:val="0"/>
            <w:vAlign w:val="top"/>
          </w:tcPr>
          <w:p>
            <w:pPr>
              <w:adjustRightInd w:val="0"/>
              <w:snapToGrid w:val="0"/>
              <w:spacing w:line="360" w:lineRule="exact"/>
              <w:ind w:firstLine="480"/>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2235" w:type="dxa"/>
            <w:noWrap w:val="0"/>
            <w:vAlign w:val="top"/>
          </w:tcPr>
          <w:p>
            <w:pPr>
              <w:adjustRightInd w:val="0"/>
              <w:snapToGrid w:val="0"/>
              <w:spacing w:line="360" w:lineRule="exact"/>
              <w:ind w:firstLine="48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6" w:type="dxa"/>
            <w:noWrap w:val="0"/>
            <w:vAlign w:val="top"/>
          </w:tcPr>
          <w:p>
            <w:pPr>
              <w:adjustRightInd w:val="0"/>
              <w:snapToGrid w:val="0"/>
              <w:spacing w:line="360" w:lineRule="exact"/>
              <w:ind w:firstLine="480"/>
              <w:jc w:val="center"/>
              <w:rPr>
                <w:rFonts w:hint="eastAsia" w:ascii="宋体" w:hAnsi="宋体"/>
                <w:sz w:val="24"/>
                <w:szCs w:val="24"/>
              </w:rPr>
            </w:pPr>
          </w:p>
        </w:tc>
        <w:tc>
          <w:tcPr>
            <w:tcW w:w="1924" w:type="dxa"/>
            <w:noWrap w:val="0"/>
            <w:vAlign w:val="top"/>
          </w:tcPr>
          <w:p>
            <w:pPr>
              <w:adjustRightInd w:val="0"/>
              <w:snapToGrid w:val="0"/>
              <w:spacing w:line="360" w:lineRule="exact"/>
              <w:ind w:firstLine="480"/>
              <w:rPr>
                <w:rFonts w:hint="eastAsia" w:ascii="宋体" w:hAnsi="宋体"/>
                <w:sz w:val="24"/>
                <w:szCs w:val="24"/>
              </w:rPr>
            </w:pPr>
          </w:p>
        </w:tc>
        <w:tc>
          <w:tcPr>
            <w:tcW w:w="1236" w:type="dxa"/>
            <w:noWrap w:val="0"/>
            <w:vAlign w:val="top"/>
          </w:tcPr>
          <w:p>
            <w:pPr>
              <w:adjustRightInd w:val="0"/>
              <w:snapToGrid w:val="0"/>
              <w:spacing w:line="360" w:lineRule="exact"/>
              <w:ind w:firstLine="480"/>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720" w:type="dxa"/>
            <w:noWrap w:val="0"/>
            <w:vAlign w:val="top"/>
          </w:tcPr>
          <w:p>
            <w:pPr>
              <w:adjustRightInd w:val="0"/>
              <w:snapToGrid w:val="0"/>
              <w:spacing w:line="360" w:lineRule="exact"/>
              <w:ind w:firstLine="480"/>
              <w:jc w:val="center"/>
              <w:rPr>
                <w:rFonts w:hint="eastAsia" w:ascii="宋体" w:hAnsi="宋体"/>
                <w:sz w:val="24"/>
                <w:szCs w:val="24"/>
              </w:rPr>
            </w:pPr>
          </w:p>
        </w:tc>
        <w:tc>
          <w:tcPr>
            <w:tcW w:w="2235" w:type="dxa"/>
            <w:noWrap w:val="0"/>
            <w:vAlign w:val="top"/>
          </w:tcPr>
          <w:p>
            <w:pPr>
              <w:adjustRightInd w:val="0"/>
              <w:snapToGrid w:val="0"/>
              <w:spacing w:line="360" w:lineRule="exact"/>
              <w:ind w:firstLine="480"/>
              <w:rPr>
                <w:rFonts w:hint="eastAsia" w:ascii="宋体" w:hAnsi="宋体"/>
                <w:sz w:val="24"/>
                <w:szCs w:val="24"/>
              </w:rPr>
            </w:pPr>
          </w:p>
        </w:tc>
      </w:tr>
    </w:tbl>
    <w:p>
      <w:pPr>
        <w:ind w:firstLine="480"/>
        <w:rPr>
          <w:rFonts w:hint="eastAsia"/>
          <w:sz w:val="24"/>
          <w:szCs w:val="24"/>
        </w:rPr>
      </w:pPr>
    </w:p>
    <w:p>
      <w:pPr>
        <w:ind w:firstLine="480"/>
        <w:rPr>
          <w:rFonts w:hint="eastAsia"/>
        </w:rPr>
      </w:pPr>
    </w:p>
    <w:p>
      <w:pPr>
        <w:ind w:firstLine="480"/>
        <w:rPr>
          <w:rFonts w:hint="eastAsia"/>
        </w:rPr>
      </w:pPr>
    </w:p>
    <w:p>
      <w:pPr>
        <w:spacing w:line="540" w:lineRule="exact"/>
        <w:ind w:firstLine="480"/>
        <w:rPr>
          <w:rFonts w:hint="eastAsia" w:ascii="宋体" w:hAnsi="宋体"/>
          <w:sz w:val="24"/>
        </w:rPr>
      </w:pPr>
      <w:r>
        <w:rPr>
          <w:rFonts w:hint="eastAsia" w:ascii="宋体" w:hAnsi="宋体"/>
          <w:sz w:val="24"/>
        </w:rPr>
        <w:t>投标人：（盖章）</w:t>
      </w:r>
    </w:p>
    <w:p>
      <w:pPr>
        <w:spacing w:line="540" w:lineRule="exact"/>
        <w:ind w:firstLine="480"/>
        <w:rPr>
          <w:rFonts w:hint="eastAsia" w:ascii="宋体" w:hAnsi="宋体"/>
          <w:sz w:val="24"/>
        </w:rPr>
      </w:pPr>
      <w:r>
        <w:rPr>
          <w:rFonts w:hint="eastAsia" w:ascii="宋体" w:hAnsi="宋体"/>
          <w:sz w:val="24"/>
        </w:rPr>
        <w:t>法定代表人（委托代理人）：（签字）</w:t>
      </w:r>
    </w:p>
    <w:p>
      <w:pPr>
        <w:spacing w:line="540" w:lineRule="exact"/>
        <w:ind w:firstLine="48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22"/>
        <w:ind w:firstLine="480"/>
        <w:rPr>
          <w:rFonts w:hint="eastAsia" w:ascii="宋体" w:hAnsi="宋体"/>
          <w:sz w:val="24"/>
        </w:rPr>
      </w:pPr>
    </w:p>
    <w:p>
      <w:pPr>
        <w:rPr>
          <w:rFonts w:hint="eastAsia" w:ascii="宋体" w:hAnsi="宋体"/>
          <w:sz w:val="24"/>
        </w:rPr>
      </w:pPr>
    </w:p>
    <w:p>
      <w:pPr>
        <w:pStyle w:val="22"/>
        <w:ind w:firstLine="480"/>
        <w:rPr>
          <w:rFonts w:hint="eastAsia" w:ascii="宋体" w:hAnsi="宋体"/>
          <w:sz w:val="24"/>
        </w:rPr>
      </w:pPr>
    </w:p>
    <w:p>
      <w:pPr>
        <w:rPr>
          <w:rFonts w:hint="eastAsia" w:ascii="宋体" w:hAnsi="宋体"/>
          <w:sz w:val="24"/>
        </w:rPr>
      </w:pPr>
    </w:p>
    <w:p>
      <w:pPr>
        <w:pStyle w:val="22"/>
        <w:ind w:firstLine="480"/>
        <w:rPr>
          <w:rFonts w:hint="eastAsia" w:ascii="宋体" w:hAnsi="宋体"/>
          <w:sz w:val="24"/>
        </w:rPr>
      </w:pPr>
    </w:p>
    <w:p/>
    <w:p>
      <w:pPr>
        <w:pStyle w:val="22"/>
        <w:rPr>
          <w:rFonts w:hint="eastAsia"/>
        </w:rPr>
      </w:pPr>
    </w:p>
    <w:p>
      <w:pPr>
        <w:pStyle w:val="4"/>
        <w:numPr>
          <w:ilvl w:val="0"/>
          <w:numId w:val="0"/>
        </w:numPr>
        <w:spacing w:before="120"/>
        <w:rPr>
          <w:rFonts w:hint="eastAsia"/>
        </w:rPr>
      </w:pPr>
      <w:bookmarkStart w:id="509" w:name="_Toc2710"/>
      <w:bookmarkStart w:id="510" w:name="_Toc11804"/>
      <w:bookmarkStart w:id="511" w:name="_Toc26130"/>
      <w:r>
        <w:rPr>
          <w:rFonts w:hint="eastAsia"/>
        </w:rPr>
        <w:t>附件六：技术规格偏离表</w:t>
      </w:r>
      <w:bookmarkEnd w:id="509"/>
      <w:bookmarkEnd w:id="510"/>
      <w:bookmarkEnd w:id="511"/>
    </w:p>
    <w:p>
      <w:pPr>
        <w:pStyle w:val="7"/>
        <w:spacing w:after="0" w:line="460" w:lineRule="exact"/>
        <w:ind w:firstLine="643"/>
        <w:jc w:val="center"/>
        <w:rPr>
          <w:rFonts w:hint="eastAsia" w:ascii="宋体" w:hAnsi="宋体" w:cs="宋体"/>
          <w:b/>
          <w:bCs/>
          <w:sz w:val="32"/>
          <w:szCs w:val="32"/>
        </w:rPr>
      </w:pPr>
      <w:r>
        <w:rPr>
          <w:rFonts w:hint="eastAsia" w:ascii="宋体" w:hAnsi="宋体" w:cs="宋体"/>
          <w:b/>
          <w:bCs/>
          <w:sz w:val="32"/>
          <w:szCs w:val="32"/>
        </w:rPr>
        <w:t>技术规格偏离表</w:t>
      </w:r>
    </w:p>
    <w:p>
      <w:pPr>
        <w:spacing w:line="520" w:lineRule="exact"/>
        <w:ind w:firstLine="440"/>
        <w:rPr>
          <w:rFonts w:hint="eastAsia" w:ascii="宋体" w:hAnsi="宋体"/>
          <w:sz w:val="22"/>
          <w:szCs w:val="20"/>
        </w:rPr>
      </w:pPr>
      <w:r>
        <w:rPr>
          <w:rFonts w:hint="eastAsia" w:ascii="宋体" w:hAnsi="宋体"/>
          <w:sz w:val="22"/>
          <w:szCs w:val="20"/>
        </w:rPr>
        <w:t>项目名称：</w:t>
      </w:r>
      <w:r>
        <w:rPr>
          <w:rFonts w:hint="eastAsia" w:ascii="宋体" w:hAnsi="宋体"/>
          <w:sz w:val="22"/>
          <w:szCs w:val="20"/>
          <w:lang w:val="en-US" w:eastAsia="zh-CN"/>
        </w:rPr>
        <w:t>中国重汽集团</w:t>
      </w:r>
      <w:r>
        <w:rPr>
          <w:rFonts w:hint="eastAsia" w:ascii="宋体" w:hAnsi="宋体"/>
          <w:sz w:val="22"/>
          <w:szCs w:val="20"/>
          <w:lang w:eastAsia="zh-CN"/>
        </w:rPr>
        <w:t>泰安五岳专用汽车</w:t>
      </w:r>
      <w:r>
        <w:rPr>
          <w:rFonts w:hint="eastAsia" w:ascii="宋体" w:hAnsi="宋体"/>
          <w:sz w:val="22"/>
          <w:szCs w:val="20"/>
          <w:lang w:val="en-US" w:eastAsia="zh-CN"/>
        </w:rPr>
        <w:t>有限公司</w:t>
      </w:r>
      <w:r>
        <w:rPr>
          <w:rFonts w:hint="eastAsia" w:ascii="宋体" w:hAnsi="宋体" w:eastAsia="宋体" w:cs="Times New Roman"/>
          <w:sz w:val="22"/>
          <w:szCs w:val="20"/>
          <w:lang w:val="en-US" w:eastAsia="zh-CN"/>
        </w:rPr>
        <w:t xml:space="preserve">网络安全边界防护项目   </w:t>
      </w:r>
      <w:r>
        <w:rPr>
          <w:rFonts w:hint="eastAsia" w:ascii="宋体" w:hAnsi="宋体"/>
          <w:sz w:val="22"/>
          <w:szCs w:val="20"/>
        </w:rPr>
        <w:t xml:space="preserve">   </w:t>
      </w:r>
    </w:p>
    <w:p>
      <w:pPr>
        <w:spacing w:line="520" w:lineRule="exact"/>
        <w:ind w:firstLine="440"/>
        <w:rPr>
          <w:rFonts w:hint="eastAsia" w:ascii="宋体" w:hAnsi="宋体"/>
          <w:sz w:val="24"/>
          <w:u w:val="single"/>
        </w:rPr>
      </w:pPr>
      <w:r>
        <w:rPr>
          <w:rFonts w:hint="eastAsia" w:ascii="宋体" w:hAnsi="宋体"/>
          <w:sz w:val="22"/>
          <w:szCs w:val="20"/>
          <w:highlight w:val="none"/>
        </w:rPr>
        <w:t>项目编号：</w:t>
      </w:r>
      <w:r>
        <w:rPr>
          <w:rFonts w:hint="eastAsia" w:ascii="宋体" w:hAnsi="宋体"/>
          <w:sz w:val="24"/>
          <w:highlight w:val="none"/>
        </w:rPr>
        <w:t xml:space="preserve"> </w:t>
      </w:r>
      <w:r>
        <w:rPr>
          <w:rFonts w:hint="eastAsia" w:ascii="宋体" w:hAnsi="宋体"/>
          <w:sz w:val="24"/>
          <w:highlight w:val="none"/>
          <w:lang w:eastAsia="zh-CN"/>
        </w:rPr>
        <w:t>CGZXCX-202310-1393</w:t>
      </w:r>
      <w:r>
        <w:rPr>
          <w:rFonts w:hint="eastAsia" w:ascii="宋体" w:hAnsi="宋体"/>
          <w:sz w:val="24"/>
          <w:highlight w:val="none"/>
        </w:rPr>
        <w:t xml:space="preserve"> </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306"/>
        <w:gridCol w:w="2150"/>
        <w:gridCol w:w="2173"/>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val="0"/>
            <w:vAlign w:val="center"/>
          </w:tcPr>
          <w:p>
            <w:pPr>
              <w:jc w:val="center"/>
              <w:rPr>
                <w:rFonts w:hint="eastAsia" w:ascii="宋体" w:hAnsi="宋体"/>
                <w:b/>
                <w:sz w:val="24"/>
              </w:rPr>
            </w:pPr>
            <w:r>
              <w:rPr>
                <w:rFonts w:hint="eastAsia" w:ascii="宋体" w:hAnsi="宋体"/>
                <w:b/>
                <w:sz w:val="24"/>
              </w:rPr>
              <w:t>序号</w:t>
            </w:r>
          </w:p>
        </w:tc>
        <w:tc>
          <w:tcPr>
            <w:tcW w:w="1306" w:type="dxa"/>
            <w:noWrap w:val="0"/>
            <w:vAlign w:val="center"/>
          </w:tcPr>
          <w:p>
            <w:pPr>
              <w:jc w:val="center"/>
              <w:rPr>
                <w:rFonts w:hint="eastAsia" w:ascii="宋体" w:hAnsi="宋体"/>
                <w:b/>
                <w:sz w:val="24"/>
              </w:rPr>
            </w:pPr>
            <w:r>
              <w:rPr>
                <w:rFonts w:hint="eastAsia" w:ascii="宋体" w:hAnsi="宋体"/>
                <w:b/>
                <w:sz w:val="24"/>
              </w:rPr>
              <w:t>招标文件条款号</w:t>
            </w:r>
          </w:p>
        </w:tc>
        <w:tc>
          <w:tcPr>
            <w:tcW w:w="2150" w:type="dxa"/>
            <w:noWrap w:val="0"/>
            <w:vAlign w:val="center"/>
          </w:tcPr>
          <w:p>
            <w:pPr>
              <w:jc w:val="center"/>
              <w:rPr>
                <w:rFonts w:hint="eastAsia" w:ascii="宋体" w:hAnsi="宋体"/>
                <w:b/>
                <w:sz w:val="24"/>
              </w:rPr>
            </w:pPr>
            <w:r>
              <w:rPr>
                <w:rFonts w:hint="eastAsia" w:ascii="宋体" w:hAnsi="宋体"/>
                <w:b/>
                <w:sz w:val="24"/>
              </w:rPr>
              <w:t>招标文件条款内容</w:t>
            </w:r>
          </w:p>
        </w:tc>
        <w:tc>
          <w:tcPr>
            <w:tcW w:w="2173" w:type="dxa"/>
            <w:noWrap w:val="0"/>
            <w:vAlign w:val="center"/>
          </w:tcPr>
          <w:p>
            <w:pPr>
              <w:jc w:val="center"/>
              <w:rPr>
                <w:rFonts w:hint="eastAsia" w:ascii="宋体" w:hAnsi="宋体"/>
                <w:b/>
                <w:sz w:val="24"/>
              </w:rPr>
            </w:pPr>
            <w:r>
              <w:rPr>
                <w:rFonts w:hint="eastAsia" w:ascii="宋体" w:hAnsi="宋体"/>
                <w:b/>
                <w:sz w:val="24"/>
              </w:rPr>
              <w:t>偏离</w:t>
            </w:r>
          </w:p>
        </w:tc>
        <w:tc>
          <w:tcPr>
            <w:tcW w:w="2317" w:type="dxa"/>
            <w:noWrap w:val="0"/>
            <w:vAlign w:val="center"/>
          </w:tcPr>
          <w:p>
            <w:pPr>
              <w:jc w:val="center"/>
              <w:rPr>
                <w:rFonts w:hint="eastAsia" w:ascii="宋体" w:hAnsi="宋体"/>
                <w:b/>
                <w:sz w:val="24"/>
              </w:rPr>
            </w:pPr>
            <w:r>
              <w:rPr>
                <w:rFonts w:hint="eastAsia" w:ascii="宋体" w:hAnsi="宋体"/>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317"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317"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317"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317"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317"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317"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317"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317"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317"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317"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317"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317"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317" w:type="dxa"/>
            <w:noWrap w:val="0"/>
            <w:vAlign w:val="top"/>
          </w:tcPr>
          <w:p>
            <w:pPr>
              <w:ind w:firstLine="480"/>
              <w:rPr>
                <w:rFonts w:hint="eastAsia" w:ascii="宋体" w:hAnsi="宋体"/>
                <w:sz w:val="24"/>
              </w:rPr>
            </w:pPr>
          </w:p>
        </w:tc>
      </w:tr>
    </w:tbl>
    <w:p>
      <w:pPr>
        <w:spacing w:line="660" w:lineRule="exact"/>
        <w:ind w:firstLine="480" w:firstLineChars="200"/>
        <w:rPr>
          <w:rFonts w:hint="eastAsia" w:ascii="宋体" w:hAnsi="宋体"/>
          <w:sz w:val="24"/>
        </w:rPr>
      </w:pPr>
      <w:r>
        <w:rPr>
          <w:rFonts w:hint="eastAsia" w:ascii="宋体" w:hAnsi="宋体"/>
          <w:sz w:val="24"/>
        </w:rPr>
        <w:t>投标人：（盖章）</w:t>
      </w:r>
    </w:p>
    <w:p>
      <w:pPr>
        <w:spacing w:line="660" w:lineRule="exact"/>
        <w:ind w:firstLine="480" w:firstLineChars="200"/>
        <w:rPr>
          <w:rFonts w:hint="eastAsia" w:ascii="宋体" w:hAnsi="宋体"/>
          <w:sz w:val="24"/>
        </w:rPr>
      </w:pPr>
      <w:r>
        <w:rPr>
          <w:rFonts w:hint="eastAsia" w:ascii="宋体" w:hAnsi="宋体"/>
          <w:sz w:val="24"/>
        </w:rPr>
        <w:t>法定代表人（委托代理人）：（签字）</w:t>
      </w:r>
    </w:p>
    <w:p>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660" w:lineRule="exact"/>
        <w:ind w:firstLine="480" w:firstLineChars="200"/>
        <w:rPr>
          <w:rFonts w:hint="eastAsia" w:ascii="宋体" w:hAnsi="宋体"/>
          <w:sz w:val="24"/>
        </w:rPr>
      </w:pPr>
    </w:p>
    <w:p>
      <w:pPr>
        <w:spacing w:line="660" w:lineRule="exact"/>
        <w:ind w:firstLine="480" w:firstLineChars="200"/>
        <w:rPr>
          <w:rFonts w:ascii="宋体" w:hAnsi="宋体"/>
          <w:sz w:val="24"/>
        </w:rPr>
      </w:pPr>
    </w:p>
    <w:p>
      <w:pPr>
        <w:pStyle w:val="22"/>
        <w:rPr>
          <w:rFonts w:hint="eastAsia"/>
        </w:rPr>
      </w:pPr>
    </w:p>
    <w:p>
      <w:pPr>
        <w:pStyle w:val="4"/>
        <w:numPr>
          <w:ilvl w:val="0"/>
          <w:numId w:val="0"/>
        </w:numPr>
        <w:spacing w:before="120"/>
        <w:rPr>
          <w:rFonts w:hint="eastAsia"/>
        </w:rPr>
      </w:pPr>
      <w:bookmarkStart w:id="512" w:name="_Toc6333"/>
      <w:bookmarkStart w:id="513" w:name="_Toc424118188"/>
      <w:bookmarkStart w:id="514" w:name="_Toc518655811"/>
      <w:bookmarkStart w:id="515" w:name="_Toc18800"/>
      <w:bookmarkStart w:id="516" w:name="_Toc353881019"/>
      <w:bookmarkStart w:id="517" w:name="_Toc28134"/>
      <w:bookmarkStart w:id="518" w:name="_Toc19517"/>
      <w:bookmarkStart w:id="519" w:name="_Toc25179"/>
      <w:r>
        <w:rPr>
          <w:rFonts w:hint="eastAsia"/>
        </w:rPr>
        <w:t>附件七：商务条款偏离表</w:t>
      </w:r>
      <w:bookmarkEnd w:id="512"/>
      <w:bookmarkEnd w:id="513"/>
      <w:bookmarkEnd w:id="514"/>
      <w:bookmarkEnd w:id="515"/>
      <w:bookmarkEnd w:id="516"/>
      <w:bookmarkEnd w:id="517"/>
      <w:bookmarkEnd w:id="518"/>
      <w:bookmarkEnd w:id="519"/>
    </w:p>
    <w:p>
      <w:pPr>
        <w:pStyle w:val="7"/>
        <w:spacing w:after="0" w:line="460" w:lineRule="exact"/>
        <w:ind w:firstLine="643"/>
        <w:jc w:val="center"/>
        <w:rPr>
          <w:rFonts w:hint="eastAsia"/>
        </w:rPr>
      </w:pPr>
      <w:r>
        <w:rPr>
          <w:rFonts w:hint="eastAsia" w:ascii="宋体" w:hAnsi="宋体" w:cs="宋体"/>
          <w:b/>
          <w:bCs/>
          <w:sz w:val="32"/>
          <w:szCs w:val="32"/>
        </w:rPr>
        <w:t>商务条款偏离表</w:t>
      </w:r>
    </w:p>
    <w:p>
      <w:pPr>
        <w:spacing w:line="240" w:lineRule="exact"/>
        <w:ind w:firstLine="480"/>
        <w:rPr>
          <w:rFonts w:hint="eastAsia" w:ascii="宋体" w:hAnsi="宋体"/>
          <w:sz w:val="24"/>
        </w:rPr>
      </w:pPr>
    </w:p>
    <w:p>
      <w:pPr>
        <w:spacing w:line="520" w:lineRule="exact"/>
        <w:ind w:firstLine="440"/>
        <w:jc w:val="left"/>
        <w:rPr>
          <w:rFonts w:hint="eastAsia" w:ascii="宋体" w:hAnsi="宋体" w:eastAsia="宋体" w:cs="Times New Roman"/>
          <w:sz w:val="22"/>
          <w:szCs w:val="20"/>
          <w:lang w:val="en-US" w:eastAsia="zh-CN"/>
        </w:rPr>
      </w:pPr>
      <w:r>
        <w:rPr>
          <w:rFonts w:hint="eastAsia" w:ascii="宋体" w:hAnsi="宋体"/>
          <w:sz w:val="22"/>
          <w:szCs w:val="20"/>
        </w:rPr>
        <w:t>项目名称：</w:t>
      </w:r>
      <w:r>
        <w:rPr>
          <w:rFonts w:hint="eastAsia" w:ascii="宋体" w:hAnsi="宋体"/>
          <w:sz w:val="22"/>
          <w:szCs w:val="20"/>
          <w:lang w:val="en-US" w:eastAsia="zh-CN"/>
        </w:rPr>
        <w:t>中国重汽集团</w:t>
      </w:r>
      <w:r>
        <w:rPr>
          <w:rFonts w:hint="eastAsia" w:ascii="宋体" w:hAnsi="宋体"/>
          <w:sz w:val="22"/>
          <w:szCs w:val="20"/>
          <w:lang w:eastAsia="zh-CN"/>
        </w:rPr>
        <w:t>泰安五岳专用汽车</w:t>
      </w:r>
      <w:r>
        <w:rPr>
          <w:rFonts w:hint="eastAsia" w:ascii="宋体" w:hAnsi="宋体"/>
          <w:sz w:val="22"/>
          <w:szCs w:val="20"/>
          <w:lang w:val="en-US" w:eastAsia="zh-CN"/>
        </w:rPr>
        <w:t>有限公司</w:t>
      </w:r>
      <w:r>
        <w:rPr>
          <w:rFonts w:hint="eastAsia" w:ascii="宋体" w:hAnsi="宋体" w:eastAsia="宋体" w:cs="Times New Roman"/>
          <w:sz w:val="22"/>
          <w:szCs w:val="20"/>
          <w:lang w:val="en-US" w:eastAsia="zh-CN"/>
        </w:rPr>
        <w:t>网络安全边界防护项目</w:t>
      </w:r>
    </w:p>
    <w:p>
      <w:pPr>
        <w:spacing w:line="520" w:lineRule="exact"/>
        <w:ind w:firstLine="440"/>
        <w:jc w:val="left"/>
        <w:rPr>
          <w:rFonts w:hint="eastAsia" w:ascii="宋体" w:hAnsi="宋体"/>
          <w:sz w:val="24"/>
        </w:rPr>
      </w:pPr>
      <w:r>
        <w:rPr>
          <w:rFonts w:hint="eastAsia" w:ascii="宋体" w:hAnsi="宋体"/>
          <w:sz w:val="22"/>
          <w:szCs w:val="20"/>
          <w:highlight w:val="none"/>
        </w:rPr>
        <w:t>项目编号：</w:t>
      </w:r>
      <w:r>
        <w:rPr>
          <w:rFonts w:hint="eastAsia" w:ascii="宋体" w:hAnsi="宋体"/>
          <w:sz w:val="24"/>
          <w:highlight w:val="none"/>
        </w:rPr>
        <w:t xml:space="preserve"> </w:t>
      </w:r>
      <w:r>
        <w:rPr>
          <w:rFonts w:hint="eastAsia" w:ascii="宋体" w:hAnsi="宋体"/>
          <w:sz w:val="24"/>
          <w:highlight w:val="none"/>
          <w:lang w:eastAsia="zh-CN"/>
        </w:rPr>
        <w:t>CGZXCX-202310-1393</w:t>
      </w:r>
      <w:r>
        <w:rPr>
          <w:rFonts w:hint="eastAsia" w:ascii="宋体" w:hAnsi="宋体"/>
          <w:sz w:val="24"/>
          <w:highlight w:val="none"/>
        </w:rPr>
        <w:t xml:space="preserve">   </w:t>
      </w:r>
      <w:r>
        <w:rPr>
          <w:rFonts w:hint="eastAsia" w:ascii="宋体" w:hAnsi="宋体"/>
          <w:sz w:val="24"/>
        </w:rPr>
        <w:t xml:space="preserve">   </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306"/>
        <w:gridCol w:w="2150"/>
        <w:gridCol w:w="2173"/>
        <w:gridCol w:w="2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val="0"/>
            <w:vAlign w:val="center"/>
          </w:tcPr>
          <w:p>
            <w:pPr>
              <w:jc w:val="center"/>
              <w:rPr>
                <w:rFonts w:hint="eastAsia" w:ascii="宋体" w:hAnsi="宋体"/>
                <w:b/>
                <w:sz w:val="24"/>
              </w:rPr>
            </w:pPr>
            <w:r>
              <w:rPr>
                <w:rFonts w:hint="eastAsia" w:ascii="宋体" w:hAnsi="宋体"/>
                <w:b/>
                <w:sz w:val="24"/>
              </w:rPr>
              <w:t>序号</w:t>
            </w:r>
          </w:p>
        </w:tc>
        <w:tc>
          <w:tcPr>
            <w:tcW w:w="1306" w:type="dxa"/>
            <w:noWrap w:val="0"/>
            <w:vAlign w:val="center"/>
          </w:tcPr>
          <w:p>
            <w:pPr>
              <w:jc w:val="center"/>
              <w:rPr>
                <w:rFonts w:hint="eastAsia" w:ascii="宋体" w:hAnsi="宋体"/>
                <w:b/>
                <w:sz w:val="24"/>
              </w:rPr>
            </w:pPr>
            <w:r>
              <w:rPr>
                <w:rFonts w:hint="eastAsia" w:ascii="宋体" w:hAnsi="宋体"/>
                <w:b/>
                <w:sz w:val="24"/>
              </w:rPr>
              <w:t>招标文件条款号</w:t>
            </w:r>
          </w:p>
        </w:tc>
        <w:tc>
          <w:tcPr>
            <w:tcW w:w="2150" w:type="dxa"/>
            <w:noWrap w:val="0"/>
            <w:vAlign w:val="center"/>
          </w:tcPr>
          <w:p>
            <w:pPr>
              <w:jc w:val="center"/>
              <w:rPr>
                <w:rFonts w:hint="eastAsia" w:ascii="宋体" w:hAnsi="宋体"/>
                <w:b/>
                <w:sz w:val="24"/>
              </w:rPr>
            </w:pPr>
            <w:r>
              <w:rPr>
                <w:rFonts w:hint="eastAsia" w:ascii="宋体" w:hAnsi="宋体"/>
                <w:b/>
                <w:sz w:val="24"/>
              </w:rPr>
              <w:t>招标文件条款内容</w:t>
            </w:r>
          </w:p>
        </w:tc>
        <w:tc>
          <w:tcPr>
            <w:tcW w:w="2173" w:type="dxa"/>
            <w:noWrap w:val="0"/>
            <w:vAlign w:val="center"/>
          </w:tcPr>
          <w:p>
            <w:pPr>
              <w:jc w:val="center"/>
              <w:rPr>
                <w:rFonts w:hint="eastAsia" w:ascii="宋体" w:hAnsi="宋体"/>
                <w:b/>
                <w:sz w:val="24"/>
              </w:rPr>
            </w:pPr>
            <w:r>
              <w:rPr>
                <w:rFonts w:hint="eastAsia" w:ascii="宋体" w:hAnsi="宋体"/>
                <w:b/>
                <w:sz w:val="24"/>
              </w:rPr>
              <w:t>偏离</w:t>
            </w:r>
          </w:p>
        </w:tc>
        <w:tc>
          <w:tcPr>
            <w:tcW w:w="2479" w:type="dxa"/>
            <w:noWrap w:val="0"/>
            <w:vAlign w:val="center"/>
          </w:tcPr>
          <w:p>
            <w:pPr>
              <w:jc w:val="center"/>
              <w:rPr>
                <w:rFonts w:hint="eastAsia" w:ascii="宋体" w:hAnsi="宋体"/>
                <w:b/>
                <w:sz w:val="24"/>
              </w:rPr>
            </w:pPr>
            <w:r>
              <w:rPr>
                <w:rFonts w:hint="eastAsia" w:ascii="宋体" w:hAnsi="宋体"/>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479"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479"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479"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479"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479"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479"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479"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479"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479"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479"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479"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479" w:type="dxa"/>
            <w:noWrap w:val="0"/>
            <w:vAlign w:val="top"/>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val="0"/>
            <w:vAlign w:val="top"/>
          </w:tcPr>
          <w:p>
            <w:pPr>
              <w:ind w:firstLine="480"/>
              <w:rPr>
                <w:rFonts w:hint="eastAsia" w:ascii="宋体" w:hAnsi="宋体"/>
                <w:sz w:val="24"/>
              </w:rPr>
            </w:pPr>
          </w:p>
        </w:tc>
        <w:tc>
          <w:tcPr>
            <w:tcW w:w="1306" w:type="dxa"/>
            <w:noWrap w:val="0"/>
            <w:vAlign w:val="top"/>
          </w:tcPr>
          <w:p>
            <w:pPr>
              <w:ind w:firstLine="480"/>
              <w:rPr>
                <w:rFonts w:hint="eastAsia" w:ascii="宋体" w:hAnsi="宋体"/>
                <w:sz w:val="24"/>
              </w:rPr>
            </w:pPr>
          </w:p>
        </w:tc>
        <w:tc>
          <w:tcPr>
            <w:tcW w:w="2150" w:type="dxa"/>
            <w:noWrap w:val="0"/>
            <w:vAlign w:val="top"/>
          </w:tcPr>
          <w:p>
            <w:pPr>
              <w:ind w:firstLine="480"/>
              <w:rPr>
                <w:rFonts w:hint="eastAsia" w:ascii="宋体" w:hAnsi="宋体"/>
                <w:sz w:val="24"/>
              </w:rPr>
            </w:pPr>
          </w:p>
        </w:tc>
        <w:tc>
          <w:tcPr>
            <w:tcW w:w="2173" w:type="dxa"/>
            <w:noWrap w:val="0"/>
            <w:vAlign w:val="top"/>
          </w:tcPr>
          <w:p>
            <w:pPr>
              <w:ind w:firstLine="480"/>
              <w:rPr>
                <w:rFonts w:hint="eastAsia" w:ascii="宋体" w:hAnsi="宋体"/>
                <w:sz w:val="24"/>
              </w:rPr>
            </w:pPr>
          </w:p>
        </w:tc>
        <w:tc>
          <w:tcPr>
            <w:tcW w:w="2479" w:type="dxa"/>
            <w:noWrap w:val="0"/>
            <w:vAlign w:val="top"/>
          </w:tcPr>
          <w:p>
            <w:pPr>
              <w:ind w:firstLine="480"/>
              <w:rPr>
                <w:rFonts w:hint="eastAsia" w:ascii="宋体" w:hAnsi="宋体"/>
                <w:sz w:val="24"/>
              </w:rPr>
            </w:pPr>
          </w:p>
        </w:tc>
      </w:tr>
    </w:tbl>
    <w:p>
      <w:pPr>
        <w:ind w:firstLine="480"/>
        <w:rPr>
          <w:rFonts w:hint="eastAsia" w:ascii="宋体" w:hAnsi="宋体"/>
          <w:sz w:val="24"/>
        </w:rPr>
      </w:pPr>
    </w:p>
    <w:p>
      <w:pPr>
        <w:spacing w:line="660" w:lineRule="exact"/>
        <w:ind w:firstLine="480" w:firstLineChars="200"/>
        <w:rPr>
          <w:rFonts w:hint="eastAsia" w:ascii="宋体" w:hAnsi="宋体"/>
          <w:sz w:val="24"/>
        </w:rPr>
      </w:pPr>
      <w:r>
        <w:rPr>
          <w:rFonts w:hint="eastAsia" w:ascii="宋体" w:hAnsi="宋体"/>
          <w:sz w:val="24"/>
        </w:rPr>
        <w:t>投标人：（盖章）</w:t>
      </w:r>
    </w:p>
    <w:p>
      <w:pPr>
        <w:spacing w:line="660" w:lineRule="exact"/>
        <w:ind w:firstLine="480" w:firstLineChars="200"/>
        <w:rPr>
          <w:rFonts w:hint="eastAsia" w:ascii="宋体" w:hAnsi="宋体"/>
          <w:sz w:val="24"/>
        </w:rPr>
      </w:pPr>
      <w:r>
        <w:rPr>
          <w:rFonts w:hint="eastAsia" w:ascii="宋体" w:hAnsi="宋体"/>
          <w:sz w:val="24"/>
        </w:rPr>
        <w:t>法定代表人（委托代理人）：（签字）</w:t>
      </w:r>
    </w:p>
    <w:p>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22"/>
        <w:ind w:firstLine="480"/>
        <w:rPr>
          <w:rFonts w:hint="eastAsia" w:ascii="宋体" w:hAnsi="宋体"/>
          <w:sz w:val="24"/>
        </w:rPr>
      </w:pPr>
    </w:p>
    <w:p>
      <w:pPr>
        <w:rPr>
          <w:rFonts w:hint="eastAsia" w:ascii="宋体" w:hAnsi="宋体"/>
          <w:sz w:val="24"/>
        </w:rPr>
      </w:pPr>
    </w:p>
    <w:p>
      <w:pPr>
        <w:pStyle w:val="22"/>
        <w:ind w:firstLine="480"/>
        <w:rPr>
          <w:rFonts w:hint="eastAsia" w:ascii="宋体" w:hAnsi="宋体"/>
          <w:sz w:val="24"/>
        </w:rPr>
      </w:pPr>
    </w:p>
    <w:p>
      <w:pPr>
        <w:rPr>
          <w:rFonts w:hint="eastAsia"/>
        </w:rPr>
      </w:pPr>
    </w:p>
    <w:p>
      <w:pPr>
        <w:pStyle w:val="4"/>
        <w:numPr>
          <w:ilvl w:val="0"/>
          <w:numId w:val="0"/>
        </w:numPr>
        <w:spacing w:before="120"/>
        <w:rPr>
          <w:rFonts w:hint="eastAsia"/>
        </w:rPr>
      </w:pPr>
      <w:bookmarkStart w:id="520" w:name="_Toc424118189"/>
      <w:bookmarkStart w:id="521" w:name="_Toc10852"/>
      <w:bookmarkStart w:id="522" w:name="_Toc23535"/>
      <w:bookmarkStart w:id="523" w:name="_Toc28986"/>
      <w:bookmarkStart w:id="524" w:name="_Toc518655812"/>
      <w:bookmarkStart w:id="525" w:name="_Toc353881020"/>
      <w:bookmarkStart w:id="526" w:name="_Toc24646"/>
      <w:bookmarkStart w:id="527" w:name="_Toc23672"/>
      <w:r>
        <w:rPr>
          <w:rFonts w:hint="eastAsia"/>
        </w:rPr>
        <w:t>附件八：经营业绩一览表</w:t>
      </w:r>
      <w:bookmarkEnd w:id="520"/>
      <w:bookmarkEnd w:id="521"/>
      <w:bookmarkEnd w:id="522"/>
      <w:bookmarkEnd w:id="523"/>
      <w:bookmarkEnd w:id="524"/>
      <w:bookmarkEnd w:id="525"/>
      <w:bookmarkEnd w:id="526"/>
      <w:bookmarkEnd w:id="527"/>
    </w:p>
    <w:p>
      <w:pPr>
        <w:pStyle w:val="7"/>
        <w:spacing w:after="0" w:line="460" w:lineRule="exact"/>
        <w:ind w:firstLine="643"/>
        <w:jc w:val="center"/>
        <w:rPr>
          <w:rFonts w:hint="eastAsia" w:ascii="宋体" w:hAnsi="宋体" w:cs="宋体"/>
          <w:b/>
          <w:bCs/>
          <w:sz w:val="32"/>
          <w:szCs w:val="32"/>
        </w:rPr>
      </w:pPr>
      <w:r>
        <w:rPr>
          <w:rFonts w:hint="eastAsia" w:ascii="宋体" w:hAnsi="宋体" w:cs="宋体"/>
          <w:b/>
          <w:bCs/>
          <w:sz w:val="32"/>
          <w:szCs w:val="32"/>
        </w:rPr>
        <w:t>经营业绩一览表</w:t>
      </w:r>
    </w:p>
    <w:p>
      <w:pPr>
        <w:spacing w:line="240" w:lineRule="exact"/>
        <w:ind w:firstLine="723"/>
        <w:jc w:val="center"/>
        <w:rPr>
          <w:rFonts w:hint="eastAsia" w:ascii="宋体" w:hAnsi="宋体"/>
          <w:b/>
          <w:bCs/>
          <w:sz w:val="36"/>
        </w:rPr>
      </w:pPr>
    </w:p>
    <w:p>
      <w:pPr>
        <w:spacing w:line="520" w:lineRule="exact"/>
        <w:ind w:firstLine="440"/>
        <w:rPr>
          <w:rFonts w:hint="eastAsia" w:ascii="宋体" w:hAnsi="宋体"/>
          <w:sz w:val="22"/>
          <w:szCs w:val="20"/>
        </w:rPr>
      </w:pPr>
      <w:r>
        <w:rPr>
          <w:rFonts w:hint="eastAsia" w:ascii="宋体" w:hAnsi="宋体"/>
          <w:sz w:val="22"/>
          <w:szCs w:val="20"/>
        </w:rPr>
        <w:t>项目名称：</w:t>
      </w:r>
      <w:r>
        <w:rPr>
          <w:rFonts w:hint="eastAsia" w:ascii="宋体" w:hAnsi="宋体"/>
          <w:sz w:val="22"/>
          <w:szCs w:val="20"/>
          <w:lang w:val="en-US" w:eastAsia="zh-CN"/>
        </w:rPr>
        <w:t>中国重汽集团</w:t>
      </w:r>
      <w:r>
        <w:rPr>
          <w:rFonts w:hint="eastAsia" w:ascii="宋体" w:hAnsi="宋体"/>
          <w:sz w:val="22"/>
          <w:szCs w:val="20"/>
          <w:lang w:eastAsia="zh-CN"/>
        </w:rPr>
        <w:t>泰安五岳专用汽车</w:t>
      </w:r>
      <w:r>
        <w:rPr>
          <w:rFonts w:hint="eastAsia" w:ascii="宋体" w:hAnsi="宋体"/>
          <w:sz w:val="22"/>
          <w:szCs w:val="20"/>
          <w:lang w:val="en-US" w:eastAsia="zh-CN"/>
        </w:rPr>
        <w:t>有限公司</w:t>
      </w:r>
      <w:r>
        <w:rPr>
          <w:rFonts w:hint="eastAsia" w:ascii="宋体" w:hAnsi="宋体" w:eastAsia="宋体" w:cs="Times New Roman"/>
          <w:sz w:val="22"/>
          <w:szCs w:val="20"/>
          <w:lang w:val="en-US" w:eastAsia="zh-CN"/>
        </w:rPr>
        <w:t>网络安全边界防护项目</w:t>
      </w:r>
      <w:r>
        <w:rPr>
          <w:rFonts w:hint="eastAsia" w:ascii="宋体" w:hAnsi="宋体"/>
          <w:sz w:val="22"/>
          <w:szCs w:val="20"/>
        </w:rPr>
        <w:t xml:space="preserve">       </w:t>
      </w:r>
    </w:p>
    <w:p>
      <w:pPr>
        <w:spacing w:line="520" w:lineRule="exact"/>
        <w:ind w:firstLine="440"/>
        <w:rPr>
          <w:rFonts w:hint="eastAsia" w:ascii="宋体" w:hAnsi="宋体" w:eastAsia="宋体"/>
          <w:sz w:val="24"/>
          <w:highlight w:val="none"/>
          <w:u w:val="single"/>
          <w:lang w:eastAsia="zh-CN"/>
        </w:rPr>
      </w:pPr>
      <w:r>
        <w:rPr>
          <w:rFonts w:hint="eastAsia" w:ascii="宋体" w:hAnsi="宋体"/>
          <w:sz w:val="22"/>
          <w:szCs w:val="20"/>
          <w:highlight w:val="none"/>
        </w:rPr>
        <w:t>项目编号：</w:t>
      </w:r>
      <w:r>
        <w:rPr>
          <w:rFonts w:hint="eastAsia" w:ascii="宋体" w:hAnsi="宋体"/>
          <w:sz w:val="22"/>
          <w:szCs w:val="20"/>
          <w:highlight w:val="none"/>
          <w:lang w:eastAsia="zh-CN"/>
        </w:rPr>
        <w:t>CGZXCX-202310-1393</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85"/>
        <w:gridCol w:w="735"/>
        <w:gridCol w:w="840"/>
        <w:gridCol w:w="945"/>
        <w:gridCol w:w="1365"/>
        <w:gridCol w:w="1365"/>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noWrap w:val="0"/>
            <w:vAlign w:val="center"/>
          </w:tcPr>
          <w:p>
            <w:pPr>
              <w:pStyle w:val="59"/>
              <w:ind w:left="482" w:hanging="482"/>
              <w:jc w:val="center"/>
              <w:rPr>
                <w:rFonts w:hint="eastAsia" w:ascii="宋体" w:hAnsi="宋体"/>
                <w:b/>
                <w:sz w:val="24"/>
              </w:rPr>
            </w:pPr>
            <w:r>
              <w:rPr>
                <w:rFonts w:hint="eastAsia" w:ascii="宋体" w:hAnsi="宋体"/>
                <w:b/>
                <w:sz w:val="24"/>
              </w:rPr>
              <w:t>序号</w:t>
            </w:r>
          </w:p>
        </w:tc>
        <w:tc>
          <w:tcPr>
            <w:tcW w:w="1785" w:type="dxa"/>
            <w:noWrap w:val="0"/>
            <w:vAlign w:val="center"/>
          </w:tcPr>
          <w:p>
            <w:pPr>
              <w:pStyle w:val="59"/>
              <w:ind w:left="482" w:hanging="482"/>
              <w:jc w:val="center"/>
              <w:rPr>
                <w:rFonts w:hint="eastAsia" w:ascii="宋体" w:hAnsi="宋体"/>
                <w:b/>
                <w:sz w:val="24"/>
              </w:rPr>
            </w:pPr>
            <w:r>
              <w:rPr>
                <w:rFonts w:hint="eastAsia" w:ascii="宋体" w:hAnsi="宋体"/>
                <w:b/>
                <w:sz w:val="24"/>
              </w:rPr>
              <w:t>名称</w:t>
            </w:r>
          </w:p>
        </w:tc>
        <w:tc>
          <w:tcPr>
            <w:tcW w:w="735" w:type="dxa"/>
            <w:noWrap w:val="0"/>
            <w:vAlign w:val="center"/>
          </w:tcPr>
          <w:p>
            <w:pPr>
              <w:pStyle w:val="59"/>
              <w:ind w:left="482" w:hanging="482"/>
              <w:jc w:val="center"/>
              <w:rPr>
                <w:rFonts w:hint="eastAsia" w:ascii="宋体" w:hAnsi="宋体"/>
                <w:b/>
                <w:sz w:val="24"/>
              </w:rPr>
            </w:pPr>
            <w:r>
              <w:rPr>
                <w:rFonts w:hint="eastAsia" w:ascii="宋体" w:hAnsi="宋体"/>
                <w:b/>
                <w:sz w:val="24"/>
              </w:rPr>
              <w:t>数量</w:t>
            </w:r>
          </w:p>
        </w:tc>
        <w:tc>
          <w:tcPr>
            <w:tcW w:w="840" w:type="dxa"/>
            <w:noWrap w:val="0"/>
            <w:vAlign w:val="center"/>
          </w:tcPr>
          <w:p>
            <w:pPr>
              <w:pStyle w:val="59"/>
              <w:ind w:left="34" w:hanging="34" w:hangingChars="14"/>
              <w:jc w:val="center"/>
              <w:rPr>
                <w:rFonts w:hint="eastAsia" w:ascii="宋体" w:hAnsi="宋体"/>
                <w:b/>
                <w:sz w:val="24"/>
              </w:rPr>
            </w:pPr>
            <w:r>
              <w:rPr>
                <w:rFonts w:hint="eastAsia" w:ascii="宋体" w:hAnsi="宋体"/>
                <w:b/>
                <w:sz w:val="24"/>
              </w:rPr>
              <w:t>规格型号</w:t>
            </w:r>
          </w:p>
        </w:tc>
        <w:tc>
          <w:tcPr>
            <w:tcW w:w="945" w:type="dxa"/>
            <w:noWrap w:val="0"/>
            <w:vAlign w:val="center"/>
          </w:tcPr>
          <w:p>
            <w:pPr>
              <w:pStyle w:val="59"/>
              <w:ind w:left="482" w:hanging="482"/>
              <w:jc w:val="center"/>
              <w:rPr>
                <w:rFonts w:hint="eastAsia" w:ascii="宋体" w:hAnsi="宋体"/>
                <w:b/>
                <w:sz w:val="24"/>
              </w:rPr>
            </w:pPr>
            <w:r>
              <w:rPr>
                <w:rFonts w:hint="eastAsia" w:ascii="宋体" w:hAnsi="宋体"/>
                <w:b/>
                <w:sz w:val="24"/>
              </w:rPr>
              <w:t>金额</w:t>
            </w:r>
          </w:p>
        </w:tc>
        <w:tc>
          <w:tcPr>
            <w:tcW w:w="1365" w:type="dxa"/>
            <w:noWrap w:val="0"/>
            <w:vAlign w:val="center"/>
          </w:tcPr>
          <w:p>
            <w:pPr>
              <w:pStyle w:val="59"/>
              <w:ind w:left="482" w:hanging="482"/>
              <w:jc w:val="center"/>
              <w:rPr>
                <w:rFonts w:hint="eastAsia" w:ascii="宋体" w:hAnsi="宋体"/>
                <w:b/>
                <w:sz w:val="24"/>
              </w:rPr>
            </w:pPr>
            <w:r>
              <w:rPr>
                <w:rFonts w:hint="eastAsia" w:ascii="宋体" w:hAnsi="宋体"/>
                <w:b/>
                <w:sz w:val="24"/>
              </w:rPr>
              <w:t>用户名称</w:t>
            </w:r>
          </w:p>
        </w:tc>
        <w:tc>
          <w:tcPr>
            <w:tcW w:w="1365" w:type="dxa"/>
            <w:noWrap w:val="0"/>
            <w:vAlign w:val="center"/>
          </w:tcPr>
          <w:p>
            <w:pPr>
              <w:pStyle w:val="59"/>
              <w:ind w:left="482" w:hanging="482"/>
              <w:jc w:val="center"/>
              <w:rPr>
                <w:rFonts w:hint="eastAsia" w:ascii="宋体" w:hAnsi="宋体"/>
                <w:b/>
                <w:sz w:val="24"/>
              </w:rPr>
            </w:pPr>
            <w:r>
              <w:rPr>
                <w:rFonts w:hint="eastAsia" w:ascii="宋体" w:hAnsi="宋体"/>
                <w:b/>
                <w:sz w:val="24"/>
              </w:rPr>
              <w:t>联系人及</w:t>
            </w:r>
          </w:p>
          <w:p>
            <w:pPr>
              <w:pStyle w:val="59"/>
              <w:ind w:left="482" w:hanging="482"/>
              <w:jc w:val="center"/>
              <w:rPr>
                <w:rFonts w:hint="eastAsia" w:ascii="宋体" w:hAnsi="宋体"/>
                <w:b/>
                <w:sz w:val="24"/>
              </w:rPr>
            </w:pPr>
            <w:r>
              <w:rPr>
                <w:rFonts w:hint="eastAsia" w:ascii="宋体" w:hAnsi="宋体"/>
                <w:b/>
                <w:sz w:val="24"/>
              </w:rPr>
              <w:t>联系电话</w:t>
            </w:r>
          </w:p>
        </w:tc>
        <w:tc>
          <w:tcPr>
            <w:tcW w:w="1407" w:type="dxa"/>
            <w:noWrap w:val="0"/>
            <w:vAlign w:val="center"/>
          </w:tcPr>
          <w:p>
            <w:pPr>
              <w:pStyle w:val="59"/>
              <w:ind w:left="482" w:hanging="482"/>
              <w:jc w:val="center"/>
              <w:rPr>
                <w:rFonts w:hint="eastAsia" w:ascii="宋体" w:hAnsi="宋体"/>
                <w:b/>
                <w:sz w:val="24"/>
              </w:rPr>
            </w:pPr>
            <w:r>
              <w:rPr>
                <w:rFonts w:hint="eastAsia" w:ascii="宋体" w:hAnsi="宋体"/>
                <w:b/>
                <w:sz w:val="24"/>
              </w:rPr>
              <w:t>投产日期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noWrap w:val="0"/>
            <w:vAlign w:val="top"/>
          </w:tcPr>
          <w:p>
            <w:pPr>
              <w:pStyle w:val="59"/>
              <w:ind w:left="422" w:hanging="422"/>
              <w:rPr>
                <w:rFonts w:hint="eastAsia" w:ascii="宋体" w:hAnsi="宋体"/>
                <w:b/>
              </w:rPr>
            </w:pPr>
          </w:p>
        </w:tc>
        <w:tc>
          <w:tcPr>
            <w:tcW w:w="1785" w:type="dxa"/>
            <w:noWrap w:val="0"/>
            <w:vAlign w:val="top"/>
          </w:tcPr>
          <w:p>
            <w:pPr>
              <w:pStyle w:val="59"/>
              <w:ind w:left="422" w:hanging="422"/>
              <w:rPr>
                <w:rFonts w:hint="eastAsia" w:ascii="宋体" w:hAnsi="宋体"/>
                <w:b/>
              </w:rPr>
            </w:pPr>
          </w:p>
        </w:tc>
        <w:tc>
          <w:tcPr>
            <w:tcW w:w="735" w:type="dxa"/>
            <w:noWrap w:val="0"/>
            <w:vAlign w:val="top"/>
          </w:tcPr>
          <w:p>
            <w:pPr>
              <w:pStyle w:val="59"/>
              <w:ind w:left="422" w:hanging="422"/>
              <w:rPr>
                <w:rFonts w:hint="eastAsia" w:ascii="宋体" w:hAnsi="宋体"/>
                <w:b/>
              </w:rPr>
            </w:pPr>
          </w:p>
        </w:tc>
        <w:tc>
          <w:tcPr>
            <w:tcW w:w="840" w:type="dxa"/>
            <w:noWrap w:val="0"/>
            <w:vAlign w:val="top"/>
          </w:tcPr>
          <w:p>
            <w:pPr>
              <w:pStyle w:val="59"/>
              <w:ind w:left="422" w:hanging="422"/>
              <w:rPr>
                <w:rFonts w:hint="eastAsia" w:ascii="宋体" w:hAnsi="宋体"/>
                <w:b/>
              </w:rPr>
            </w:pPr>
          </w:p>
        </w:tc>
        <w:tc>
          <w:tcPr>
            <w:tcW w:w="94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407" w:type="dxa"/>
            <w:noWrap w:val="0"/>
            <w:vAlign w:val="top"/>
          </w:tcPr>
          <w:p>
            <w:pPr>
              <w:pStyle w:val="59"/>
              <w:ind w:left="422" w:hanging="422"/>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noWrap w:val="0"/>
            <w:vAlign w:val="top"/>
          </w:tcPr>
          <w:p>
            <w:pPr>
              <w:pStyle w:val="59"/>
              <w:ind w:left="422" w:hanging="422"/>
              <w:rPr>
                <w:rFonts w:hint="eastAsia" w:ascii="宋体" w:hAnsi="宋体"/>
                <w:b/>
              </w:rPr>
            </w:pPr>
          </w:p>
        </w:tc>
        <w:tc>
          <w:tcPr>
            <w:tcW w:w="1785" w:type="dxa"/>
            <w:noWrap w:val="0"/>
            <w:vAlign w:val="top"/>
          </w:tcPr>
          <w:p>
            <w:pPr>
              <w:pStyle w:val="59"/>
              <w:ind w:left="422" w:hanging="422"/>
              <w:rPr>
                <w:rFonts w:hint="eastAsia" w:ascii="宋体" w:hAnsi="宋体"/>
                <w:b/>
              </w:rPr>
            </w:pPr>
          </w:p>
        </w:tc>
        <w:tc>
          <w:tcPr>
            <w:tcW w:w="735" w:type="dxa"/>
            <w:noWrap w:val="0"/>
            <w:vAlign w:val="top"/>
          </w:tcPr>
          <w:p>
            <w:pPr>
              <w:pStyle w:val="59"/>
              <w:ind w:left="422" w:hanging="422"/>
              <w:rPr>
                <w:rFonts w:hint="eastAsia" w:ascii="宋体" w:hAnsi="宋体"/>
                <w:b/>
              </w:rPr>
            </w:pPr>
          </w:p>
        </w:tc>
        <w:tc>
          <w:tcPr>
            <w:tcW w:w="840" w:type="dxa"/>
            <w:noWrap w:val="0"/>
            <w:vAlign w:val="top"/>
          </w:tcPr>
          <w:p>
            <w:pPr>
              <w:pStyle w:val="59"/>
              <w:ind w:left="422" w:hanging="422"/>
              <w:rPr>
                <w:rFonts w:hint="eastAsia" w:ascii="宋体" w:hAnsi="宋体"/>
                <w:b/>
              </w:rPr>
            </w:pPr>
          </w:p>
        </w:tc>
        <w:tc>
          <w:tcPr>
            <w:tcW w:w="94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407" w:type="dxa"/>
            <w:noWrap w:val="0"/>
            <w:vAlign w:val="top"/>
          </w:tcPr>
          <w:p>
            <w:pPr>
              <w:pStyle w:val="59"/>
              <w:ind w:left="422" w:hanging="422"/>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noWrap w:val="0"/>
            <w:vAlign w:val="top"/>
          </w:tcPr>
          <w:p>
            <w:pPr>
              <w:pStyle w:val="59"/>
              <w:ind w:left="422" w:hanging="422"/>
              <w:rPr>
                <w:rFonts w:hint="eastAsia" w:ascii="宋体" w:hAnsi="宋体"/>
                <w:b/>
              </w:rPr>
            </w:pPr>
          </w:p>
        </w:tc>
        <w:tc>
          <w:tcPr>
            <w:tcW w:w="1785" w:type="dxa"/>
            <w:noWrap w:val="0"/>
            <w:vAlign w:val="top"/>
          </w:tcPr>
          <w:p>
            <w:pPr>
              <w:pStyle w:val="59"/>
              <w:ind w:left="422" w:hanging="422"/>
              <w:rPr>
                <w:rFonts w:hint="eastAsia" w:ascii="宋体" w:hAnsi="宋体"/>
                <w:b/>
              </w:rPr>
            </w:pPr>
          </w:p>
        </w:tc>
        <w:tc>
          <w:tcPr>
            <w:tcW w:w="735" w:type="dxa"/>
            <w:noWrap w:val="0"/>
            <w:vAlign w:val="top"/>
          </w:tcPr>
          <w:p>
            <w:pPr>
              <w:pStyle w:val="59"/>
              <w:ind w:left="422" w:hanging="422"/>
              <w:rPr>
                <w:rFonts w:hint="eastAsia" w:ascii="宋体" w:hAnsi="宋体"/>
                <w:b/>
              </w:rPr>
            </w:pPr>
          </w:p>
        </w:tc>
        <w:tc>
          <w:tcPr>
            <w:tcW w:w="840" w:type="dxa"/>
            <w:noWrap w:val="0"/>
            <w:vAlign w:val="top"/>
          </w:tcPr>
          <w:p>
            <w:pPr>
              <w:pStyle w:val="59"/>
              <w:ind w:left="422" w:hanging="422"/>
              <w:rPr>
                <w:rFonts w:hint="eastAsia" w:ascii="宋体" w:hAnsi="宋体"/>
                <w:b/>
              </w:rPr>
            </w:pPr>
          </w:p>
        </w:tc>
        <w:tc>
          <w:tcPr>
            <w:tcW w:w="94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407" w:type="dxa"/>
            <w:noWrap w:val="0"/>
            <w:vAlign w:val="top"/>
          </w:tcPr>
          <w:p>
            <w:pPr>
              <w:pStyle w:val="59"/>
              <w:ind w:left="422" w:hanging="422"/>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noWrap w:val="0"/>
            <w:vAlign w:val="top"/>
          </w:tcPr>
          <w:p>
            <w:pPr>
              <w:pStyle w:val="59"/>
              <w:ind w:left="422" w:hanging="422"/>
              <w:rPr>
                <w:rFonts w:hint="eastAsia" w:ascii="宋体" w:hAnsi="宋体"/>
                <w:b/>
              </w:rPr>
            </w:pPr>
          </w:p>
        </w:tc>
        <w:tc>
          <w:tcPr>
            <w:tcW w:w="1785" w:type="dxa"/>
            <w:noWrap w:val="0"/>
            <w:vAlign w:val="top"/>
          </w:tcPr>
          <w:p>
            <w:pPr>
              <w:pStyle w:val="59"/>
              <w:ind w:left="422" w:hanging="422"/>
              <w:rPr>
                <w:rFonts w:hint="eastAsia" w:ascii="宋体" w:hAnsi="宋体"/>
                <w:b/>
              </w:rPr>
            </w:pPr>
          </w:p>
        </w:tc>
        <w:tc>
          <w:tcPr>
            <w:tcW w:w="735" w:type="dxa"/>
            <w:noWrap w:val="0"/>
            <w:vAlign w:val="top"/>
          </w:tcPr>
          <w:p>
            <w:pPr>
              <w:pStyle w:val="59"/>
              <w:ind w:left="422" w:hanging="422"/>
              <w:rPr>
                <w:rFonts w:hint="eastAsia" w:ascii="宋体" w:hAnsi="宋体"/>
                <w:b/>
              </w:rPr>
            </w:pPr>
          </w:p>
        </w:tc>
        <w:tc>
          <w:tcPr>
            <w:tcW w:w="840" w:type="dxa"/>
            <w:noWrap w:val="0"/>
            <w:vAlign w:val="top"/>
          </w:tcPr>
          <w:p>
            <w:pPr>
              <w:pStyle w:val="59"/>
              <w:ind w:left="422" w:hanging="422"/>
              <w:rPr>
                <w:rFonts w:hint="eastAsia" w:ascii="宋体" w:hAnsi="宋体"/>
                <w:b/>
              </w:rPr>
            </w:pPr>
          </w:p>
        </w:tc>
        <w:tc>
          <w:tcPr>
            <w:tcW w:w="94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407" w:type="dxa"/>
            <w:noWrap w:val="0"/>
            <w:vAlign w:val="top"/>
          </w:tcPr>
          <w:p>
            <w:pPr>
              <w:pStyle w:val="59"/>
              <w:ind w:left="422" w:hanging="422"/>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noWrap w:val="0"/>
            <w:vAlign w:val="top"/>
          </w:tcPr>
          <w:p>
            <w:pPr>
              <w:pStyle w:val="59"/>
              <w:ind w:left="422" w:hanging="422"/>
              <w:rPr>
                <w:rFonts w:hint="eastAsia" w:ascii="宋体" w:hAnsi="宋体"/>
                <w:b/>
              </w:rPr>
            </w:pPr>
          </w:p>
        </w:tc>
        <w:tc>
          <w:tcPr>
            <w:tcW w:w="1785" w:type="dxa"/>
            <w:noWrap w:val="0"/>
            <w:vAlign w:val="top"/>
          </w:tcPr>
          <w:p>
            <w:pPr>
              <w:pStyle w:val="59"/>
              <w:ind w:left="422" w:hanging="422"/>
              <w:rPr>
                <w:rFonts w:hint="eastAsia" w:ascii="宋体" w:hAnsi="宋体"/>
                <w:b/>
              </w:rPr>
            </w:pPr>
          </w:p>
        </w:tc>
        <w:tc>
          <w:tcPr>
            <w:tcW w:w="735" w:type="dxa"/>
            <w:noWrap w:val="0"/>
            <w:vAlign w:val="top"/>
          </w:tcPr>
          <w:p>
            <w:pPr>
              <w:pStyle w:val="59"/>
              <w:ind w:left="422" w:hanging="422"/>
              <w:rPr>
                <w:rFonts w:hint="eastAsia" w:ascii="宋体" w:hAnsi="宋体"/>
                <w:b/>
              </w:rPr>
            </w:pPr>
          </w:p>
        </w:tc>
        <w:tc>
          <w:tcPr>
            <w:tcW w:w="840" w:type="dxa"/>
            <w:noWrap w:val="0"/>
            <w:vAlign w:val="top"/>
          </w:tcPr>
          <w:p>
            <w:pPr>
              <w:pStyle w:val="59"/>
              <w:ind w:left="422" w:hanging="422"/>
              <w:rPr>
                <w:rFonts w:hint="eastAsia" w:ascii="宋体" w:hAnsi="宋体"/>
                <w:b/>
              </w:rPr>
            </w:pPr>
          </w:p>
        </w:tc>
        <w:tc>
          <w:tcPr>
            <w:tcW w:w="94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407" w:type="dxa"/>
            <w:noWrap w:val="0"/>
            <w:vAlign w:val="top"/>
          </w:tcPr>
          <w:p>
            <w:pPr>
              <w:pStyle w:val="59"/>
              <w:ind w:left="422" w:hanging="422"/>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noWrap w:val="0"/>
            <w:vAlign w:val="top"/>
          </w:tcPr>
          <w:p>
            <w:pPr>
              <w:pStyle w:val="59"/>
              <w:ind w:left="422" w:hanging="422"/>
              <w:rPr>
                <w:rFonts w:hint="eastAsia" w:ascii="宋体" w:hAnsi="宋体"/>
                <w:b/>
              </w:rPr>
            </w:pPr>
          </w:p>
        </w:tc>
        <w:tc>
          <w:tcPr>
            <w:tcW w:w="1785" w:type="dxa"/>
            <w:noWrap w:val="0"/>
            <w:vAlign w:val="top"/>
          </w:tcPr>
          <w:p>
            <w:pPr>
              <w:pStyle w:val="59"/>
              <w:ind w:left="422" w:hanging="422"/>
              <w:rPr>
                <w:rFonts w:hint="eastAsia" w:ascii="宋体" w:hAnsi="宋体"/>
                <w:b/>
              </w:rPr>
            </w:pPr>
          </w:p>
        </w:tc>
        <w:tc>
          <w:tcPr>
            <w:tcW w:w="735" w:type="dxa"/>
            <w:noWrap w:val="0"/>
            <w:vAlign w:val="top"/>
          </w:tcPr>
          <w:p>
            <w:pPr>
              <w:pStyle w:val="59"/>
              <w:ind w:left="422" w:hanging="422"/>
              <w:rPr>
                <w:rFonts w:hint="eastAsia" w:ascii="宋体" w:hAnsi="宋体"/>
                <w:b/>
              </w:rPr>
            </w:pPr>
          </w:p>
        </w:tc>
        <w:tc>
          <w:tcPr>
            <w:tcW w:w="840" w:type="dxa"/>
            <w:noWrap w:val="0"/>
            <w:vAlign w:val="top"/>
          </w:tcPr>
          <w:p>
            <w:pPr>
              <w:pStyle w:val="59"/>
              <w:ind w:left="422" w:hanging="422"/>
              <w:rPr>
                <w:rFonts w:hint="eastAsia" w:ascii="宋体" w:hAnsi="宋体"/>
                <w:b/>
              </w:rPr>
            </w:pPr>
          </w:p>
        </w:tc>
        <w:tc>
          <w:tcPr>
            <w:tcW w:w="94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407" w:type="dxa"/>
            <w:noWrap w:val="0"/>
            <w:vAlign w:val="top"/>
          </w:tcPr>
          <w:p>
            <w:pPr>
              <w:pStyle w:val="59"/>
              <w:ind w:left="422" w:hanging="422"/>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noWrap w:val="0"/>
            <w:vAlign w:val="top"/>
          </w:tcPr>
          <w:p>
            <w:pPr>
              <w:pStyle w:val="59"/>
              <w:ind w:left="422" w:hanging="422"/>
              <w:rPr>
                <w:rFonts w:hint="eastAsia" w:ascii="宋体" w:hAnsi="宋体"/>
                <w:b/>
              </w:rPr>
            </w:pPr>
          </w:p>
        </w:tc>
        <w:tc>
          <w:tcPr>
            <w:tcW w:w="1785" w:type="dxa"/>
            <w:noWrap w:val="0"/>
            <w:vAlign w:val="top"/>
          </w:tcPr>
          <w:p>
            <w:pPr>
              <w:pStyle w:val="59"/>
              <w:ind w:left="422" w:hanging="422"/>
              <w:rPr>
                <w:rFonts w:hint="eastAsia" w:ascii="宋体" w:hAnsi="宋体"/>
                <w:b/>
              </w:rPr>
            </w:pPr>
          </w:p>
        </w:tc>
        <w:tc>
          <w:tcPr>
            <w:tcW w:w="735" w:type="dxa"/>
            <w:noWrap w:val="0"/>
            <w:vAlign w:val="top"/>
          </w:tcPr>
          <w:p>
            <w:pPr>
              <w:pStyle w:val="59"/>
              <w:ind w:left="422" w:hanging="422"/>
              <w:rPr>
                <w:rFonts w:hint="eastAsia" w:ascii="宋体" w:hAnsi="宋体"/>
                <w:b/>
              </w:rPr>
            </w:pPr>
          </w:p>
        </w:tc>
        <w:tc>
          <w:tcPr>
            <w:tcW w:w="840" w:type="dxa"/>
            <w:noWrap w:val="0"/>
            <w:vAlign w:val="top"/>
          </w:tcPr>
          <w:p>
            <w:pPr>
              <w:pStyle w:val="59"/>
              <w:ind w:left="422" w:hanging="422"/>
              <w:rPr>
                <w:rFonts w:hint="eastAsia" w:ascii="宋体" w:hAnsi="宋体"/>
                <w:b/>
              </w:rPr>
            </w:pPr>
          </w:p>
        </w:tc>
        <w:tc>
          <w:tcPr>
            <w:tcW w:w="94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407" w:type="dxa"/>
            <w:noWrap w:val="0"/>
            <w:vAlign w:val="top"/>
          </w:tcPr>
          <w:p>
            <w:pPr>
              <w:pStyle w:val="59"/>
              <w:ind w:left="422" w:hanging="422"/>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noWrap w:val="0"/>
            <w:vAlign w:val="top"/>
          </w:tcPr>
          <w:p>
            <w:pPr>
              <w:pStyle w:val="59"/>
              <w:ind w:left="422" w:hanging="422"/>
              <w:rPr>
                <w:rFonts w:hint="eastAsia" w:ascii="宋体" w:hAnsi="宋体"/>
                <w:b/>
              </w:rPr>
            </w:pPr>
          </w:p>
        </w:tc>
        <w:tc>
          <w:tcPr>
            <w:tcW w:w="1785" w:type="dxa"/>
            <w:noWrap w:val="0"/>
            <w:vAlign w:val="top"/>
          </w:tcPr>
          <w:p>
            <w:pPr>
              <w:pStyle w:val="59"/>
              <w:ind w:left="422" w:hanging="422"/>
              <w:rPr>
                <w:rFonts w:hint="eastAsia" w:ascii="宋体" w:hAnsi="宋体"/>
                <w:b/>
              </w:rPr>
            </w:pPr>
          </w:p>
        </w:tc>
        <w:tc>
          <w:tcPr>
            <w:tcW w:w="735" w:type="dxa"/>
            <w:noWrap w:val="0"/>
            <w:vAlign w:val="top"/>
          </w:tcPr>
          <w:p>
            <w:pPr>
              <w:pStyle w:val="59"/>
              <w:ind w:left="422" w:hanging="422"/>
              <w:rPr>
                <w:rFonts w:hint="eastAsia" w:ascii="宋体" w:hAnsi="宋体"/>
                <w:b/>
              </w:rPr>
            </w:pPr>
          </w:p>
        </w:tc>
        <w:tc>
          <w:tcPr>
            <w:tcW w:w="840" w:type="dxa"/>
            <w:noWrap w:val="0"/>
            <w:vAlign w:val="top"/>
          </w:tcPr>
          <w:p>
            <w:pPr>
              <w:pStyle w:val="59"/>
              <w:ind w:left="422" w:hanging="422"/>
              <w:rPr>
                <w:rFonts w:hint="eastAsia" w:ascii="宋体" w:hAnsi="宋体"/>
                <w:b/>
              </w:rPr>
            </w:pPr>
          </w:p>
        </w:tc>
        <w:tc>
          <w:tcPr>
            <w:tcW w:w="94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407" w:type="dxa"/>
            <w:noWrap w:val="0"/>
            <w:vAlign w:val="top"/>
          </w:tcPr>
          <w:p>
            <w:pPr>
              <w:pStyle w:val="59"/>
              <w:ind w:left="422" w:hanging="422"/>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noWrap w:val="0"/>
            <w:vAlign w:val="top"/>
          </w:tcPr>
          <w:p>
            <w:pPr>
              <w:pStyle w:val="59"/>
              <w:ind w:left="422" w:hanging="422"/>
              <w:rPr>
                <w:rFonts w:hint="eastAsia" w:ascii="宋体" w:hAnsi="宋体"/>
                <w:b/>
              </w:rPr>
            </w:pPr>
          </w:p>
        </w:tc>
        <w:tc>
          <w:tcPr>
            <w:tcW w:w="1785" w:type="dxa"/>
            <w:noWrap w:val="0"/>
            <w:vAlign w:val="top"/>
          </w:tcPr>
          <w:p>
            <w:pPr>
              <w:pStyle w:val="59"/>
              <w:ind w:left="422" w:hanging="422"/>
              <w:rPr>
                <w:rFonts w:hint="eastAsia" w:ascii="宋体" w:hAnsi="宋体"/>
                <w:b/>
              </w:rPr>
            </w:pPr>
          </w:p>
        </w:tc>
        <w:tc>
          <w:tcPr>
            <w:tcW w:w="735" w:type="dxa"/>
            <w:noWrap w:val="0"/>
            <w:vAlign w:val="top"/>
          </w:tcPr>
          <w:p>
            <w:pPr>
              <w:pStyle w:val="59"/>
              <w:ind w:left="422" w:hanging="422"/>
              <w:rPr>
                <w:rFonts w:hint="eastAsia" w:ascii="宋体" w:hAnsi="宋体"/>
                <w:b/>
              </w:rPr>
            </w:pPr>
          </w:p>
        </w:tc>
        <w:tc>
          <w:tcPr>
            <w:tcW w:w="840" w:type="dxa"/>
            <w:noWrap w:val="0"/>
            <w:vAlign w:val="top"/>
          </w:tcPr>
          <w:p>
            <w:pPr>
              <w:pStyle w:val="59"/>
              <w:ind w:left="422" w:hanging="422"/>
              <w:rPr>
                <w:rFonts w:hint="eastAsia" w:ascii="宋体" w:hAnsi="宋体"/>
                <w:b/>
              </w:rPr>
            </w:pPr>
          </w:p>
        </w:tc>
        <w:tc>
          <w:tcPr>
            <w:tcW w:w="94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407" w:type="dxa"/>
            <w:noWrap w:val="0"/>
            <w:vAlign w:val="top"/>
          </w:tcPr>
          <w:p>
            <w:pPr>
              <w:pStyle w:val="59"/>
              <w:ind w:left="422" w:hanging="422"/>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noWrap w:val="0"/>
            <w:vAlign w:val="top"/>
          </w:tcPr>
          <w:p>
            <w:pPr>
              <w:pStyle w:val="59"/>
              <w:ind w:left="422" w:hanging="422"/>
              <w:rPr>
                <w:rFonts w:hint="eastAsia" w:ascii="宋体" w:hAnsi="宋体"/>
                <w:b/>
              </w:rPr>
            </w:pPr>
          </w:p>
        </w:tc>
        <w:tc>
          <w:tcPr>
            <w:tcW w:w="1785" w:type="dxa"/>
            <w:noWrap w:val="0"/>
            <w:vAlign w:val="top"/>
          </w:tcPr>
          <w:p>
            <w:pPr>
              <w:pStyle w:val="59"/>
              <w:ind w:left="422" w:hanging="422"/>
              <w:rPr>
                <w:rFonts w:hint="eastAsia" w:ascii="宋体" w:hAnsi="宋体"/>
                <w:b/>
              </w:rPr>
            </w:pPr>
          </w:p>
        </w:tc>
        <w:tc>
          <w:tcPr>
            <w:tcW w:w="735" w:type="dxa"/>
            <w:noWrap w:val="0"/>
            <w:vAlign w:val="top"/>
          </w:tcPr>
          <w:p>
            <w:pPr>
              <w:pStyle w:val="59"/>
              <w:ind w:left="422" w:hanging="422"/>
              <w:rPr>
                <w:rFonts w:hint="eastAsia" w:ascii="宋体" w:hAnsi="宋体"/>
                <w:b/>
              </w:rPr>
            </w:pPr>
          </w:p>
        </w:tc>
        <w:tc>
          <w:tcPr>
            <w:tcW w:w="840" w:type="dxa"/>
            <w:noWrap w:val="0"/>
            <w:vAlign w:val="top"/>
          </w:tcPr>
          <w:p>
            <w:pPr>
              <w:pStyle w:val="59"/>
              <w:ind w:left="422" w:hanging="422"/>
              <w:rPr>
                <w:rFonts w:hint="eastAsia" w:ascii="宋体" w:hAnsi="宋体"/>
                <w:b/>
              </w:rPr>
            </w:pPr>
          </w:p>
        </w:tc>
        <w:tc>
          <w:tcPr>
            <w:tcW w:w="94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407" w:type="dxa"/>
            <w:noWrap w:val="0"/>
            <w:vAlign w:val="top"/>
          </w:tcPr>
          <w:p>
            <w:pPr>
              <w:pStyle w:val="59"/>
              <w:ind w:left="422" w:hanging="422"/>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noWrap w:val="0"/>
            <w:vAlign w:val="top"/>
          </w:tcPr>
          <w:p>
            <w:pPr>
              <w:pStyle w:val="59"/>
              <w:ind w:left="422" w:hanging="422"/>
              <w:rPr>
                <w:rFonts w:hint="eastAsia" w:ascii="宋体" w:hAnsi="宋体"/>
                <w:b/>
              </w:rPr>
            </w:pPr>
          </w:p>
        </w:tc>
        <w:tc>
          <w:tcPr>
            <w:tcW w:w="1785" w:type="dxa"/>
            <w:noWrap w:val="0"/>
            <w:vAlign w:val="top"/>
          </w:tcPr>
          <w:p>
            <w:pPr>
              <w:pStyle w:val="59"/>
              <w:ind w:left="422" w:hanging="422"/>
              <w:rPr>
                <w:rFonts w:hint="eastAsia" w:ascii="宋体" w:hAnsi="宋体"/>
                <w:b/>
              </w:rPr>
            </w:pPr>
          </w:p>
        </w:tc>
        <w:tc>
          <w:tcPr>
            <w:tcW w:w="735" w:type="dxa"/>
            <w:noWrap w:val="0"/>
            <w:vAlign w:val="top"/>
          </w:tcPr>
          <w:p>
            <w:pPr>
              <w:pStyle w:val="59"/>
              <w:ind w:left="422" w:hanging="422"/>
              <w:rPr>
                <w:rFonts w:hint="eastAsia" w:ascii="宋体" w:hAnsi="宋体"/>
                <w:b/>
              </w:rPr>
            </w:pPr>
          </w:p>
        </w:tc>
        <w:tc>
          <w:tcPr>
            <w:tcW w:w="840" w:type="dxa"/>
            <w:noWrap w:val="0"/>
            <w:vAlign w:val="top"/>
          </w:tcPr>
          <w:p>
            <w:pPr>
              <w:pStyle w:val="59"/>
              <w:ind w:left="422" w:hanging="422"/>
              <w:rPr>
                <w:rFonts w:hint="eastAsia" w:ascii="宋体" w:hAnsi="宋体"/>
                <w:b/>
              </w:rPr>
            </w:pPr>
          </w:p>
        </w:tc>
        <w:tc>
          <w:tcPr>
            <w:tcW w:w="94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407" w:type="dxa"/>
            <w:noWrap w:val="0"/>
            <w:vAlign w:val="top"/>
          </w:tcPr>
          <w:p>
            <w:pPr>
              <w:pStyle w:val="59"/>
              <w:ind w:left="422" w:hanging="422"/>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noWrap w:val="0"/>
            <w:vAlign w:val="top"/>
          </w:tcPr>
          <w:p>
            <w:pPr>
              <w:pStyle w:val="59"/>
              <w:ind w:left="422" w:hanging="422"/>
              <w:rPr>
                <w:rFonts w:hint="eastAsia" w:ascii="宋体" w:hAnsi="宋体"/>
                <w:b/>
              </w:rPr>
            </w:pPr>
          </w:p>
        </w:tc>
        <w:tc>
          <w:tcPr>
            <w:tcW w:w="1785" w:type="dxa"/>
            <w:noWrap w:val="0"/>
            <w:vAlign w:val="top"/>
          </w:tcPr>
          <w:p>
            <w:pPr>
              <w:pStyle w:val="59"/>
              <w:ind w:left="422" w:hanging="422"/>
              <w:rPr>
                <w:rFonts w:hint="eastAsia" w:ascii="宋体" w:hAnsi="宋体"/>
                <w:b/>
              </w:rPr>
            </w:pPr>
          </w:p>
        </w:tc>
        <w:tc>
          <w:tcPr>
            <w:tcW w:w="735" w:type="dxa"/>
            <w:noWrap w:val="0"/>
            <w:vAlign w:val="top"/>
          </w:tcPr>
          <w:p>
            <w:pPr>
              <w:pStyle w:val="59"/>
              <w:ind w:left="422" w:hanging="422"/>
              <w:rPr>
                <w:rFonts w:hint="eastAsia" w:ascii="宋体" w:hAnsi="宋体"/>
                <w:b/>
              </w:rPr>
            </w:pPr>
          </w:p>
        </w:tc>
        <w:tc>
          <w:tcPr>
            <w:tcW w:w="840" w:type="dxa"/>
            <w:noWrap w:val="0"/>
            <w:vAlign w:val="top"/>
          </w:tcPr>
          <w:p>
            <w:pPr>
              <w:pStyle w:val="59"/>
              <w:ind w:left="422" w:hanging="422"/>
              <w:rPr>
                <w:rFonts w:hint="eastAsia" w:ascii="宋体" w:hAnsi="宋体"/>
                <w:b/>
              </w:rPr>
            </w:pPr>
          </w:p>
        </w:tc>
        <w:tc>
          <w:tcPr>
            <w:tcW w:w="94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365" w:type="dxa"/>
            <w:noWrap w:val="0"/>
            <w:vAlign w:val="top"/>
          </w:tcPr>
          <w:p>
            <w:pPr>
              <w:pStyle w:val="59"/>
              <w:ind w:left="422" w:hanging="422"/>
              <w:rPr>
                <w:rFonts w:hint="eastAsia" w:ascii="宋体" w:hAnsi="宋体"/>
                <w:b/>
              </w:rPr>
            </w:pPr>
          </w:p>
        </w:tc>
        <w:tc>
          <w:tcPr>
            <w:tcW w:w="1407" w:type="dxa"/>
            <w:noWrap w:val="0"/>
            <w:vAlign w:val="top"/>
          </w:tcPr>
          <w:p>
            <w:pPr>
              <w:pStyle w:val="59"/>
              <w:ind w:left="422" w:hanging="422"/>
              <w:rPr>
                <w:rFonts w:hint="eastAsia" w:ascii="宋体" w:hAnsi="宋体"/>
                <w:b/>
              </w:rPr>
            </w:pPr>
          </w:p>
        </w:tc>
      </w:tr>
    </w:tbl>
    <w:p>
      <w:pPr>
        <w:spacing w:line="0" w:lineRule="atLeast"/>
        <w:ind w:firstLine="480"/>
        <w:rPr>
          <w:rFonts w:ascii="宋体" w:hAnsi="宋体"/>
          <w:sz w:val="24"/>
        </w:rPr>
      </w:pPr>
    </w:p>
    <w:p>
      <w:pPr>
        <w:spacing w:line="0" w:lineRule="atLeast"/>
        <w:rPr>
          <w:rFonts w:hint="eastAsia" w:ascii="宋体" w:hAnsi="宋体"/>
          <w:sz w:val="24"/>
        </w:rPr>
      </w:pPr>
      <w:r>
        <w:rPr>
          <w:rFonts w:hint="eastAsia" w:ascii="宋体" w:hAnsi="宋体"/>
          <w:sz w:val="24"/>
        </w:rPr>
        <w:t>注：</w:t>
      </w:r>
      <w:r>
        <w:rPr>
          <w:rFonts w:hint="eastAsia" w:ascii="宋体" w:hAnsi="宋体" w:cs="宋体"/>
          <w:kern w:val="0"/>
          <w:sz w:val="24"/>
        </w:rPr>
        <w:t>提供近三年同类产品的制造销售业绩（用户名单、联系方式）</w:t>
      </w:r>
      <w:r>
        <w:rPr>
          <w:rFonts w:hint="eastAsia" w:ascii="宋体" w:hAnsi="宋体"/>
          <w:sz w:val="24"/>
        </w:rPr>
        <w:t>，并附合同复印件。</w:t>
      </w:r>
    </w:p>
    <w:p>
      <w:pPr>
        <w:tabs>
          <w:tab w:val="left" w:pos="1578"/>
          <w:tab w:val="left" w:pos="10083"/>
        </w:tabs>
        <w:spacing w:line="500" w:lineRule="exact"/>
        <w:ind w:firstLine="480"/>
        <w:rPr>
          <w:rFonts w:hint="eastAsia" w:ascii="宋体" w:hAnsi="宋体"/>
          <w:sz w:val="24"/>
        </w:rPr>
      </w:pPr>
    </w:p>
    <w:p>
      <w:pPr>
        <w:spacing w:line="660" w:lineRule="exact"/>
        <w:ind w:firstLine="480" w:firstLineChars="200"/>
        <w:rPr>
          <w:rFonts w:hint="eastAsia" w:ascii="宋体" w:hAnsi="宋体"/>
          <w:sz w:val="24"/>
        </w:rPr>
      </w:pPr>
      <w:r>
        <w:rPr>
          <w:rFonts w:hint="eastAsia" w:ascii="宋体" w:hAnsi="宋体"/>
          <w:sz w:val="24"/>
        </w:rPr>
        <w:t>投标人：（盖章）</w:t>
      </w:r>
    </w:p>
    <w:p>
      <w:pPr>
        <w:spacing w:line="660" w:lineRule="exact"/>
        <w:ind w:firstLine="480" w:firstLineChars="200"/>
        <w:rPr>
          <w:rFonts w:hint="eastAsia" w:ascii="宋体" w:hAnsi="宋体"/>
          <w:sz w:val="24"/>
        </w:rPr>
      </w:pPr>
      <w:r>
        <w:rPr>
          <w:rFonts w:hint="eastAsia" w:ascii="宋体" w:hAnsi="宋体"/>
          <w:sz w:val="24"/>
        </w:rPr>
        <w:t>法定代表人（委托代理人）：（签字）</w:t>
      </w:r>
    </w:p>
    <w:p>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ind w:firstLine="480"/>
        <w:rPr>
          <w:rFonts w:hint="eastAsia"/>
        </w:rPr>
      </w:pPr>
    </w:p>
    <w:p>
      <w:pPr>
        <w:pStyle w:val="4"/>
        <w:numPr>
          <w:ilvl w:val="0"/>
          <w:numId w:val="0"/>
        </w:numPr>
        <w:spacing w:before="120"/>
        <w:rPr>
          <w:rFonts w:hint="eastAsia"/>
        </w:rPr>
      </w:pPr>
      <w:bookmarkStart w:id="528" w:name="_Toc27504"/>
      <w:bookmarkStart w:id="529" w:name="_Toc424118190"/>
      <w:bookmarkStart w:id="530" w:name="_Toc28878"/>
      <w:bookmarkStart w:id="531" w:name="_Toc518655813"/>
      <w:bookmarkStart w:id="532" w:name="_Toc353881021"/>
      <w:bookmarkStart w:id="533" w:name="_Toc7754"/>
      <w:bookmarkStart w:id="534" w:name="_Toc3967"/>
      <w:bookmarkStart w:id="535" w:name="_Toc25600"/>
      <w:bookmarkStart w:id="536" w:name="_Toc28044"/>
      <w:bookmarkStart w:id="537" w:name="_Toc14341861"/>
      <w:r>
        <w:rPr>
          <w:rFonts w:hint="eastAsia"/>
        </w:rPr>
        <w:t>附件九：服务承诺函</w:t>
      </w:r>
      <w:bookmarkEnd w:id="528"/>
      <w:bookmarkEnd w:id="529"/>
      <w:bookmarkEnd w:id="530"/>
      <w:bookmarkEnd w:id="531"/>
      <w:bookmarkEnd w:id="532"/>
      <w:bookmarkEnd w:id="533"/>
      <w:bookmarkEnd w:id="534"/>
      <w:bookmarkEnd w:id="535"/>
      <w:bookmarkEnd w:id="536"/>
    </w:p>
    <w:p>
      <w:pPr>
        <w:pStyle w:val="7"/>
        <w:spacing w:after="0" w:line="460" w:lineRule="exact"/>
        <w:ind w:firstLine="643"/>
        <w:jc w:val="center"/>
        <w:rPr>
          <w:rFonts w:hint="eastAsia" w:ascii="宋体" w:hAnsi="宋体" w:cs="宋体"/>
          <w:b/>
          <w:bCs/>
          <w:sz w:val="32"/>
          <w:szCs w:val="32"/>
        </w:rPr>
      </w:pPr>
      <w:r>
        <w:rPr>
          <w:rFonts w:hint="eastAsia" w:ascii="宋体" w:hAnsi="宋体" w:cs="宋体"/>
          <w:b/>
          <w:bCs/>
          <w:sz w:val="32"/>
          <w:szCs w:val="32"/>
        </w:rPr>
        <w:t>服务承诺函</w:t>
      </w:r>
    </w:p>
    <w:p>
      <w:pPr>
        <w:spacing w:line="240" w:lineRule="exact"/>
        <w:ind w:firstLine="723"/>
        <w:jc w:val="center"/>
        <w:rPr>
          <w:rFonts w:hint="eastAsia" w:ascii="宋体" w:hAnsi="宋体"/>
          <w:b/>
          <w:bCs/>
          <w:sz w:val="36"/>
        </w:rPr>
      </w:pPr>
    </w:p>
    <w:p>
      <w:pPr>
        <w:spacing w:line="360" w:lineRule="auto"/>
        <w:ind w:firstLine="480"/>
        <w:rPr>
          <w:rFonts w:hint="eastAsia" w:ascii="宋体" w:hAnsi="宋体" w:eastAsia="宋体" w:cs="Times New Roman"/>
          <w:sz w:val="24"/>
        </w:rPr>
      </w:pPr>
      <w:r>
        <w:rPr>
          <w:rFonts w:hint="eastAsia" w:ascii="宋体" w:hAnsi="宋体"/>
          <w:sz w:val="24"/>
        </w:rPr>
        <w:t>项目名称：</w:t>
      </w:r>
      <w:r>
        <w:rPr>
          <w:rFonts w:hint="eastAsia" w:ascii="宋体" w:hAnsi="宋体" w:eastAsia="宋体" w:cs="Times New Roman"/>
          <w:sz w:val="24"/>
          <w:lang w:val="en-US" w:eastAsia="zh-CN"/>
        </w:rPr>
        <w:t>中国重汽集团</w:t>
      </w:r>
      <w:r>
        <w:rPr>
          <w:rFonts w:hint="eastAsia" w:ascii="宋体" w:hAnsi="宋体" w:eastAsia="宋体" w:cs="Times New Roman"/>
          <w:sz w:val="24"/>
          <w:lang w:eastAsia="zh-CN"/>
        </w:rPr>
        <w:t>泰安五岳专用汽车</w:t>
      </w:r>
      <w:r>
        <w:rPr>
          <w:rFonts w:hint="eastAsia" w:ascii="宋体" w:hAnsi="宋体" w:eastAsia="宋体" w:cs="Times New Roman"/>
          <w:sz w:val="24"/>
          <w:lang w:val="en-US" w:eastAsia="zh-CN"/>
        </w:rPr>
        <w:t>有限公司网络安全边界防护项目</w:t>
      </w:r>
      <w:r>
        <w:rPr>
          <w:rFonts w:hint="eastAsia" w:ascii="宋体" w:hAnsi="宋体" w:eastAsia="宋体" w:cs="Times New Roman"/>
          <w:sz w:val="24"/>
        </w:rPr>
        <w:t xml:space="preserve"> </w:t>
      </w:r>
    </w:p>
    <w:p>
      <w:pPr>
        <w:spacing w:line="360" w:lineRule="auto"/>
        <w:ind w:firstLine="480"/>
        <w:rPr>
          <w:rFonts w:hint="eastAsia" w:ascii="宋体" w:hAnsi="宋体"/>
          <w:sz w:val="24"/>
          <w:u w:val="single"/>
        </w:rPr>
      </w:pPr>
      <w:r>
        <w:rPr>
          <w:rFonts w:hint="eastAsia" w:ascii="宋体" w:hAnsi="宋体"/>
          <w:sz w:val="24"/>
        </w:rPr>
        <w:t>项目编号：</w:t>
      </w:r>
      <w:r>
        <w:rPr>
          <w:rFonts w:hint="eastAsia" w:ascii="宋体" w:hAnsi="宋体"/>
          <w:sz w:val="24"/>
          <w:highlight w:val="none"/>
        </w:rPr>
        <w:t xml:space="preserve"> </w:t>
      </w:r>
      <w:r>
        <w:rPr>
          <w:rFonts w:hint="eastAsia" w:ascii="宋体" w:hAnsi="宋体"/>
          <w:sz w:val="24"/>
          <w:highlight w:val="none"/>
          <w:lang w:eastAsia="zh-CN"/>
        </w:rPr>
        <w:t>CGZXCX-202310-1393</w:t>
      </w:r>
      <w:r>
        <w:rPr>
          <w:rFonts w:hint="eastAsia" w:ascii="宋体" w:hAnsi="宋体"/>
          <w:sz w:val="24"/>
          <w:highlight w:val="none"/>
        </w:rPr>
        <w:t xml:space="preserve">    </w:t>
      </w:r>
      <w:r>
        <w:rPr>
          <w:rFonts w:hint="eastAsia" w:ascii="宋体" w:hAnsi="宋体"/>
          <w:sz w:val="24"/>
        </w:rPr>
        <w:t xml:space="preserve">     </w:t>
      </w:r>
    </w:p>
    <w:p>
      <w:pPr>
        <w:pStyle w:val="46"/>
        <w:adjustRightInd w:val="0"/>
        <w:snapToGrid w:val="0"/>
        <w:spacing w:before="72" w:beforeLines="30" w:line="360" w:lineRule="auto"/>
        <w:ind w:left="0" w:leftChars="0"/>
        <w:rPr>
          <w:rFonts w:ascii="宋体" w:hAnsi="宋体"/>
          <w:i/>
          <w:iCs/>
          <w:sz w:val="24"/>
        </w:rPr>
      </w:pPr>
      <w:r>
        <w:rPr>
          <w:rFonts w:hint="eastAsia" w:ascii="宋体" w:hAnsi="宋体"/>
          <w:sz w:val="24"/>
        </w:rPr>
        <w:t>中国重汽集团</w:t>
      </w:r>
      <w:r>
        <w:rPr>
          <w:rFonts w:hint="eastAsia" w:ascii="宋体" w:hAnsi="宋体"/>
          <w:sz w:val="24"/>
          <w:lang w:eastAsia="zh-CN"/>
        </w:rPr>
        <w:t>泰安五岳专用汽车</w:t>
      </w:r>
      <w:r>
        <w:rPr>
          <w:rFonts w:hint="eastAsia" w:ascii="宋体" w:hAnsi="宋体"/>
          <w:sz w:val="24"/>
        </w:rPr>
        <w:t>有限公司:</w:t>
      </w:r>
    </w:p>
    <w:p>
      <w:pPr>
        <w:spacing w:line="360" w:lineRule="auto"/>
        <w:ind w:firstLine="480"/>
        <w:rPr>
          <w:rFonts w:hint="eastAsia" w:ascii="宋体" w:hAnsi="宋体" w:cs="宋体"/>
          <w:sz w:val="24"/>
        </w:rPr>
      </w:pPr>
      <w:r>
        <w:rPr>
          <w:rFonts w:hint="eastAsia" w:ascii="宋体" w:hAnsi="宋体" w:cs="宋体"/>
          <w:sz w:val="24"/>
        </w:rPr>
        <w:t>我代表</w:t>
      </w:r>
      <w:r>
        <w:rPr>
          <w:rFonts w:hint="eastAsia" w:ascii="宋体" w:hAnsi="宋体" w:cs="宋体"/>
          <w:sz w:val="24"/>
          <w:u w:val="single"/>
        </w:rPr>
        <w:t xml:space="preserve">（投标单位名称）                  </w:t>
      </w:r>
      <w:r>
        <w:rPr>
          <w:rFonts w:hint="eastAsia" w:ascii="宋体" w:hAnsi="宋体" w:cs="宋体"/>
          <w:sz w:val="24"/>
        </w:rPr>
        <w:t>对中标合同产品的服务作如下承诺：</w:t>
      </w:r>
    </w:p>
    <w:p>
      <w:pPr>
        <w:tabs>
          <w:tab w:val="left" w:pos="615"/>
        </w:tabs>
        <w:spacing w:line="360" w:lineRule="auto"/>
        <w:ind w:firstLine="480" w:firstLineChars="200"/>
        <w:rPr>
          <w:rFonts w:ascii="宋体" w:hAnsi="宋体"/>
          <w:sz w:val="24"/>
        </w:rPr>
      </w:pPr>
      <w:r>
        <w:rPr>
          <w:rFonts w:hint="eastAsia" w:ascii="宋体" w:hAnsi="宋体"/>
          <w:sz w:val="24"/>
        </w:rPr>
        <w:t>1．及时向招标人提供按合同规定的全部技术资料。有义务在必要时邀请招标人参与投标人的技术设计审查。</w:t>
      </w:r>
    </w:p>
    <w:p>
      <w:pPr>
        <w:tabs>
          <w:tab w:val="left" w:pos="615"/>
        </w:tabs>
        <w:spacing w:line="312" w:lineRule="auto"/>
        <w:ind w:firstLine="480" w:firstLineChars="200"/>
        <w:rPr>
          <w:rFonts w:ascii="宋体" w:hAnsi="宋体"/>
          <w:sz w:val="24"/>
        </w:rPr>
      </w:pPr>
      <w:r>
        <w:rPr>
          <w:rFonts w:hint="eastAsia" w:ascii="宋体" w:hAnsi="宋体"/>
          <w:sz w:val="24"/>
        </w:rPr>
        <w:t>2．按招标人要求的时间到现场进行技术服务。</w:t>
      </w:r>
    </w:p>
    <w:p>
      <w:pPr>
        <w:tabs>
          <w:tab w:val="left" w:pos="615"/>
        </w:tabs>
        <w:spacing w:line="312" w:lineRule="auto"/>
        <w:ind w:firstLine="480" w:firstLineChars="200"/>
        <w:rPr>
          <w:rFonts w:ascii="宋体" w:hAnsi="宋体"/>
          <w:sz w:val="24"/>
        </w:rPr>
      </w:pPr>
      <w:r>
        <w:rPr>
          <w:rFonts w:hint="eastAsia" w:ascii="宋体" w:hAnsi="宋体"/>
          <w:sz w:val="24"/>
        </w:rPr>
        <w:t>3．对于招标人选购的与合同货物有关的配套设备，投标人应主动提供满足设备接口要求的技术条件和资料。</w:t>
      </w:r>
    </w:p>
    <w:p>
      <w:pPr>
        <w:tabs>
          <w:tab w:val="left" w:pos="615"/>
          <w:tab w:val="left" w:pos="840"/>
        </w:tabs>
        <w:spacing w:line="312"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严格执行招投标双方就有关问题召开会议的纪要或签订的协议。</w:t>
      </w:r>
    </w:p>
    <w:p>
      <w:pPr>
        <w:spacing w:line="360" w:lineRule="auto"/>
        <w:ind w:firstLine="480" w:firstLineChars="200"/>
        <w:rPr>
          <w:rFonts w:ascii="宋体" w:hAnsi="宋体"/>
          <w:sz w:val="24"/>
        </w:rPr>
      </w:pPr>
      <w:r>
        <w:rPr>
          <w:rFonts w:ascii="宋体" w:hAnsi="宋体"/>
          <w:sz w:val="24"/>
        </w:rPr>
        <w:t>5.</w:t>
      </w:r>
      <w:r>
        <w:rPr>
          <w:rFonts w:ascii="宋体" w:hAnsi="宋体" w:cs="宋体"/>
          <w:sz w:val="24"/>
        </w:rPr>
        <w:t xml:space="preserve"> 为了使</w:t>
      </w:r>
      <w:r>
        <w:rPr>
          <w:rFonts w:hint="eastAsia" w:ascii="宋体" w:hAnsi="宋体" w:cs="宋体"/>
          <w:sz w:val="24"/>
        </w:rPr>
        <w:t>招标人</w:t>
      </w:r>
      <w:r>
        <w:rPr>
          <w:rFonts w:ascii="宋体" w:hAnsi="宋体" w:cs="宋体"/>
          <w:sz w:val="24"/>
        </w:rPr>
        <w:t>能很好地使用</w:t>
      </w:r>
      <w:r>
        <w:rPr>
          <w:rFonts w:hint="eastAsia" w:ascii="宋体" w:hAnsi="宋体" w:cs="宋体"/>
          <w:sz w:val="24"/>
        </w:rPr>
        <w:t>投标人</w:t>
      </w:r>
      <w:r>
        <w:rPr>
          <w:rFonts w:ascii="宋体" w:hAnsi="宋体" w:cs="宋体"/>
          <w:sz w:val="24"/>
        </w:rPr>
        <w:t>的产品，</w:t>
      </w:r>
      <w:r>
        <w:rPr>
          <w:rFonts w:hint="eastAsia" w:ascii="宋体" w:hAnsi="宋体" w:cs="宋体"/>
          <w:sz w:val="24"/>
        </w:rPr>
        <w:t>投标人</w:t>
      </w:r>
      <w:r>
        <w:rPr>
          <w:rFonts w:ascii="宋体" w:hAnsi="宋体" w:cs="宋体"/>
          <w:sz w:val="24"/>
        </w:rPr>
        <w:t>应向</w:t>
      </w:r>
      <w:r>
        <w:rPr>
          <w:rFonts w:hint="eastAsia" w:ascii="宋体" w:hAnsi="宋体" w:cs="宋体"/>
          <w:sz w:val="24"/>
        </w:rPr>
        <w:t>招标人</w:t>
      </w:r>
      <w:r>
        <w:rPr>
          <w:rFonts w:ascii="宋体" w:hAnsi="宋体" w:cs="宋体"/>
          <w:sz w:val="24"/>
        </w:rPr>
        <w:t>提供整套培训方案，培训方案至少应涵盖本文件中规定的内容</w:t>
      </w:r>
      <w:r>
        <w:rPr>
          <w:rFonts w:hint="eastAsia" w:ascii="宋体" w:hAnsi="宋体" w:cs="宋体"/>
          <w:sz w:val="24"/>
        </w:rPr>
        <w:t>，培训时间不少于5个工作日，通过培训招标人对</w:t>
      </w:r>
      <w:r>
        <w:rPr>
          <w:rFonts w:ascii="宋体" w:hAnsi="宋体" w:cs="宋体"/>
          <w:sz w:val="24"/>
        </w:rPr>
        <w:t>本项目中</w:t>
      </w:r>
      <w:r>
        <w:rPr>
          <w:rFonts w:hint="eastAsia" w:ascii="宋体" w:hAnsi="宋体" w:cs="宋体"/>
          <w:sz w:val="24"/>
        </w:rPr>
        <w:t>所有</w:t>
      </w:r>
      <w:r>
        <w:rPr>
          <w:rFonts w:ascii="宋体" w:hAnsi="宋体" w:cs="宋体"/>
          <w:sz w:val="24"/>
        </w:rPr>
        <w:t>设备</w:t>
      </w:r>
      <w:r>
        <w:rPr>
          <w:rFonts w:hint="eastAsia" w:ascii="宋体" w:hAnsi="宋体" w:cs="宋体"/>
          <w:sz w:val="24"/>
        </w:rPr>
        <w:t>和软件</w:t>
      </w:r>
      <w:r>
        <w:rPr>
          <w:rFonts w:ascii="宋体" w:hAnsi="宋体" w:cs="宋体"/>
          <w:sz w:val="24"/>
        </w:rPr>
        <w:t>的使用</w:t>
      </w:r>
      <w:r>
        <w:rPr>
          <w:rFonts w:hint="eastAsia" w:ascii="宋体" w:hAnsi="宋体" w:cs="宋体"/>
          <w:sz w:val="24"/>
        </w:rPr>
        <w:t>，</w:t>
      </w:r>
      <w:r>
        <w:rPr>
          <w:rFonts w:ascii="宋体" w:hAnsi="宋体" w:cs="宋体"/>
          <w:sz w:val="24"/>
        </w:rPr>
        <w:t>使</w:t>
      </w:r>
      <w:r>
        <w:rPr>
          <w:rFonts w:hint="eastAsia" w:ascii="宋体" w:hAnsi="宋体" w:cs="宋体"/>
          <w:sz w:val="24"/>
        </w:rPr>
        <w:t>招标人</w:t>
      </w:r>
      <w:r>
        <w:rPr>
          <w:rFonts w:ascii="宋体" w:hAnsi="宋体" w:cs="宋体"/>
          <w:sz w:val="24"/>
        </w:rPr>
        <w:t>基本掌握产品的具体操作，独立完成相应的技术工作</w:t>
      </w:r>
      <w:r>
        <w:rPr>
          <w:rFonts w:hint="eastAsia" w:ascii="宋体" w:hAnsi="宋体" w:cs="宋体"/>
          <w:sz w:val="24"/>
        </w:rPr>
        <w:t>。</w:t>
      </w:r>
      <w:r>
        <w:rPr>
          <w:rFonts w:ascii="宋体" w:hAnsi="宋体"/>
          <w:sz w:val="24"/>
        </w:rPr>
        <w:t xml:space="preserve"> </w:t>
      </w:r>
    </w:p>
    <w:p>
      <w:pPr>
        <w:tabs>
          <w:tab w:val="left" w:pos="615"/>
        </w:tabs>
        <w:spacing w:line="312" w:lineRule="auto"/>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6．加强售前、售中、售后服务，把“24小时服务”、“超前服务”、“全过程服务”、“终身服务”贯彻在产品制造、安装、调试的全过程。</w:t>
      </w:r>
    </w:p>
    <w:p>
      <w:pPr>
        <w:spacing w:line="360" w:lineRule="auto"/>
        <w:ind w:firstLine="480" w:firstLineChars="200"/>
      </w:pPr>
      <w:r>
        <w:rPr>
          <w:rFonts w:hint="eastAsia" w:ascii="宋体" w:hAnsi="宋体"/>
          <w:sz w:val="24"/>
        </w:rPr>
        <w:t>7．</w:t>
      </w:r>
      <w:r>
        <w:rPr>
          <w:rFonts w:hint="eastAsia" w:ascii="宋体" w:hAnsi="宋体" w:cs="宋体"/>
          <w:sz w:val="24"/>
        </w:rPr>
        <w:t>投标人</w:t>
      </w:r>
      <w:r>
        <w:rPr>
          <w:rFonts w:ascii="宋体" w:hAnsi="宋体" w:cs="宋体"/>
          <w:sz w:val="24"/>
        </w:rPr>
        <w:t>应具有较强的技术支持能力，按照不同问题等级，</w:t>
      </w:r>
      <w:r>
        <w:rPr>
          <w:rFonts w:hint="eastAsia" w:ascii="宋体" w:hAnsi="宋体" w:cs="宋体"/>
          <w:sz w:val="24"/>
        </w:rPr>
        <w:t>投标人</w:t>
      </w:r>
      <w:r>
        <w:rPr>
          <w:rFonts w:ascii="宋体" w:hAnsi="宋体" w:cs="宋体"/>
          <w:sz w:val="24"/>
        </w:rPr>
        <w:t>均需要在接到</w:t>
      </w:r>
      <w:r>
        <w:rPr>
          <w:rFonts w:hint="eastAsia" w:ascii="宋体" w:hAnsi="宋体" w:cs="宋体"/>
          <w:sz w:val="24"/>
        </w:rPr>
        <w:t>招标人</w:t>
      </w:r>
      <w:r>
        <w:rPr>
          <w:rFonts w:ascii="宋体" w:hAnsi="宋体" w:cs="宋体"/>
          <w:sz w:val="24"/>
        </w:rPr>
        <w:t>提报后尽快给予答复并解决：</w:t>
      </w:r>
      <w:r>
        <w:rPr>
          <w:rFonts w:ascii="'Times New Roman'" w:hAnsi="'Times New Roman'" w:eastAsia="'Times New Roman'" w:cs="'Times New Roman'"/>
          <w:sz w:val="24"/>
        </w:rPr>
        <w:t>1</w:t>
      </w:r>
      <w:r>
        <w:rPr>
          <w:rFonts w:ascii="宋体" w:hAnsi="宋体" w:cs="宋体"/>
          <w:sz w:val="24"/>
        </w:rPr>
        <w:t>）严重问题（系统崩溃、数据丢失或损坏、关键功能不可用等）</w:t>
      </w:r>
      <w:r>
        <w:rPr>
          <w:rFonts w:ascii="'Times New Roman'" w:hAnsi="'Times New Roman'" w:eastAsia="'Times New Roman'" w:cs="'Times New Roman'"/>
          <w:sz w:val="24"/>
        </w:rPr>
        <w:t>0.5</w:t>
      </w:r>
      <w:r>
        <w:rPr>
          <w:rFonts w:ascii="宋体" w:hAnsi="宋体" w:cs="宋体"/>
          <w:sz w:val="24"/>
        </w:rPr>
        <w:t>小时内响应并解决；</w:t>
      </w:r>
      <w:r>
        <w:rPr>
          <w:rFonts w:ascii="'Times New Roman'" w:hAnsi="'Times New Roman'" w:eastAsia="'Times New Roman'" w:cs="'Times New Roman'"/>
          <w:sz w:val="24"/>
        </w:rPr>
        <w:t>2</w:t>
      </w:r>
      <w:r>
        <w:rPr>
          <w:rFonts w:ascii="宋体" w:hAnsi="宋体" w:cs="宋体"/>
          <w:sz w:val="24"/>
        </w:rPr>
        <w:t>）紧急问题（产品错误或故障、性能降低、功能非正常方式受限使用等）</w:t>
      </w:r>
      <w:r>
        <w:rPr>
          <w:rFonts w:ascii="'Times New Roman'" w:hAnsi="'Times New Roman'" w:eastAsia="'Times New Roman'" w:cs="'Times New Roman'"/>
          <w:sz w:val="24"/>
        </w:rPr>
        <w:t>0.5</w:t>
      </w:r>
      <w:r>
        <w:rPr>
          <w:rFonts w:ascii="宋体" w:hAnsi="宋体" w:cs="宋体"/>
          <w:sz w:val="24"/>
        </w:rPr>
        <w:t>小时内响应，</w:t>
      </w:r>
      <w:r>
        <w:rPr>
          <w:rFonts w:ascii="'Times New Roman'" w:hAnsi="'Times New Roman'" w:eastAsia="'Times New Roman'" w:cs="'Times New Roman'"/>
          <w:sz w:val="24"/>
        </w:rPr>
        <w:t>12</w:t>
      </w:r>
      <w:r>
        <w:rPr>
          <w:rFonts w:ascii="宋体" w:hAnsi="宋体" w:cs="宋体"/>
          <w:sz w:val="24"/>
        </w:rPr>
        <w:t>小时内解决；</w:t>
      </w:r>
      <w:r>
        <w:rPr>
          <w:rFonts w:ascii="'Times New Roman'" w:hAnsi="'Times New Roman'" w:eastAsia="'Times New Roman'" w:cs="'Times New Roman'"/>
          <w:sz w:val="24"/>
        </w:rPr>
        <w:t>3</w:t>
      </w:r>
      <w:r>
        <w:rPr>
          <w:rFonts w:ascii="宋体" w:hAnsi="宋体" w:cs="宋体"/>
          <w:sz w:val="24"/>
        </w:rPr>
        <w:t>）其他一般问题（轻微的性能或者功能故障，对企业运营不会产生影响等）</w:t>
      </w:r>
      <w:r>
        <w:rPr>
          <w:rFonts w:ascii="'Times New Roman'" w:hAnsi="'Times New Roman'" w:eastAsia="'Times New Roman'" w:cs="'Times New Roman'"/>
          <w:sz w:val="24"/>
        </w:rPr>
        <w:t>24</w:t>
      </w:r>
      <w:r>
        <w:rPr>
          <w:rFonts w:ascii="宋体" w:hAnsi="宋体" w:cs="宋体"/>
          <w:sz w:val="24"/>
        </w:rPr>
        <w:t>小时内响应，</w:t>
      </w:r>
      <w:r>
        <w:rPr>
          <w:rFonts w:ascii="'Times New Roman'" w:hAnsi="'Times New Roman'" w:eastAsia="'Times New Roman'" w:cs="'Times New Roman'"/>
          <w:sz w:val="24"/>
        </w:rPr>
        <w:t>48</w:t>
      </w:r>
      <w:r>
        <w:rPr>
          <w:rFonts w:ascii="宋体" w:hAnsi="宋体" w:cs="宋体"/>
          <w:sz w:val="24"/>
        </w:rPr>
        <w:t>小时内并解决。</w:t>
      </w:r>
    </w:p>
    <w:p>
      <w:pPr>
        <w:spacing w:line="360" w:lineRule="auto"/>
        <w:ind w:firstLine="480" w:firstLineChars="200"/>
      </w:pPr>
      <w:r>
        <w:rPr>
          <w:rFonts w:hint="eastAsia" w:ascii="宋体" w:hAnsi="宋体" w:cs="宋体"/>
          <w:sz w:val="24"/>
        </w:rPr>
        <w:t>投标人</w:t>
      </w:r>
      <w:r>
        <w:rPr>
          <w:rFonts w:ascii="宋体" w:hAnsi="宋体" w:cs="宋体"/>
          <w:sz w:val="24"/>
        </w:rPr>
        <w:t>必须给出日常</w:t>
      </w:r>
      <w:r>
        <w:rPr>
          <w:rFonts w:ascii="'Times New Roman'" w:hAnsi="'Times New Roman'" w:eastAsia="'Times New Roman'" w:cs="'Times New Roman'"/>
          <w:sz w:val="24"/>
        </w:rPr>
        <w:t>24</w:t>
      </w:r>
      <w:r>
        <w:rPr>
          <w:rFonts w:ascii="宋体" w:hAnsi="宋体" w:cs="宋体"/>
          <w:sz w:val="24"/>
        </w:rPr>
        <w:t>小时关键运维方案，包括异常处理和监控，提供合适的手段、工具以及其他机制</w:t>
      </w:r>
      <w:r>
        <w:rPr>
          <w:rFonts w:hint="eastAsia" w:ascii="宋体" w:hAnsi="宋体" w:cs="宋体"/>
          <w:sz w:val="24"/>
        </w:rPr>
        <w:t>，</w:t>
      </w:r>
      <w:r>
        <w:rPr>
          <w:rFonts w:hint="eastAsia" w:ascii="宋体" w:hAnsi="宋体"/>
          <w:sz w:val="24"/>
        </w:rPr>
        <w:t>做到用户对质量不满意，服务不停止。</w:t>
      </w:r>
      <w:r>
        <w:rPr>
          <w:rFonts w:ascii="宋体" w:hAnsi="宋体" w:cs="宋体"/>
          <w:sz w:val="24"/>
        </w:rPr>
        <w:t>。</w:t>
      </w:r>
    </w:p>
    <w:p>
      <w:pPr>
        <w:spacing w:line="360" w:lineRule="auto"/>
        <w:ind w:firstLine="480" w:firstLineChars="200"/>
      </w:pPr>
      <w:r>
        <w:rPr>
          <w:rFonts w:hint="eastAsia" w:ascii="宋体" w:hAnsi="宋体" w:cs="宋体"/>
          <w:sz w:val="24"/>
        </w:rPr>
        <w:t>自项目上线之日起</w:t>
      </w:r>
      <w:r>
        <w:rPr>
          <w:rFonts w:ascii="宋体" w:hAnsi="宋体" w:cs="宋体"/>
          <w:sz w:val="24"/>
        </w:rPr>
        <w:t>投标人应向招标人提供</w:t>
      </w:r>
      <w:r>
        <w:rPr>
          <w:rFonts w:hint="eastAsia" w:ascii="宋体" w:hAnsi="宋体" w:cs="宋体"/>
          <w:b/>
          <w:bCs/>
          <w:sz w:val="24"/>
        </w:rPr>
        <w:t>三年</w:t>
      </w:r>
      <w:r>
        <w:rPr>
          <w:rFonts w:ascii="宋体" w:hAnsi="宋体" w:cs="宋体"/>
          <w:sz w:val="24"/>
        </w:rPr>
        <w:t>的免费技术支持服务。</w:t>
      </w:r>
    </w:p>
    <w:p>
      <w:pPr>
        <w:tabs>
          <w:tab w:val="left" w:pos="615"/>
          <w:tab w:val="left" w:pos="840"/>
        </w:tabs>
        <w:spacing w:line="312" w:lineRule="auto"/>
        <w:ind w:firstLine="480" w:firstLineChars="200"/>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随时满足招标人对备品备件的要求。</w:t>
      </w:r>
    </w:p>
    <w:p>
      <w:pPr>
        <w:tabs>
          <w:tab w:val="left" w:pos="615"/>
        </w:tabs>
        <w:spacing w:line="312" w:lineRule="auto"/>
        <w:ind w:firstLine="480" w:firstLineChars="200"/>
        <w:rPr>
          <w:rFonts w:ascii="宋体" w:hAnsi="宋体"/>
          <w:sz w:val="24"/>
        </w:rPr>
      </w:pPr>
      <w:r>
        <w:rPr>
          <w:rFonts w:hint="eastAsia" w:ascii="宋体" w:hAnsi="宋体"/>
          <w:sz w:val="24"/>
        </w:rPr>
        <w:t>9.无论在何种情况下，投标人决不以任何理由刁难招标人。</w:t>
      </w:r>
    </w:p>
    <w:p>
      <w:pPr>
        <w:tabs>
          <w:tab w:val="left" w:pos="615"/>
        </w:tabs>
        <w:spacing w:line="312" w:lineRule="auto"/>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pPr>
        <w:spacing w:line="360" w:lineRule="auto"/>
        <w:ind w:firstLine="480"/>
        <w:rPr>
          <w:rFonts w:hint="eastAsia" w:ascii="宋体" w:hAnsi="宋体" w:cs="宋体"/>
          <w:sz w:val="24"/>
          <w:u w:val="single"/>
        </w:rPr>
      </w:pPr>
    </w:p>
    <w:p>
      <w:pPr>
        <w:pStyle w:val="22"/>
        <w:ind w:firstLine="480"/>
        <w:rPr>
          <w:rFonts w:hint="eastAsia" w:ascii="宋体" w:hAnsi="宋体" w:cs="宋体"/>
          <w:sz w:val="24"/>
          <w:u w:val="single"/>
        </w:rPr>
      </w:pPr>
    </w:p>
    <w:p>
      <w:pPr>
        <w:ind w:firstLine="480"/>
        <w:rPr>
          <w:rFonts w:hint="eastAsia" w:ascii="宋体" w:hAnsi="宋体" w:cs="宋体"/>
          <w:sz w:val="24"/>
          <w:u w:val="single"/>
        </w:rPr>
      </w:pPr>
    </w:p>
    <w:p>
      <w:pPr>
        <w:pStyle w:val="22"/>
        <w:rPr>
          <w:rFonts w:hint="eastAsia"/>
        </w:rPr>
      </w:pPr>
    </w:p>
    <w:p>
      <w:pPr>
        <w:spacing w:line="660" w:lineRule="exact"/>
        <w:ind w:firstLine="480" w:firstLineChars="200"/>
        <w:rPr>
          <w:rFonts w:hint="eastAsia" w:ascii="宋体" w:hAnsi="宋体"/>
          <w:sz w:val="24"/>
        </w:rPr>
      </w:pPr>
      <w:r>
        <w:rPr>
          <w:rFonts w:hint="eastAsia" w:ascii="宋体" w:hAnsi="宋体"/>
          <w:sz w:val="24"/>
        </w:rPr>
        <w:t>投标人：（盖章）</w:t>
      </w:r>
    </w:p>
    <w:p>
      <w:pPr>
        <w:spacing w:line="660" w:lineRule="exact"/>
        <w:ind w:firstLine="480" w:firstLineChars="200"/>
        <w:rPr>
          <w:rFonts w:hint="eastAsia" w:ascii="宋体" w:hAnsi="宋体"/>
          <w:sz w:val="24"/>
        </w:rPr>
      </w:pPr>
      <w:r>
        <w:rPr>
          <w:rFonts w:hint="eastAsia" w:ascii="宋体" w:hAnsi="宋体"/>
          <w:sz w:val="24"/>
        </w:rPr>
        <w:t>法定代表人（委托代理人）：（签字）</w:t>
      </w:r>
    </w:p>
    <w:p>
      <w:pPr>
        <w:spacing w:line="660" w:lineRule="exact"/>
        <w:ind w:firstLine="480" w:firstLineChars="200"/>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22"/>
      </w:pPr>
    </w:p>
    <w:p>
      <w:pPr>
        <w:pStyle w:val="6"/>
        <w:spacing w:before="120" w:after="120" w:line="560" w:lineRule="exact"/>
        <w:ind w:firstLine="482"/>
        <w:rPr>
          <w:rFonts w:ascii="宋体" w:hAnsi="宋体" w:cs="宋体"/>
          <w:b/>
          <w:bCs w:val="0"/>
          <w:szCs w:val="24"/>
        </w:rPr>
        <w:sectPr>
          <w:pgSz w:w="11907" w:h="16840"/>
          <w:pgMar w:top="1225" w:right="1418" w:bottom="1418" w:left="1418" w:header="724" w:footer="851" w:gutter="0"/>
          <w:cols w:space="720" w:num="1"/>
          <w:docGrid w:linePitch="290" w:charSpace="-3931"/>
        </w:sectPr>
      </w:pPr>
    </w:p>
    <w:p>
      <w:pPr>
        <w:pStyle w:val="4"/>
        <w:numPr>
          <w:ilvl w:val="0"/>
          <w:numId w:val="0"/>
        </w:numPr>
        <w:spacing w:before="120"/>
        <w:rPr>
          <w:rFonts w:hint="eastAsia"/>
        </w:rPr>
      </w:pPr>
      <w:bookmarkStart w:id="538" w:name="_Toc23489"/>
      <w:bookmarkStart w:id="539" w:name="_Toc4158"/>
      <w:bookmarkStart w:id="540" w:name="_Toc31040"/>
      <w:r>
        <w:rPr>
          <w:rFonts w:hint="eastAsia"/>
        </w:rPr>
        <w:t>附件十：封面格式（参考）</w:t>
      </w:r>
      <w:bookmarkEnd w:id="537"/>
      <w:bookmarkEnd w:id="538"/>
      <w:bookmarkEnd w:id="539"/>
      <w:bookmarkEnd w:id="540"/>
    </w:p>
    <w:p>
      <w:pPr>
        <w:pStyle w:val="33"/>
        <w:spacing w:line="240" w:lineRule="auto"/>
        <w:ind w:left="0" w:leftChars="0" w:firstLine="0" w:firstLineChars="0"/>
        <w:jc w:val="center"/>
        <w:rPr>
          <w:rFonts w:ascii="宋体" w:hAnsi="宋体"/>
        </w:rPr>
      </w:pPr>
      <w:r>
        <w:rPr>
          <w:rFonts w:hint="eastAsia" w:ascii="宋体" w:hAnsi="宋体" w:cs="宋体"/>
          <w:b/>
          <w:bCs/>
          <w:sz w:val="32"/>
          <w:szCs w:val="32"/>
        </w:rPr>
        <w:t>封面格式（参考）</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noWrap w:val="0"/>
            <w:vAlign w:val="top"/>
          </w:tcPr>
          <w:p>
            <w:pPr>
              <w:pStyle w:val="33"/>
              <w:spacing w:line="240" w:lineRule="auto"/>
              <w:ind w:left="1747" w:firstLine="470"/>
              <w:jc w:val="left"/>
              <w:rPr>
                <w:rFonts w:ascii="宋体" w:hAnsi="宋体"/>
                <w:kern w:val="2"/>
                <w:sz w:val="24"/>
                <w:szCs w:val="24"/>
              </w:rPr>
            </w:pPr>
          </w:p>
          <w:p>
            <w:pPr>
              <w:pStyle w:val="33"/>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商务投标文件</w:t>
            </w:r>
          </w:p>
          <w:p>
            <w:pPr>
              <w:pStyle w:val="33"/>
              <w:spacing w:line="240" w:lineRule="auto"/>
              <w:ind w:left="1747" w:firstLine="353"/>
              <w:jc w:val="left"/>
              <w:rPr>
                <w:rFonts w:ascii="宋体" w:hAnsi="宋体"/>
                <w:kern w:val="2"/>
                <w:sz w:val="18"/>
                <w:szCs w:val="18"/>
              </w:rPr>
            </w:pP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项目编号：</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c>
          <w:tcPr>
            <w:tcW w:w="4775" w:type="dxa"/>
            <w:noWrap w:val="0"/>
            <w:vAlign w:val="top"/>
          </w:tcPr>
          <w:p>
            <w:pPr>
              <w:pStyle w:val="33"/>
              <w:spacing w:line="240" w:lineRule="auto"/>
              <w:ind w:left="1747" w:firstLine="470"/>
              <w:jc w:val="left"/>
              <w:rPr>
                <w:rFonts w:ascii="宋体" w:hAnsi="宋体"/>
                <w:kern w:val="2"/>
                <w:sz w:val="24"/>
                <w:szCs w:val="24"/>
              </w:rPr>
            </w:pPr>
          </w:p>
          <w:p>
            <w:pPr>
              <w:pStyle w:val="33"/>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技术投标文件</w:t>
            </w:r>
          </w:p>
          <w:p>
            <w:pPr>
              <w:pStyle w:val="33"/>
              <w:spacing w:line="240" w:lineRule="auto"/>
              <w:ind w:left="1747" w:firstLine="353"/>
              <w:jc w:val="left"/>
              <w:rPr>
                <w:rFonts w:ascii="宋体" w:hAnsi="宋体"/>
                <w:kern w:val="2"/>
                <w:sz w:val="18"/>
                <w:szCs w:val="18"/>
              </w:rPr>
            </w:pP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项目编号：</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r>
    </w:tbl>
    <w:p>
      <w:pPr>
        <w:pStyle w:val="33"/>
        <w:spacing w:line="240" w:lineRule="auto"/>
        <w:ind w:left="1747" w:firstLine="412"/>
        <w:rPr>
          <w:rFonts w:ascii="宋体" w:hAnsi="宋体"/>
        </w:rPr>
      </w:pP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285" w:type="dxa"/>
            <w:noWrap w:val="0"/>
            <w:vAlign w:val="top"/>
          </w:tcPr>
          <w:p>
            <w:pPr>
              <w:pStyle w:val="33"/>
              <w:spacing w:line="400" w:lineRule="exact"/>
              <w:ind w:left="0" w:leftChars="0" w:firstLine="0" w:firstLineChars="0"/>
              <w:jc w:val="left"/>
              <w:rPr>
                <w:rFonts w:ascii="宋体" w:hAnsi="宋体"/>
                <w:kern w:val="2"/>
                <w:sz w:val="24"/>
                <w:szCs w:val="24"/>
              </w:rPr>
            </w:pPr>
          </w:p>
          <w:p>
            <w:pPr>
              <w:pStyle w:val="33"/>
              <w:spacing w:line="240" w:lineRule="auto"/>
              <w:ind w:left="0" w:leftChars="0" w:firstLine="0" w:firstLineChars="0"/>
              <w:jc w:val="left"/>
              <w:rPr>
                <w:rFonts w:ascii="宋体" w:hAnsi="宋体"/>
                <w:kern w:val="2"/>
                <w:sz w:val="24"/>
                <w:szCs w:val="24"/>
              </w:rPr>
            </w:pPr>
            <w:r>
              <w:rPr>
                <w:rFonts w:hint="eastAsia" w:ascii="宋体" w:hAnsi="宋体" w:cs="宋体"/>
                <w:b/>
                <w:bCs/>
                <w:kern w:val="2"/>
                <w:sz w:val="30"/>
                <w:szCs w:val="30"/>
              </w:rPr>
              <w:t>开标一览表</w:t>
            </w:r>
            <w:r>
              <w:rPr>
                <w:rFonts w:ascii="宋体" w:hAnsi="宋体" w:cs="宋体"/>
                <w:b/>
                <w:bCs/>
                <w:kern w:val="2"/>
                <w:sz w:val="30"/>
                <w:szCs w:val="30"/>
              </w:rPr>
              <w:t xml:space="preserve">  </w:t>
            </w:r>
            <w:r>
              <w:rPr>
                <w:rFonts w:ascii="宋体" w:hAnsi="宋体" w:cs="宋体"/>
                <w:kern w:val="2"/>
                <w:sz w:val="24"/>
                <w:szCs w:val="24"/>
              </w:rPr>
              <w:t xml:space="preserve">            </w:t>
            </w:r>
          </w:p>
          <w:p>
            <w:pPr>
              <w:pStyle w:val="33"/>
              <w:spacing w:line="400" w:lineRule="exact"/>
              <w:ind w:left="0" w:leftChars="0" w:firstLine="0" w:firstLineChars="0"/>
              <w:jc w:val="left"/>
              <w:rPr>
                <w:rFonts w:ascii="宋体" w:hAnsi="宋体"/>
                <w:kern w:val="2"/>
                <w:sz w:val="24"/>
                <w:szCs w:val="24"/>
              </w:rPr>
            </w:pP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项目编号：</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p>
          <w:p>
            <w:pPr>
              <w:pStyle w:val="33"/>
              <w:spacing w:line="400" w:lineRule="exact"/>
              <w:ind w:left="0" w:leftChars="0" w:firstLine="0" w:firstLineChars="0"/>
              <w:jc w:val="left"/>
              <w:rPr>
                <w:rFonts w:ascii="宋体" w:hAnsi="宋体"/>
                <w:kern w:val="2"/>
                <w:sz w:val="24"/>
                <w:szCs w:val="24"/>
              </w:rPr>
            </w:pPr>
          </w:p>
        </w:tc>
        <w:tc>
          <w:tcPr>
            <w:tcW w:w="4775" w:type="dxa"/>
            <w:noWrap w:val="0"/>
            <w:vAlign w:val="top"/>
          </w:tcPr>
          <w:p>
            <w:pPr>
              <w:pStyle w:val="33"/>
              <w:spacing w:line="400" w:lineRule="exact"/>
              <w:ind w:left="0" w:leftChars="0" w:firstLine="0" w:firstLineChars="0"/>
              <w:jc w:val="left"/>
              <w:rPr>
                <w:rFonts w:ascii="宋体" w:hAnsi="宋体"/>
                <w:kern w:val="2"/>
                <w:sz w:val="24"/>
                <w:szCs w:val="24"/>
              </w:rPr>
            </w:pPr>
          </w:p>
          <w:p>
            <w:pPr>
              <w:pStyle w:val="33"/>
              <w:spacing w:line="240" w:lineRule="auto"/>
              <w:ind w:left="0" w:leftChars="0" w:firstLine="0" w:firstLineChars="0"/>
              <w:jc w:val="left"/>
              <w:rPr>
                <w:rFonts w:hint="eastAsia" w:ascii="宋体" w:hAnsi="宋体" w:cs="宋体"/>
                <w:b/>
                <w:bCs/>
                <w:kern w:val="2"/>
                <w:sz w:val="30"/>
                <w:szCs w:val="30"/>
              </w:rPr>
            </w:pPr>
            <w:r>
              <w:rPr>
                <w:rFonts w:hint="eastAsia" w:ascii="宋体" w:hAnsi="宋体" w:cs="宋体"/>
                <w:b/>
                <w:bCs/>
                <w:kern w:val="2"/>
                <w:sz w:val="30"/>
                <w:szCs w:val="30"/>
              </w:rPr>
              <w:t>电子版投标文件</w:t>
            </w:r>
          </w:p>
          <w:p>
            <w:pPr>
              <w:pStyle w:val="33"/>
              <w:spacing w:line="240" w:lineRule="auto"/>
              <w:ind w:left="0" w:leftChars="0" w:firstLine="0" w:firstLineChars="0"/>
              <w:jc w:val="left"/>
              <w:rPr>
                <w:rFonts w:hint="eastAsia" w:ascii="宋体" w:hAnsi="宋体" w:cs="宋体"/>
                <w:b/>
                <w:bCs/>
                <w:kern w:val="2"/>
                <w:sz w:val="30"/>
                <w:szCs w:val="30"/>
              </w:rPr>
            </w:pP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项目编号：</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pPr>
              <w:pStyle w:val="33"/>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pPr>
              <w:pStyle w:val="33"/>
              <w:spacing w:line="240" w:lineRule="auto"/>
              <w:ind w:left="0" w:leftChars="0" w:firstLine="0" w:firstLineChars="0"/>
              <w:jc w:val="left"/>
              <w:rPr>
                <w:rFonts w:ascii="宋体" w:hAnsi="宋体"/>
                <w:kern w:val="2"/>
                <w:sz w:val="24"/>
                <w:szCs w:val="24"/>
              </w:rPr>
            </w:pPr>
            <w:r>
              <w:rPr>
                <w:rFonts w:hint="eastAsia" w:ascii="宋体" w:hAnsi="宋体" w:cs="宋体"/>
                <w:kern w:val="2"/>
                <w:sz w:val="24"/>
                <w:szCs w:val="24"/>
              </w:rPr>
              <w:t>邮编：</w:t>
            </w:r>
          </w:p>
        </w:tc>
      </w:tr>
    </w:tbl>
    <w:p>
      <w:pPr>
        <w:pStyle w:val="33"/>
        <w:spacing w:line="240" w:lineRule="auto"/>
        <w:ind w:left="1747" w:firstLine="412"/>
        <w:rPr>
          <w:rFonts w:ascii="宋体" w:hAnsi="宋体"/>
        </w:rPr>
      </w:pPr>
    </w:p>
    <w:p>
      <w:pPr>
        <w:pStyle w:val="33"/>
        <w:spacing w:line="240" w:lineRule="auto"/>
        <w:ind w:left="0" w:leftChars="0" w:firstLine="0" w:firstLineChars="0"/>
        <w:rPr>
          <w:rFonts w:ascii="宋体" w:hAnsi="宋体"/>
          <w:b/>
          <w:bCs/>
          <w:sz w:val="32"/>
          <w:szCs w:val="32"/>
        </w:rPr>
      </w:pPr>
      <w:r>
        <w:rPr>
          <w:rFonts w:hint="eastAsia" w:ascii="宋体" w:hAnsi="宋体" w:cs="宋体"/>
          <w:b/>
          <w:bCs/>
          <w:sz w:val="32"/>
          <w:szCs w:val="32"/>
        </w:rPr>
        <w:t>封口格式：</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6" w:hRule="atLeast"/>
          <w:jc w:val="center"/>
        </w:trPr>
        <w:tc>
          <w:tcPr>
            <w:tcW w:w="9168" w:type="dxa"/>
            <w:noWrap w:val="0"/>
            <w:vAlign w:val="center"/>
          </w:tcPr>
          <w:p>
            <w:pPr>
              <w:pStyle w:val="33"/>
              <w:spacing w:line="240" w:lineRule="auto"/>
              <w:ind w:left="0" w:leftChars="0" w:firstLine="0" w:firstLineChars="0"/>
              <w:rPr>
                <w:rFonts w:ascii="宋体" w:hAnsi="宋体"/>
                <w:kern w:val="2"/>
                <w:sz w:val="24"/>
                <w:szCs w:val="24"/>
              </w:rPr>
            </w:pPr>
            <w:r>
              <w:rPr>
                <w:rFonts w:hint="eastAsia" w:ascii="宋体" w:hAnsi="宋体" w:cs="宋体"/>
                <w:kern w:val="2"/>
                <w:sz w:val="24"/>
                <w:szCs w:val="24"/>
              </w:rPr>
              <w:t>……………………于</w:t>
            </w:r>
            <w:r>
              <w:rPr>
                <w:rFonts w:hint="eastAsia" w:ascii="宋体" w:hAnsi="宋体" w:cs="宋体"/>
                <w:kern w:val="2"/>
                <w:sz w:val="24"/>
                <w:szCs w:val="24"/>
                <w:u w:val="single"/>
              </w:rPr>
              <w:t xml:space="preserve">     </w:t>
            </w:r>
            <w:r>
              <w:rPr>
                <w:rFonts w:ascii="宋体" w:hAnsi="宋体" w:cs="宋体"/>
                <w:kern w:val="2"/>
                <w:sz w:val="24"/>
                <w:szCs w:val="24"/>
              </w:rPr>
              <w:t>年</w:t>
            </w:r>
            <w:r>
              <w:rPr>
                <w:rFonts w:ascii="宋体" w:hAnsi="宋体" w:cs="宋体"/>
                <w:kern w:val="2"/>
                <w:sz w:val="24"/>
                <w:szCs w:val="24"/>
                <w:u w:val="single"/>
              </w:rPr>
              <w:t xml:space="preserve">  </w:t>
            </w:r>
            <w:r>
              <w:rPr>
                <w:rFonts w:hint="eastAsia" w:ascii="宋体" w:hAnsi="宋体" w:cs="宋体"/>
                <w:kern w:val="2"/>
                <w:sz w:val="24"/>
                <w:szCs w:val="24"/>
              </w:rPr>
              <w:t>月</w:t>
            </w:r>
            <w:r>
              <w:rPr>
                <w:rFonts w:ascii="宋体" w:hAnsi="宋体" w:cs="宋体"/>
                <w:kern w:val="2"/>
                <w:sz w:val="24"/>
                <w:szCs w:val="24"/>
                <w:u w:val="single"/>
              </w:rPr>
              <w:t xml:space="preserve">  </w:t>
            </w:r>
            <w:r>
              <w:rPr>
                <w:rFonts w:hint="eastAsia" w:ascii="宋体" w:hAnsi="宋体" w:cs="宋体"/>
                <w:kern w:val="2"/>
                <w:sz w:val="24"/>
                <w:szCs w:val="24"/>
              </w:rPr>
              <w:t>日</w:t>
            </w:r>
            <w:r>
              <w:rPr>
                <w:rFonts w:hint="eastAsia" w:ascii="宋体" w:hAnsi="宋体" w:cs="宋体"/>
                <w:kern w:val="2"/>
                <w:sz w:val="24"/>
                <w:szCs w:val="24"/>
                <w:u w:val="single"/>
              </w:rPr>
              <w:t xml:space="preserve">  </w:t>
            </w:r>
            <w:r>
              <w:rPr>
                <w:rFonts w:hint="eastAsia" w:ascii="宋体" w:hAnsi="宋体" w:cs="宋体"/>
                <w:kern w:val="2"/>
                <w:sz w:val="24"/>
                <w:szCs w:val="24"/>
              </w:rPr>
              <w:t>时之前不准启封（公章）…………………</w:t>
            </w:r>
          </w:p>
        </w:tc>
      </w:tr>
    </w:tbl>
    <w:p>
      <w:pPr>
        <w:pStyle w:val="33"/>
        <w:spacing w:line="240" w:lineRule="auto"/>
        <w:ind w:left="0" w:leftChars="0" w:firstLine="0" w:firstLineChars="0"/>
        <w:rPr>
          <w:rFonts w:ascii="宋体" w:hAnsi="宋体"/>
        </w:rPr>
      </w:pPr>
    </w:p>
    <w:p>
      <w:pPr>
        <w:ind w:firstLine="480"/>
      </w:pPr>
    </w:p>
    <w:p>
      <w:pPr>
        <w:ind w:firstLine="480"/>
      </w:pPr>
    </w:p>
    <w:p>
      <w:pPr>
        <w:ind w:firstLine="480"/>
      </w:pPr>
    </w:p>
    <w:p>
      <w:pPr>
        <w:ind w:firstLine="480"/>
      </w:pPr>
    </w:p>
    <w:p>
      <w:pPr>
        <w:ind w:firstLine="480"/>
      </w:pPr>
    </w:p>
    <w:p>
      <w:pPr>
        <w:pStyle w:val="22"/>
      </w:pPr>
    </w:p>
    <w:p>
      <w:pPr>
        <w:rPr>
          <w:rFonts w:hint="eastAsia"/>
        </w:rPr>
      </w:pPr>
    </w:p>
    <w:p>
      <w:pPr>
        <w:ind w:firstLine="480"/>
      </w:pPr>
    </w:p>
    <w:p>
      <w:pPr>
        <w:pStyle w:val="22"/>
      </w:pPr>
    </w:p>
    <w:p>
      <w:pPr>
        <w:pStyle w:val="4"/>
        <w:numPr>
          <w:ilvl w:val="0"/>
          <w:numId w:val="0"/>
        </w:numPr>
        <w:spacing w:before="120"/>
        <w:rPr>
          <w:rFonts w:hint="eastAsia"/>
        </w:rPr>
      </w:pPr>
      <w:bookmarkStart w:id="541" w:name="_Toc23252"/>
      <w:bookmarkStart w:id="542" w:name="_Toc8852"/>
      <w:bookmarkStart w:id="543" w:name="_Toc10782"/>
      <w:r>
        <w:rPr>
          <w:rFonts w:hint="eastAsia"/>
        </w:rPr>
        <w:t>附件十一：投标人报名表</w:t>
      </w:r>
      <w:bookmarkEnd w:id="541"/>
      <w:bookmarkEnd w:id="542"/>
      <w:bookmarkEnd w:id="543"/>
    </w:p>
    <w:p>
      <w:pPr>
        <w:ind w:firstLine="562"/>
        <w:jc w:val="center"/>
        <w:rPr>
          <w:rFonts w:eastAsia="黑体"/>
          <w:b/>
          <w:bCs/>
          <w:sz w:val="28"/>
        </w:rPr>
      </w:pPr>
      <w:r>
        <w:rPr>
          <w:rFonts w:hint="eastAsia" w:eastAsia="黑体"/>
          <w:b/>
          <w:bCs/>
          <w:sz w:val="28"/>
        </w:rPr>
        <w:t xml:space="preserve">  投标人报名表</w:t>
      </w:r>
    </w:p>
    <w:p>
      <w:pPr>
        <w:ind w:firstLine="120" w:firstLineChars="50"/>
        <w:rPr>
          <w:sz w:val="24"/>
        </w:rPr>
      </w:pPr>
      <w:r>
        <w:rPr>
          <w:rFonts w:hint="eastAsia"/>
          <w:sz w:val="24"/>
        </w:rPr>
        <w:t>公章：</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26"/>
        <w:gridCol w:w="2272"/>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801" w:type="dxa"/>
            <w:noWrap w:val="0"/>
            <w:vAlign w:val="center"/>
          </w:tcPr>
          <w:p>
            <w:pPr>
              <w:jc w:val="center"/>
              <w:rPr>
                <w:sz w:val="24"/>
                <w:szCs w:val="24"/>
              </w:rPr>
            </w:pPr>
            <w:r>
              <w:rPr>
                <w:rFonts w:hint="eastAsia"/>
                <w:sz w:val="24"/>
                <w:szCs w:val="24"/>
              </w:rPr>
              <w:t>项目名称</w:t>
            </w:r>
          </w:p>
        </w:tc>
        <w:tc>
          <w:tcPr>
            <w:tcW w:w="7123" w:type="dxa"/>
            <w:gridSpan w:val="3"/>
            <w:noWrap w:val="0"/>
            <w:vAlign w:val="center"/>
          </w:tcPr>
          <w:p>
            <w:pPr>
              <w:jc w:val="center"/>
              <w:rPr>
                <w:rFonts w:hint="eastAsia" w:eastAsia="宋体"/>
                <w:sz w:val="24"/>
                <w:szCs w:val="24"/>
                <w:lang w:eastAsia="zh-CN"/>
              </w:rPr>
            </w:pPr>
            <w:r>
              <w:rPr>
                <w:rFonts w:hint="eastAsia"/>
                <w:sz w:val="24"/>
                <w:szCs w:val="24"/>
                <w:lang w:val="en-US" w:eastAsia="zh-CN"/>
              </w:rPr>
              <w:t>中国重汽集团泰安五岳专用汽车有限公司</w:t>
            </w:r>
            <w:r>
              <w:rPr>
                <w:rFonts w:hint="eastAsia"/>
                <w:sz w:val="24"/>
                <w:szCs w:val="24"/>
                <w:lang w:eastAsia="zh-CN"/>
              </w:rPr>
              <w:t>网络安全边界防护项目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801" w:type="dxa"/>
            <w:noWrap w:val="0"/>
            <w:vAlign w:val="center"/>
          </w:tcPr>
          <w:p>
            <w:pPr>
              <w:jc w:val="center"/>
              <w:rPr>
                <w:sz w:val="24"/>
                <w:szCs w:val="24"/>
              </w:rPr>
            </w:pPr>
            <w:r>
              <w:rPr>
                <w:rFonts w:hint="eastAsia"/>
                <w:sz w:val="24"/>
                <w:szCs w:val="24"/>
              </w:rPr>
              <w:t>项目编号</w:t>
            </w:r>
          </w:p>
        </w:tc>
        <w:tc>
          <w:tcPr>
            <w:tcW w:w="7123" w:type="dxa"/>
            <w:gridSpan w:val="3"/>
            <w:noWrap w:val="0"/>
            <w:vAlign w:val="center"/>
          </w:tcPr>
          <w:p>
            <w:pPr>
              <w:jc w:val="center"/>
              <w:rPr>
                <w:rFonts w:hint="eastAsia" w:eastAsia="宋体"/>
                <w:sz w:val="24"/>
                <w:szCs w:val="24"/>
                <w:lang w:eastAsia="zh-CN"/>
              </w:rPr>
            </w:pPr>
            <w:r>
              <w:rPr>
                <w:rFonts w:hint="eastAsia"/>
                <w:sz w:val="24"/>
                <w:szCs w:val="24"/>
                <w:highlight w:val="none"/>
                <w:lang w:eastAsia="zh-CN"/>
              </w:rPr>
              <w:t>CGZXCX-202310-1393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801" w:type="dxa"/>
            <w:noWrap w:val="0"/>
            <w:vAlign w:val="center"/>
          </w:tcPr>
          <w:p>
            <w:pPr>
              <w:jc w:val="center"/>
              <w:rPr>
                <w:sz w:val="24"/>
                <w:szCs w:val="24"/>
              </w:rPr>
            </w:pPr>
            <w:r>
              <w:rPr>
                <w:rFonts w:hint="eastAsia"/>
                <w:sz w:val="24"/>
                <w:szCs w:val="24"/>
              </w:rPr>
              <w:t>投标单位</w:t>
            </w:r>
          </w:p>
          <w:p>
            <w:pPr>
              <w:jc w:val="center"/>
              <w:rPr>
                <w:sz w:val="24"/>
                <w:szCs w:val="24"/>
              </w:rPr>
            </w:pPr>
            <w:r>
              <w:rPr>
                <w:rFonts w:hint="eastAsia"/>
                <w:sz w:val="24"/>
                <w:szCs w:val="24"/>
              </w:rPr>
              <w:t>（全称）</w:t>
            </w:r>
          </w:p>
        </w:tc>
        <w:tc>
          <w:tcPr>
            <w:tcW w:w="7123" w:type="dxa"/>
            <w:gridSpan w:val="3"/>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01" w:type="dxa"/>
            <w:noWrap w:val="0"/>
            <w:vAlign w:val="center"/>
          </w:tcPr>
          <w:p>
            <w:pPr>
              <w:jc w:val="center"/>
              <w:rPr>
                <w:sz w:val="24"/>
                <w:szCs w:val="24"/>
              </w:rPr>
            </w:pPr>
            <w:r>
              <w:rPr>
                <w:rFonts w:hint="eastAsia"/>
                <w:sz w:val="24"/>
                <w:szCs w:val="24"/>
              </w:rPr>
              <w:t>设备品牌</w:t>
            </w:r>
          </w:p>
        </w:tc>
        <w:tc>
          <w:tcPr>
            <w:tcW w:w="7123" w:type="dxa"/>
            <w:gridSpan w:val="3"/>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801" w:type="dxa"/>
            <w:noWrap w:val="0"/>
            <w:vAlign w:val="center"/>
          </w:tcPr>
          <w:p>
            <w:pPr>
              <w:jc w:val="center"/>
              <w:rPr>
                <w:sz w:val="24"/>
                <w:szCs w:val="24"/>
              </w:rPr>
            </w:pPr>
            <w:r>
              <w:rPr>
                <w:rFonts w:hint="eastAsia"/>
                <w:sz w:val="24"/>
                <w:szCs w:val="24"/>
              </w:rPr>
              <w:t>项目负责人</w:t>
            </w:r>
          </w:p>
        </w:tc>
        <w:tc>
          <w:tcPr>
            <w:tcW w:w="2526" w:type="dxa"/>
            <w:noWrap w:val="0"/>
            <w:vAlign w:val="center"/>
          </w:tcPr>
          <w:p>
            <w:pPr>
              <w:jc w:val="center"/>
              <w:rPr>
                <w:sz w:val="24"/>
                <w:szCs w:val="24"/>
              </w:rPr>
            </w:pPr>
          </w:p>
        </w:tc>
        <w:tc>
          <w:tcPr>
            <w:tcW w:w="2272" w:type="dxa"/>
            <w:noWrap w:val="0"/>
            <w:vAlign w:val="center"/>
          </w:tcPr>
          <w:p>
            <w:pPr>
              <w:jc w:val="center"/>
              <w:rPr>
                <w:sz w:val="24"/>
                <w:szCs w:val="24"/>
              </w:rPr>
            </w:pPr>
            <w:r>
              <w:rPr>
                <w:rFonts w:hint="eastAsia"/>
                <w:sz w:val="24"/>
                <w:szCs w:val="24"/>
              </w:rPr>
              <w:t>联系电话</w:t>
            </w:r>
          </w:p>
        </w:tc>
        <w:tc>
          <w:tcPr>
            <w:tcW w:w="2325" w:type="dxa"/>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801" w:type="dxa"/>
            <w:noWrap w:val="0"/>
            <w:vAlign w:val="center"/>
          </w:tcPr>
          <w:p>
            <w:pPr>
              <w:jc w:val="center"/>
              <w:rPr>
                <w:sz w:val="24"/>
                <w:szCs w:val="24"/>
              </w:rPr>
            </w:pPr>
            <w:r>
              <w:rPr>
                <w:rFonts w:hint="eastAsia"/>
                <w:sz w:val="24"/>
                <w:szCs w:val="24"/>
              </w:rPr>
              <w:t>公司电话</w:t>
            </w:r>
          </w:p>
        </w:tc>
        <w:tc>
          <w:tcPr>
            <w:tcW w:w="2526" w:type="dxa"/>
            <w:noWrap w:val="0"/>
            <w:vAlign w:val="center"/>
          </w:tcPr>
          <w:p>
            <w:pPr>
              <w:jc w:val="center"/>
              <w:rPr>
                <w:sz w:val="24"/>
                <w:szCs w:val="24"/>
              </w:rPr>
            </w:pPr>
          </w:p>
        </w:tc>
        <w:tc>
          <w:tcPr>
            <w:tcW w:w="2272" w:type="dxa"/>
            <w:noWrap w:val="0"/>
            <w:vAlign w:val="center"/>
          </w:tcPr>
          <w:p>
            <w:pPr>
              <w:jc w:val="center"/>
              <w:rPr>
                <w:sz w:val="24"/>
                <w:szCs w:val="24"/>
              </w:rPr>
            </w:pPr>
            <w:r>
              <w:rPr>
                <w:rFonts w:hint="eastAsia"/>
                <w:sz w:val="24"/>
                <w:szCs w:val="24"/>
              </w:rPr>
              <w:t>传真</w:t>
            </w:r>
          </w:p>
        </w:tc>
        <w:tc>
          <w:tcPr>
            <w:tcW w:w="2325" w:type="dxa"/>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801" w:type="dxa"/>
            <w:noWrap w:val="0"/>
            <w:vAlign w:val="center"/>
          </w:tcPr>
          <w:p>
            <w:pPr>
              <w:jc w:val="center"/>
              <w:rPr>
                <w:sz w:val="24"/>
                <w:szCs w:val="24"/>
              </w:rPr>
            </w:pPr>
            <w:r>
              <w:rPr>
                <w:rFonts w:hint="eastAsia"/>
                <w:sz w:val="24"/>
                <w:szCs w:val="24"/>
              </w:rPr>
              <w:t>E-mail</w:t>
            </w:r>
          </w:p>
        </w:tc>
        <w:tc>
          <w:tcPr>
            <w:tcW w:w="7123" w:type="dxa"/>
            <w:gridSpan w:val="3"/>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801" w:type="dxa"/>
            <w:noWrap w:val="0"/>
            <w:vAlign w:val="center"/>
          </w:tcPr>
          <w:p>
            <w:pPr>
              <w:jc w:val="center"/>
              <w:rPr>
                <w:sz w:val="24"/>
                <w:szCs w:val="24"/>
              </w:rPr>
            </w:pPr>
            <w:r>
              <w:rPr>
                <w:rFonts w:hint="eastAsia"/>
                <w:sz w:val="24"/>
                <w:szCs w:val="24"/>
              </w:rPr>
              <w:t>报名时间</w:t>
            </w:r>
          </w:p>
        </w:tc>
        <w:tc>
          <w:tcPr>
            <w:tcW w:w="7123" w:type="dxa"/>
            <w:gridSpan w:val="3"/>
            <w:noWrap w:val="0"/>
            <w:vAlign w:val="center"/>
          </w:tcPr>
          <w:p>
            <w:pPr>
              <w:jc w:val="center"/>
              <w:rPr>
                <w:sz w:val="24"/>
                <w:szCs w:val="24"/>
              </w:rPr>
            </w:pPr>
            <w:r>
              <w:rPr>
                <w:rFonts w:hint="eastAsia"/>
                <w:sz w:val="24"/>
                <w:szCs w:val="24"/>
              </w:rPr>
              <w:t>年    月    日</w:t>
            </w:r>
          </w:p>
        </w:tc>
      </w:tr>
    </w:tbl>
    <w:p>
      <w:pPr>
        <w:spacing w:line="360" w:lineRule="auto"/>
        <w:ind w:left="472" w:right="69" w:rightChars="33" w:hanging="472" w:hangingChars="196"/>
        <w:rPr>
          <w:rFonts w:hint="eastAsia" w:ascii="宋体" w:hAnsi="宋体"/>
          <w:b/>
          <w:sz w:val="24"/>
        </w:rPr>
      </w:pPr>
    </w:p>
    <w:p>
      <w:pPr>
        <w:spacing w:line="360" w:lineRule="auto"/>
        <w:ind w:left="472" w:right="69" w:rightChars="33" w:hanging="472" w:hangingChars="196"/>
        <w:rPr>
          <w:rFonts w:ascii="宋体" w:hAnsi="宋体"/>
          <w:sz w:val="24"/>
        </w:rPr>
      </w:pPr>
      <w:r>
        <w:rPr>
          <w:rFonts w:hint="eastAsia" w:ascii="宋体" w:hAnsi="宋体"/>
          <w:b/>
          <w:sz w:val="24"/>
        </w:rPr>
        <w:t>注：</w:t>
      </w:r>
      <w:r>
        <w:rPr>
          <w:rFonts w:hint="eastAsia" w:ascii="宋体" w:hAnsi="宋体"/>
          <w:sz w:val="24"/>
        </w:rPr>
        <w:t>请投标单位认真填写并加盖公章，并于规定日期内以扫描电子版形式发送到招标人指定电子邮箱。缺项及不按要求时间上传的均视为自动放弃本次投标。</w:t>
      </w:r>
    </w:p>
    <w:p>
      <w:pPr>
        <w:spacing w:line="360" w:lineRule="auto"/>
      </w:pPr>
    </w:p>
    <w:sectPr>
      <w:footerReference r:id="rId5" w:type="default"/>
      <w:pgSz w:w="11907" w:h="16840"/>
      <w:pgMar w:top="1025" w:right="1418" w:bottom="1418" w:left="1418" w:header="724" w:footer="851" w:gutter="0"/>
      <w:cols w:space="720" w:num="1"/>
      <w:docGrid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w:altName w:val="Cambria"/>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360"/>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 xml:space="preserve"> 页 共 </w:t>
    </w:r>
    <w:r>
      <w:rPr>
        <w:szCs w:val="21"/>
      </w:rPr>
      <w:t>4</w:t>
    </w:r>
    <w:r>
      <w:rPr>
        <w:rFonts w:hint="eastAsia"/>
        <w:szCs w:val="21"/>
        <w:lang w:val="en-US" w:eastAsia="zh-CN"/>
      </w:rPr>
      <w:t>2</w:t>
    </w:r>
    <w:r>
      <w:rPr>
        <w:rFonts w:hint="eastAsia"/>
        <w:szCs w:val="21"/>
      </w:rPr>
      <w:t xml:space="preserve"> 页</w:t>
    </w:r>
  </w:p>
  <w:p>
    <w:pPr>
      <w:pStyle w:val="5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360"/>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39</w:t>
    </w:r>
    <w:r>
      <w:rPr>
        <w:szCs w:val="21"/>
      </w:rPr>
      <w:fldChar w:fldCharType="end"/>
    </w:r>
    <w:r>
      <w:rPr>
        <w:rFonts w:hint="eastAsia"/>
        <w:szCs w:val="21"/>
      </w:rPr>
      <w:t xml:space="preserve"> 页 共 </w:t>
    </w:r>
    <w:r>
      <w:rPr>
        <w:szCs w:val="21"/>
      </w:rPr>
      <w:t>4</w:t>
    </w:r>
    <w:r>
      <w:rPr>
        <w:rFonts w:hint="eastAsia"/>
        <w:szCs w:val="21"/>
        <w:lang w:val="en-US" w:eastAsia="zh-CN"/>
      </w:rPr>
      <w:t>2</w:t>
    </w:r>
    <w:r>
      <w:rPr>
        <w:rFonts w:hint="eastAsia"/>
        <w:szCs w:val="21"/>
      </w:rPr>
      <w:t xml:space="preserve"> 页</w:t>
    </w:r>
  </w:p>
  <w:p>
    <w:pPr>
      <w:pStyle w:val="5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82ABF"/>
    <w:multiLevelType w:val="singleLevel"/>
    <w:tmpl w:val="C1882ABF"/>
    <w:lvl w:ilvl="0" w:tentative="0">
      <w:start w:val="1"/>
      <w:numFmt w:val="decimal"/>
      <w:suff w:val="space"/>
      <w:lvlText w:val="(%1)"/>
      <w:lvlJc w:val="left"/>
      <w:pPr>
        <w:tabs>
          <w:tab w:val="left" w:pos="0"/>
        </w:tabs>
        <w:ind w:left="0" w:firstLine="0"/>
      </w:pPr>
      <w:rPr>
        <w:rFonts w:hint="default"/>
        <w:b w:val="0"/>
        <w:bCs/>
      </w:rPr>
    </w:lvl>
  </w:abstractNum>
  <w:abstractNum w:abstractNumId="1">
    <w:nsid w:val="00000000"/>
    <w:multiLevelType w:val="multilevel"/>
    <w:tmpl w:val="00000000"/>
    <w:lvl w:ilvl="0" w:tentative="0">
      <w:start w:val="1"/>
      <w:numFmt w:val="bullet"/>
      <w:pStyle w:val="32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47933AF"/>
    <w:multiLevelType w:val="multilevel"/>
    <w:tmpl w:val="047933AF"/>
    <w:lvl w:ilvl="0" w:tentative="0">
      <w:start w:val="1"/>
      <w:numFmt w:val="decimal"/>
      <w:pStyle w:val="74"/>
      <w:lvlText w:val="第%1章"/>
      <w:lvlJc w:val="left"/>
      <w:pPr>
        <w:ind w:left="420" w:hanging="420"/>
      </w:pPr>
      <w:rPr>
        <w:rFonts w:hint="default"/>
        <w:i w:val="0"/>
        <w:i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686CC5"/>
    <w:multiLevelType w:val="multilevel"/>
    <w:tmpl w:val="11686CC5"/>
    <w:lvl w:ilvl="0" w:tentative="0">
      <w:start w:val="1"/>
      <w:numFmt w:val="lowerLetter"/>
      <w:lvlText w:val="%1."/>
      <w:lvlJc w:val="left"/>
      <w:pPr>
        <w:ind w:left="991" w:hanging="420"/>
      </w:pPr>
      <w:rPr>
        <w:rFonts w:hint="eastAsia"/>
      </w:rPr>
    </w:lvl>
    <w:lvl w:ilvl="1" w:tentative="0">
      <w:start w:val="1"/>
      <w:numFmt w:val="lowerLetter"/>
      <w:lvlText w:val="%2)"/>
      <w:lvlJc w:val="left"/>
      <w:pPr>
        <w:ind w:left="1411" w:hanging="420"/>
      </w:pPr>
    </w:lvl>
    <w:lvl w:ilvl="2" w:tentative="0">
      <w:start w:val="1"/>
      <w:numFmt w:val="lowerRoman"/>
      <w:lvlText w:val="%3."/>
      <w:lvlJc w:val="right"/>
      <w:pPr>
        <w:ind w:left="1831" w:hanging="420"/>
      </w:pPr>
    </w:lvl>
    <w:lvl w:ilvl="3" w:tentative="0">
      <w:start w:val="1"/>
      <w:numFmt w:val="decimal"/>
      <w:lvlText w:val="%4."/>
      <w:lvlJc w:val="left"/>
      <w:pPr>
        <w:ind w:left="2251" w:hanging="420"/>
      </w:pPr>
    </w:lvl>
    <w:lvl w:ilvl="4" w:tentative="0">
      <w:start w:val="1"/>
      <w:numFmt w:val="lowerLetter"/>
      <w:lvlText w:val="%5)"/>
      <w:lvlJc w:val="left"/>
      <w:pPr>
        <w:ind w:left="2671" w:hanging="420"/>
      </w:pPr>
    </w:lvl>
    <w:lvl w:ilvl="5" w:tentative="0">
      <w:start w:val="1"/>
      <w:numFmt w:val="lowerRoman"/>
      <w:lvlText w:val="%6."/>
      <w:lvlJc w:val="right"/>
      <w:pPr>
        <w:ind w:left="3091" w:hanging="420"/>
      </w:pPr>
    </w:lvl>
    <w:lvl w:ilvl="6" w:tentative="0">
      <w:start w:val="1"/>
      <w:numFmt w:val="decimal"/>
      <w:lvlText w:val="%7."/>
      <w:lvlJc w:val="left"/>
      <w:pPr>
        <w:ind w:left="3511" w:hanging="420"/>
      </w:pPr>
    </w:lvl>
    <w:lvl w:ilvl="7" w:tentative="0">
      <w:start w:val="1"/>
      <w:numFmt w:val="lowerLetter"/>
      <w:lvlText w:val="%8)"/>
      <w:lvlJc w:val="left"/>
      <w:pPr>
        <w:ind w:left="3931" w:hanging="420"/>
      </w:pPr>
    </w:lvl>
    <w:lvl w:ilvl="8" w:tentative="0">
      <w:start w:val="1"/>
      <w:numFmt w:val="lowerRoman"/>
      <w:lvlText w:val="%9."/>
      <w:lvlJc w:val="right"/>
      <w:pPr>
        <w:ind w:left="4351" w:hanging="420"/>
      </w:pPr>
    </w:lvl>
  </w:abstractNum>
  <w:abstractNum w:abstractNumId="4">
    <w:nsid w:val="229F5DE5"/>
    <w:multiLevelType w:val="multilevel"/>
    <w:tmpl w:val="229F5DE5"/>
    <w:lvl w:ilvl="0" w:tentative="0">
      <w:start w:val="3"/>
      <w:numFmt w:val="decimal"/>
      <w:pStyle w:val="44"/>
      <w:lvlText w:val="%1．"/>
      <w:lvlJc w:val="left"/>
      <w:pPr>
        <w:tabs>
          <w:tab w:val="left" w:pos="360"/>
        </w:tabs>
        <w:ind w:left="360" w:hanging="360"/>
      </w:pPr>
      <w:rPr>
        <w:rFonts w:hint="default" w:cs="Times New Roman"/>
      </w:rPr>
    </w:lvl>
    <w:lvl w:ilvl="1" w:tentative="0">
      <w:start w:val="1"/>
      <w:numFmt w:val="lowerLetter"/>
      <w:pStyle w:val="315"/>
      <w:lvlText w:val="%2)"/>
      <w:lvlJc w:val="left"/>
      <w:pPr>
        <w:tabs>
          <w:tab w:val="left" w:pos="840"/>
        </w:tabs>
        <w:ind w:left="840" w:hanging="420"/>
      </w:pPr>
      <w:rPr>
        <w:rFonts w:cs="Times New Roman"/>
      </w:rPr>
    </w:lvl>
    <w:lvl w:ilvl="2" w:tentative="0">
      <w:start w:val="1"/>
      <w:numFmt w:val="lowerRoman"/>
      <w:pStyle w:val="329"/>
      <w:lvlText w:val="%3."/>
      <w:lvlJc w:val="right"/>
      <w:pPr>
        <w:tabs>
          <w:tab w:val="left" w:pos="1260"/>
        </w:tabs>
        <w:ind w:left="1260" w:hanging="420"/>
      </w:pPr>
      <w:rPr>
        <w:rFonts w:cs="Times New Roman"/>
      </w:rPr>
    </w:lvl>
    <w:lvl w:ilvl="3" w:tentative="0">
      <w:start w:val="1"/>
      <w:numFmt w:val="decimal"/>
      <w:pStyle w:val="319"/>
      <w:lvlText w:val="%4."/>
      <w:lvlJc w:val="left"/>
      <w:pPr>
        <w:tabs>
          <w:tab w:val="left" w:pos="1680"/>
        </w:tabs>
        <w:ind w:left="1680" w:hanging="420"/>
      </w:pPr>
      <w:rPr>
        <w:rFonts w:cs="Times New Roman"/>
      </w:rPr>
    </w:lvl>
    <w:lvl w:ilvl="4" w:tentative="0">
      <w:start w:val="1"/>
      <w:numFmt w:val="lowerLetter"/>
      <w:pStyle w:val="318"/>
      <w:lvlText w:val="%5)"/>
      <w:lvlJc w:val="left"/>
      <w:pPr>
        <w:tabs>
          <w:tab w:val="left" w:pos="2100"/>
        </w:tabs>
        <w:ind w:left="2100" w:hanging="420"/>
      </w:pPr>
      <w:rPr>
        <w:rFonts w:cs="Times New Roman"/>
      </w:rPr>
    </w:lvl>
    <w:lvl w:ilvl="5" w:tentative="0">
      <w:start w:val="1"/>
      <w:numFmt w:val="lowerRoman"/>
      <w:pStyle w:val="291"/>
      <w:lvlText w:val="%6."/>
      <w:lvlJc w:val="right"/>
      <w:pPr>
        <w:tabs>
          <w:tab w:val="left" w:pos="2520"/>
        </w:tabs>
        <w:ind w:left="2520" w:hanging="420"/>
      </w:pPr>
      <w:rPr>
        <w:rFonts w:cs="Times New Roman"/>
      </w:rPr>
    </w:lvl>
    <w:lvl w:ilvl="6" w:tentative="0">
      <w:start w:val="1"/>
      <w:numFmt w:val="decimal"/>
      <w:pStyle w:val="232"/>
      <w:lvlText w:val="%7."/>
      <w:lvlJc w:val="left"/>
      <w:pPr>
        <w:tabs>
          <w:tab w:val="left" w:pos="2940"/>
        </w:tabs>
        <w:ind w:left="2940" w:hanging="420"/>
      </w:pPr>
      <w:rPr>
        <w:rFonts w:cs="Times New Roman"/>
      </w:rPr>
    </w:lvl>
    <w:lvl w:ilvl="7" w:tentative="0">
      <w:start w:val="1"/>
      <w:numFmt w:val="lowerLetter"/>
      <w:pStyle w:val="234"/>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26071288"/>
    <w:multiLevelType w:val="multilevel"/>
    <w:tmpl w:val="26071288"/>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28E554A9"/>
    <w:multiLevelType w:val="singleLevel"/>
    <w:tmpl w:val="28E554A9"/>
    <w:lvl w:ilvl="0" w:tentative="0">
      <w:start w:val="1"/>
      <w:numFmt w:val="decimal"/>
      <w:suff w:val="space"/>
      <w:lvlText w:val="(%1)"/>
      <w:lvlJc w:val="left"/>
      <w:pPr>
        <w:tabs>
          <w:tab w:val="left" w:pos="0"/>
        </w:tabs>
        <w:ind w:left="0" w:firstLine="0"/>
      </w:pPr>
      <w:rPr>
        <w:rFonts w:hint="default"/>
        <w:b w:val="0"/>
        <w:bCs/>
      </w:rPr>
    </w:lvl>
  </w:abstractNum>
  <w:abstractNum w:abstractNumId="7">
    <w:nsid w:val="32D71598"/>
    <w:multiLevelType w:val="multilevel"/>
    <w:tmpl w:val="32D71598"/>
    <w:lvl w:ilvl="0" w:tentative="0">
      <w:start w:val="1"/>
      <w:numFmt w:val="decimal"/>
      <w:pStyle w:val="3"/>
      <w:lvlText w:val="%1"/>
      <w:lvlJc w:val="left"/>
      <w:pPr>
        <w:ind w:left="432" w:hanging="432"/>
      </w:pPr>
      <w:rPr>
        <w:rFonts w:hint="eastAsia"/>
      </w:rPr>
    </w:lvl>
    <w:lvl w:ilvl="1" w:tentative="0">
      <w:start w:val="1"/>
      <w:numFmt w:val="decimal"/>
      <w:pStyle w:val="4"/>
      <w:lvlText w:val="%1.%2"/>
      <w:lvlJc w:val="left"/>
      <w:pPr>
        <w:ind w:left="576" w:hanging="576"/>
      </w:pPr>
      <w:rPr>
        <w:i w:val="0"/>
        <w:iCs w:val="0"/>
      </w:rPr>
    </w:lvl>
    <w:lvl w:ilvl="2" w:tentative="0">
      <w:start w:val="1"/>
      <w:numFmt w:val="decimal"/>
      <w:pStyle w:val="6"/>
      <w:lvlText w:val="%1.%2.%3"/>
      <w:lvlJc w:val="left"/>
      <w:pPr>
        <w:ind w:left="720" w:hanging="720"/>
      </w:pPr>
    </w:lvl>
    <w:lvl w:ilvl="3" w:tentative="0">
      <w:start w:val="1"/>
      <w:numFmt w:val="decimal"/>
      <w:pStyle w:val="8"/>
      <w:lvlText w:val="%1.%2.%3.%4"/>
      <w:lvlJc w:val="left"/>
      <w:pPr>
        <w:ind w:left="864" w:hanging="864"/>
      </w:pPr>
    </w:lvl>
    <w:lvl w:ilvl="4" w:tentative="0">
      <w:start w:val="1"/>
      <w:numFmt w:val="decimal"/>
      <w:pStyle w:val="9"/>
      <w:lvlText w:val="%1.%2.%3.%4.%5"/>
      <w:lvlJc w:val="left"/>
      <w:pPr>
        <w:ind w:left="1008" w:hanging="1008"/>
      </w:pPr>
    </w:lvl>
    <w:lvl w:ilvl="5" w:tentative="0">
      <w:start w:val="1"/>
      <w:numFmt w:val="decimal"/>
      <w:pStyle w:val="10"/>
      <w:lvlText w:val="%1.%2.%3.%4.%5.%6"/>
      <w:lvlJc w:val="left"/>
      <w:pPr>
        <w:ind w:left="1152" w:hanging="1152"/>
      </w:pPr>
    </w:lvl>
    <w:lvl w:ilvl="6" w:tentative="0">
      <w:start w:val="1"/>
      <w:numFmt w:val="decimal"/>
      <w:pStyle w:val="11"/>
      <w:lvlText w:val="%1.%2.%3.%4.%5.%6.%7"/>
      <w:lvlJc w:val="left"/>
      <w:pPr>
        <w:ind w:left="1296" w:hanging="1296"/>
      </w:pPr>
    </w:lvl>
    <w:lvl w:ilvl="7" w:tentative="0">
      <w:start w:val="1"/>
      <w:numFmt w:val="decimal"/>
      <w:pStyle w:val="12"/>
      <w:lvlText w:val="%1.%2.%3.%4.%5.%6.%7.%8"/>
      <w:lvlJc w:val="left"/>
      <w:pPr>
        <w:ind w:left="1440" w:hanging="1440"/>
      </w:pPr>
    </w:lvl>
    <w:lvl w:ilvl="8" w:tentative="0">
      <w:start w:val="1"/>
      <w:numFmt w:val="decimal"/>
      <w:pStyle w:val="13"/>
      <w:lvlText w:val="%1.%2.%3.%4.%5.%6.%7.%8.%9"/>
      <w:lvlJc w:val="left"/>
      <w:pPr>
        <w:ind w:left="1584" w:hanging="1584"/>
      </w:pPr>
    </w:lvl>
  </w:abstractNum>
  <w:abstractNum w:abstractNumId="8">
    <w:nsid w:val="3B2000F1"/>
    <w:multiLevelType w:val="multilevel"/>
    <w:tmpl w:val="3B2000F1"/>
    <w:lvl w:ilvl="0" w:tentative="0">
      <w:start w:val="1"/>
      <w:numFmt w:val="decimal"/>
      <w:suff w:val="space"/>
      <w:lvlText w:val="(%1)"/>
      <w:lvlJc w:val="left"/>
      <w:pPr>
        <w:ind w:left="0" w:firstLine="0"/>
      </w:pPr>
      <w:rPr>
        <w:rFonts w:hint="default"/>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1FF209B"/>
    <w:multiLevelType w:val="multilevel"/>
    <w:tmpl w:val="41FF209B"/>
    <w:lvl w:ilvl="0" w:tentative="0">
      <w:start w:val="1"/>
      <w:numFmt w:val="lowerLetter"/>
      <w:suff w:val="nothing"/>
      <w:lvlText w:val="%1."/>
      <w:lvlJc w:val="left"/>
      <w:pPr>
        <w:ind w:left="991" w:hanging="420"/>
      </w:pPr>
      <w:rPr>
        <w:rFonts w:hint="eastAsia"/>
      </w:rPr>
    </w:lvl>
    <w:lvl w:ilvl="1" w:tentative="0">
      <w:start w:val="1"/>
      <w:numFmt w:val="lowerLetter"/>
      <w:lvlText w:val="%2)"/>
      <w:lvlJc w:val="left"/>
      <w:pPr>
        <w:ind w:left="1411" w:hanging="420"/>
      </w:pPr>
    </w:lvl>
    <w:lvl w:ilvl="2" w:tentative="0">
      <w:start w:val="1"/>
      <w:numFmt w:val="lowerRoman"/>
      <w:lvlText w:val="%3."/>
      <w:lvlJc w:val="right"/>
      <w:pPr>
        <w:ind w:left="1831" w:hanging="420"/>
      </w:pPr>
    </w:lvl>
    <w:lvl w:ilvl="3" w:tentative="0">
      <w:start w:val="1"/>
      <w:numFmt w:val="decimal"/>
      <w:lvlText w:val="%4."/>
      <w:lvlJc w:val="left"/>
      <w:pPr>
        <w:ind w:left="2251" w:hanging="420"/>
      </w:pPr>
    </w:lvl>
    <w:lvl w:ilvl="4" w:tentative="0">
      <w:start w:val="1"/>
      <w:numFmt w:val="lowerLetter"/>
      <w:lvlText w:val="%5)"/>
      <w:lvlJc w:val="left"/>
      <w:pPr>
        <w:ind w:left="2671" w:hanging="420"/>
      </w:pPr>
    </w:lvl>
    <w:lvl w:ilvl="5" w:tentative="0">
      <w:start w:val="1"/>
      <w:numFmt w:val="lowerRoman"/>
      <w:lvlText w:val="%6."/>
      <w:lvlJc w:val="right"/>
      <w:pPr>
        <w:ind w:left="3091" w:hanging="420"/>
      </w:pPr>
    </w:lvl>
    <w:lvl w:ilvl="6" w:tentative="0">
      <w:start w:val="1"/>
      <w:numFmt w:val="decimal"/>
      <w:lvlText w:val="%7."/>
      <w:lvlJc w:val="left"/>
      <w:pPr>
        <w:ind w:left="3511" w:hanging="420"/>
      </w:pPr>
    </w:lvl>
    <w:lvl w:ilvl="7" w:tentative="0">
      <w:start w:val="1"/>
      <w:numFmt w:val="lowerLetter"/>
      <w:lvlText w:val="%8)"/>
      <w:lvlJc w:val="left"/>
      <w:pPr>
        <w:ind w:left="3931" w:hanging="420"/>
      </w:pPr>
    </w:lvl>
    <w:lvl w:ilvl="8" w:tentative="0">
      <w:start w:val="1"/>
      <w:numFmt w:val="lowerRoman"/>
      <w:lvlText w:val="%9."/>
      <w:lvlJc w:val="right"/>
      <w:pPr>
        <w:ind w:left="4351" w:hanging="420"/>
      </w:pPr>
    </w:lvl>
  </w:abstractNum>
  <w:abstractNum w:abstractNumId="10">
    <w:nsid w:val="545748C0"/>
    <w:multiLevelType w:val="multilevel"/>
    <w:tmpl w:val="545748C0"/>
    <w:lvl w:ilvl="0" w:tentative="0">
      <w:start w:val="1"/>
      <w:numFmt w:val="decimal"/>
      <w:suff w:val="space"/>
      <w:lvlText w:val="(%1)"/>
      <w:lvlJc w:val="left"/>
      <w:pPr>
        <w:ind w:left="0" w:firstLine="0"/>
      </w:pPr>
      <w:rPr>
        <w:rFonts w:hint="default"/>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A023BC0"/>
    <w:multiLevelType w:val="multilevel"/>
    <w:tmpl w:val="5A023BC0"/>
    <w:lvl w:ilvl="0" w:tentative="0">
      <w:start w:val="1"/>
      <w:numFmt w:val="decimal"/>
      <w:suff w:val="space"/>
      <w:lvlText w:val="(%1)"/>
      <w:lvlJc w:val="left"/>
      <w:pPr>
        <w:ind w:left="0" w:firstLine="0"/>
      </w:pPr>
      <w:rPr>
        <w:rFonts w:hint="default"/>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CBF4B38"/>
    <w:multiLevelType w:val="singleLevel"/>
    <w:tmpl w:val="5CBF4B38"/>
    <w:lvl w:ilvl="0" w:tentative="0">
      <w:start w:val="1"/>
      <w:numFmt w:val="bullet"/>
      <w:pStyle w:val="261"/>
      <w:lvlText w:val="-"/>
      <w:lvlJc w:val="left"/>
      <w:pPr>
        <w:tabs>
          <w:tab w:val="left" w:pos="360"/>
        </w:tabs>
        <w:ind w:left="360" w:hanging="360"/>
      </w:pPr>
      <w:rPr>
        <w:sz w:val="16"/>
      </w:rPr>
    </w:lvl>
  </w:abstractNum>
  <w:abstractNum w:abstractNumId="13">
    <w:nsid w:val="5D7A57DD"/>
    <w:multiLevelType w:val="multilevel"/>
    <w:tmpl w:val="5D7A57DD"/>
    <w:lvl w:ilvl="0" w:tentative="0">
      <w:start w:val="1"/>
      <w:numFmt w:val="decimal"/>
      <w:lvlText w:val="%1、"/>
      <w:lvlJc w:val="left"/>
      <w:pPr>
        <w:tabs>
          <w:tab w:val="left" w:pos="840"/>
        </w:tabs>
        <w:ind w:left="840" w:hanging="360"/>
      </w:pPr>
      <w:rPr>
        <w:rFonts w:hint="default"/>
      </w:rPr>
    </w:lvl>
    <w:lvl w:ilvl="1" w:tentative="0">
      <w:start w:val="1"/>
      <w:numFmt w:val="lowerLetter"/>
      <w:pStyle w:val="320"/>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61B40391"/>
    <w:multiLevelType w:val="multilevel"/>
    <w:tmpl w:val="61B40391"/>
    <w:lvl w:ilvl="0" w:tentative="0">
      <w:start w:val="1"/>
      <w:numFmt w:val="lowerLetter"/>
      <w:lvlText w:val="%1."/>
      <w:lvlJc w:val="left"/>
      <w:pPr>
        <w:ind w:left="991" w:hanging="420"/>
      </w:pPr>
      <w:rPr>
        <w:rFonts w:hint="eastAsia"/>
      </w:rPr>
    </w:lvl>
    <w:lvl w:ilvl="1" w:tentative="0">
      <w:start w:val="1"/>
      <w:numFmt w:val="lowerLetter"/>
      <w:lvlText w:val="%2)"/>
      <w:lvlJc w:val="left"/>
      <w:pPr>
        <w:ind w:left="1411" w:hanging="420"/>
      </w:pPr>
    </w:lvl>
    <w:lvl w:ilvl="2" w:tentative="0">
      <w:start w:val="1"/>
      <w:numFmt w:val="lowerRoman"/>
      <w:lvlText w:val="%3."/>
      <w:lvlJc w:val="right"/>
      <w:pPr>
        <w:ind w:left="1831" w:hanging="420"/>
      </w:pPr>
    </w:lvl>
    <w:lvl w:ilvl="3" w:tentative="0">
      <w:start w:val="1"/>
      <w:numFmt w:val="decimal"/>
      <w:lvlText w:val="%4."/>
      <w:lvlJc w:val="left"/>
      <w:pPr>
        <w:ind w:left="2251" w:hanging="420"/>
      </w:pPr>
    </w:lvl>
    <w:lvl w:ilvl="4" w:tentative="0">
      <w:start w:val="1"/>
      <w:numFmt w:val="lowerLetter"/>
      <w:lvlText w:val="%5)"/>
      <w:lvlJc w:val="left"/>
      <w:pPr>
        <w:ind w:left="2671" w:hanging="420"/>
      </w:pPr>
    </w:lvl>
    <w:lvl w:ilvl="5" w:tentative="0">
      <w:start w:val="1"/>
      <w:numFmt w:val="lowerRoman"/>
      <w:lvlText w:val="%6."/>
      <w:lvlJc w:val="right"/>
      <w:pPr>
        <w:ind w:left="3091" w:hanging="420"/>
      </w:pPr>
    </w:lvl>
    <w:lvl w:ilvl="6" w:tentative="0">
      <w:start w:val="1"/>
      <w:numFmt w:val="decimal"/>
      <w:lvlText w:val="%7."/>
      <w:lvlJc w:val="left"/>
      <w:pPr>
        <w:ind w:left="3511" w:hanging="420"/>
      </w:pPr>
    </w:lvl>
    <w:lvl w:ilvl="7" w:tentative="0">
      <w:start w:val="1"/>
      <w:numFmt w:val="lowerLetter"/>
      <w:lvlText w:val="%8)"/>
      <w:lvlJc w:val="left"/>
      <w:pPr>
        <w:ind w:left="3931" w:hanging="420"/>
      </w:pPr>
    </w:lvl>
    <w:lvl w:ilvl="8" w:tentative="0">
      <w:start w:val="1"/>
      <w:numFmt w:val="lowerRoman"/>
      <w:lvlText w:val="%9."/>
      <w:lvlJc w:val="right"/>
      <w:pPr>
        <w:ind w:left="4351" w:hanging="420"/>
      </w:pPr>
    </w:lvl>
  </w:abstractNum>
  <w:abstractNum w:abstractNumId="15">
    <w:nsid w:val="65C33AA6"/>
    <w:multiLevelType w:val="multilevel"/>
    <w:tmpl w:val="65C33AA6"/>
    <w:lvl w:ilvl="0" w:tentative="0">
      <w:start w:val="1"/>
      <w:numFmt w:val="decimal"/>
      <w:suff w:val="space"/>
      <w:lvlText w:val="(%1)"/>
      <w:lvlJc w:val="left"/>
      <w:pPr>
        <w:ind w:left="0" w:firstLine="0"/>
      </w:pPr>
      <w:rPr>
        <w:rFonts w:hint="default"/>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73768F5"/>
    <w:multiLevelType w:val="multilevel"/>
    <w:tmpl w:val="673768F5"/>
    <w:lvl w:ilvl="0" w:tentative="0">
      <w:start w:val="1"/>
      <w:numFmt w:val="decimal"/>
      <w:suff w:val="space"/>
      <w:lvlText w:val="(%1)"/>
      <w:lvlJc w:val="left"/>
      <w:pPr>
        <w:ind w:left="0" w:firstLine="0"/>
      </w:pPr>
      <w:rPr>
        <w:rFonts w:hint="default"/>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61A0A72"/>
    <w:multiLevelType w:val="multilevel"/>
    <w:tmpl w:val="761A0A72"/>
    <w:lvl w:ilvl="0" w:tentative="0">
      <w:start w:val="1"/>
      <w:numFmt w:val="decimal"/>
      <w:suff w:val="nothing"/>
      <w:lvlText w:val="(%1)"/>
      <w:lvlJc w:val="left"/>
      <w:pPr>
        <w:ind w:left="1696" w:hanging="420"/>
      </w:pPr>
      <w:rPr>
        <w:rFonts w:hint="default"/>
        <w:b w:val="0"/>
        <w:bCs/>
      </w:rPr>
    </w:lvl>
    <w:lvl w:ilvl="1" w:tentative="0">
      <w:start w:val="1"/>
      <w:numFmt w:val="lowerLetter"/>
      <w:lvlText w:val="%2)"/>
      <w:lvlJc w:val="left"/>
      <w:pPr>
        <w:ind w:left="2596" w:hanging="420"/>
      </w:pPr>
    </w:lvl>
    <w:lvl w:ilvl="2" w:tentative="0">
      <w:start w:val="1"/>
      <w:numFmt w:val="lowerRoman"/>
      <w:lvlText w:val="%3."/>
      <w:lvlJc w:val="right"/>
      <w:pPr>
        <w:ind w:left="3016" w:hanging="420"/>
      </w:pPr>
    </w:lvl>
    <w:lvl w:ilvl="3" w:tentative="0">
      <w:start w:val="1"/>
      <w:numFmt w:val="decimal"/>
      <w:lvlText w:val="%4."/>
      <w:lvlJc w:val="left"/>
      <w:pPr>
        <w:ind w:left="3436" w:hanging="420"/>
      </w:pPr>
    </w:lvl>
    <w:lvl w:ilvl="4" w:tentative="0">
      <w:start w:val="1"/>
      <w:numFmt w:val="lowerLetter"/>
      <w:lvlText w:val="%5)"/>
      <w:lvlJc w:val="left"/>
      <w:pPr>
        <w:ind w:left="3856" w:hanging="420"/>
      </w:pPr>
    </w:lvl>
    <w:lvl w:ilvl="5" w:tentative="0">
      <w:start w:val="1"/>
      <w:numFmt w:val="lowerRoman"/>
      <w:lvlText w:val="%6."/>
      <w:lvlJc w:val="right"/>
      <w:pPr>
        <w:ind w:left="4276" w:hanging="420"/>
      </w:pPr>
    </w:lvl>
    <w:lvl w:ilvl="6" w:tentative="0">
      <w:start w:val="1"/>
      <w:numFmt w:val="decimal"/>
      <w:lvlText w:val="%7."/>
      <w:lvlJc w:val="left"/>
      <w:pPr>
        <w:ind w:left="4696" w:hanging="420"/>
      </w:pPr>
    </w:lvl>
    <w:lvl w:ilvl="7" w:tentative="0">
      <w:start w:val="1"/>
      <w:numFmt w:val="lowerLetter"/>
      <w:lvlText w:val="%8)"/>
      <w:lvlJc w:val="left"/>
      <w:pPr>
        <w:ind w:left="5116" w:hanging="420"/>
      </w:pPr>
    </w:lvl>
    <w:lvl w:ilvl="8" w:tentative="0">
      <w:start w:val="1"/>
      <w:numFmt w:val="lowerRoman"/>
      <w:lvlText w:val="%9."/>
      <w:lvlJc w:val="right"/>
      <w:pPr>
        <w:ind w:left="5536" w:hanging="420"/>
      </w:pPr>
    </w:lvl>
  </w:abstractNum>
  <w:abstractNum w:abstractNumId="18">
    <w:nsid w:val="777478E6"/>
    <w:multiLevelType w:val="multilevel"/>
    <w:tmpl w:val="777478E6"/>
    <w:lvl w:ilvl="0" w:tentative="0">
      <w:start w:val="1"/>
      <w:numFmt w:val="decimal"/>
      <w:suff w:val="space"/>
      <w:lvlText w:val="(%1)"/>
      <w:lvlJc w:val="left"/>
      <w:pPr>
        <w:ind w:left="0" w:firstLine="0"/>
      </w:pPr>
      <w:rPr>
        <w:rFonts w:hint="default"/>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9550F26"/>
    <w:multiLevelType w:val="multilevel"/>
    <w:tmpl w:val="79550F26"/>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79785014"/>
    <w:multiLevelType w:val="multilevel"/>
    <w:tmpl w:val="79785014"/>
    <w:lvl w:ilvl="0" w:tentative="0">
      <w:start w:val="1"/>
      <w:numFmt w:val="decimal"/>
      <w:suff w:val="space"/>
      <w:lvlText w:val="(%1)"/>
      <w:lvlJc w:val="left"/>
      <w:pPr>
        <w:ind w:left="0" w:firstLine="0"/>
      </w:pPr>
      <w:rPr>
        <w:rFonts w:hint="default" w:ascii="Times New Roman" w:hAnsi="Times New Roman" w:eastAsia="宋体" w:cs="Times New Roman"/>
        <w:b w:val="0"/>
        <w:bCs/>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F982BE3"/>
    <w:multiLevelType w:val="multilevel"/>
    <w:tmpl w:val="7F982BE3"/>
    <w:lvl w:ilvl="0" w:tentative="0">
      <w:start w:val="1"/>
      <w:numFmt w:val="decimal"/>
      <w:suff w:val="space"/>
      <w:lvlText w:val="(%1)"/>
      <w:lvlJc w:val="left"/>
      <w:pPr>
        <w:ind w:left="0" w:firstLine="0"/>
      </w:pPr>
      <w:rPr>
        <w:rFonts w:hint="default"/>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4"/>
  </w:num>
  <w:num w:numId="3">
    <w:abstractNumId w:val="2"/>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1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21"/>
  </w:num>
  <w:num w:numId="13">
    <w:abstractNumId w:val="16"/>
  </w:num>
  <w:num w:numId="14">
    <w:abstractNumId w:val="11"/>
  </w:num>
  <w:num w:numId="15">
    <w:abstractNumId w:val="18"/>
  </w:num>
  <w:num w:numId="16">
    <w:abstractNumId w:val="10"/>
  </w:num>
  <w:num w:numId="17">
    <w:abstractNumId w:val="14"/>
  </w:num>
  <w:num w:numId="18">
    <w:abstractNumId w:val="3"/>
  </w:num>
  <w:num w:numId="19">
    <w:abstractNumId w:val="9"/>
  </w:num>
  <w:num w:numId="20">
    <w:abstractNumId w:val="15"/>
  </w:num>
  <w:num w:numId="21">
    <w:abstractNumId w:val="20"/>
  </w:num>
  <w:num w:numId="22">
    <w:abstractNumId w:val="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91"/>
  <w:drawingGridVerticalSpacing w:val="145"/>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N2ZlMDYwZDY3ZWU5NDNjZTA5ODA5MzIwOTgzMTEifQ=="/>
  </w:docVars>
  <w:rsids>
    <w:rsidRoot w:val="00B9162F"/>
    <w:rsid w:val="000009EA"/>
    <w:rsid w:val="00002009"/>
    <w:rsid w:val="00002033"/>
    <w:rsid w:val="00002350"/>
    <w:rsid w:val="000027CE"/>
    <w:rsid w:val="00003D85"/>
    <w:rsid w:val="00006123"/>
    <w:rsid w:val="000066A8"/>
    <w:rsid w:val="00007080"/>
    <w:rsid w:val="00007373"/>
    <w:rsid w:val="00007867"/>
    <w:rsid w:val="00007958"/>
    <w:rsid w:val="00007F75"/>
    <w:rsid w:val="0001010F"/>
    <w:rsid w:val="000107DF"/>
    <w:rsid w:val="00010B83"/>
    <w:rsid w:val="00010C65"/>
    <w:rsid w:val="00012350"/>
    <w:rsid w:val="00012AD5"/>
    <w:rsid w:val="00012F69"/>
    <w:rsid w:val="0001316F"/>
    <w:rsid w:val="000132D4"/>
    <w:rsid w:val="00013F12"/>
    <w:rsid w:val="00013F6C"/>
    <w:rsid w:val="000145E7"/>
    <w:rsid w:val="000146C2"/>
    <w:rsid w:val="00015085"/>
    <w:rsid w:val="00015188"/>
    <w:rsid w:val="000154D7"/>
    <w:rsid w:val="00015F0B"/>
    <w:rsid w:val="00016B7F"/>
    <w:rsid w:val="00016FD9"/>
    <w:rsid w:val="00016FFA"/>
    <w:rsid w:val="00017221"/>
    <w:rsid w:val="0001728C"/>
    <w:rsid w:val="00017880"/>
    <w:rsid w:val="000202C1"/>
    <w:rsid w:val="0002130D"/>
    <w:rsid w:val="0002169C"/>
    <w:rsid w:val="000222A2"/>
    <w:rsid w:val="000222C4"/>
    <w:rsid w:val="00022410"/>
    <w:rsid w:val="000230FC"/>
    <w:rsid w:val="00023291"/>
    <w:rsid w:val="000233AD"/>
    <w:rsid w:val="0002350F"/>
    <w:rsid w:val="00023610"/>
    <w:rsid w:val="00023ED5"/>
    <w:rsid w:val="00024366"/>
    <w:rsid w:val="0002456C"/>
    <w:rsid w:val="0002479A"/>
    <w:rsid w:val="00024840"/>
    <w:rsid w:val="00024AB5"/>
    <w:rsid w:val="00024EE4"/>
    <w:rsid w:val="0002506A"/>
    <w:rsid w:val="00026173"/>
    <w:rsid w:val="00026290"/>
    <w:rsid w:val="0002649B"/>
    <w:rsid w:val="00026871"/>
    <w:rsid w:val="00027BB0"/>
    <w:rsid w:val="00030527"/>
    <w:rsid w:val="00031311"/>
    <w:rsid w:val="00031679"/>
    <w:rsid w:val="000318B5"/>
    <w:rsid w:val="000319A9"/>
    <w:rsid w:val="00031F00"/>
    <w:rsid w:val="000329A4"/>
    <w:rsid w:val="00032B55"/>
    <w:rsid w:val="00032BAF"/>
    <w:rsid w:val="00033020"/>
    <w:rsid w:val="00033562"/>
    <w:rsid w:val="00034C7F"/>
    <w:rsid w:val="00034D65"/>
    <w:rsid w:val="00034DD1"/>
    <w:rsid w:val="00034DE1"/>
    <w:rsid w:val="000350C2"/>
    <w:rsid w:val="000352BA"/>
    <w:rsid w:val="0003571A"/>
    <w:rsid w:val="00035833"/>
    <w:rsid w:val="00035CEB"/>
    <w:rsid w:val="0003624D"/>
    <w:rsid w:val="00036624"/>
    <w:rsid w:val="00036707"/>
    <w:rsid w:val="000374A8"/>
    <w:rsid w:val="0003772C"/>
    <w:rsid w:val="00037A2B"/>
    <w:rsid w:val="00037B8E"/>
    <w:rsid w:val="00040F52"/>
    <w:rsid w:val="00041249"/>
    <w:rsid w:val="00041792"/>
    <w:rsid w:val="00041C7D"/>
    <w:rsid w:val="000426F9"/>
    <w:rsid w:val="00042716"/>
    <w:rsid w:val="00042F7C"/>
    <w:rsid w:val="000434AA"/>
    <w:rsid w:val="000435A1"/>
    <w:rsid w:val="00043EA2"/>
    <w:rsid w:val="00043F53"/>
    <w:rsid w:val="0004438B"/>
    <w:rsid w:val="00045274"/>
    <w:rsid w:val="00045404"/>
    <w:rsid w:val="00045774"/>
    <w:rsid w:val="00046208"/>
    <w:rsid w:val="000469FF"/>
    <w:rsid w:val="00046A50"/>
    <w:rsid w:val="00046D8A"/>
    <w:rsid w:val="00046F00"/>
    <w:rsid w:val="00046F1B"/>
    <w:rsid w:val="0004719A"/>
    <w:rsid w:val="000471EC"/>
    <w:rsid w:val="00047582"/>
    <w:rsid w:val="000477AC"/>
    <w:rsid w:val="000478F5"/>
    <w:rsid w:val="000503C1"/>
    <w:rsid w:val="000508F9"/>
    <w:rsid w:val="0005095A"/>
    <w:rsid w:val="00050C78"/>
    <w:rsid w:val="00050FDC"/>
    <w:rsid w:val="000519AB"/>
    <w:rsid w:val="000524A5"/>
    <w:rsid w:val="000525EB"/>
    <w:rsid w:val="00052AAC"/>
    <w:rsid w:val="000533A2"/>
    <w:rsid w:val="00053C01"/>
    <w:rsid w:val="00054386"/>
    <w:rsid w:val="000544A9"/>
    <w:rsid w:val="000546B1"/>
    <w:rsid w:val="0005471B"/>
    <w:rsid w:val="0005476E"/>
    <w:rsid w:val="000549AA"/>
    <w:rsid w:val="00054E4D"/>
    <w:rsid w:val="00054E7E"/>
    <w:rsid w:val="00055043"/>
    <w:rsid w:val="000557E4"/>
    <w:rsid w:val="000557FE"/>
    <w:rsid w:val="000559CF"/>
    <w:rsid w:val="00055BF8"/>
    <w:rsid w:val="00056BAC"/>
    <w:rsid w:val="00056C57"/>
    <w:rsid w:val="00056E33"/>
    <w:rsid w:val="00060555"/>
    <w:rsid w:val="0006100D"/>
    <w:rsid w:val="0006144D"/>
    <w:rsid w:val="00061AB5"/>
    <w:rsid w:val="00062007"/>
    <w:rsid w:val="0006264A"/>
    <w:rsid w:val="00062ADB"/>
    <w:rsid w:val="0006425C"/>
    <w:rsid w:val="000647C3"/>
    <w:rsid w:val="00064C64"/>
    <w:rsid w:val="000651F7"/>
    <w:rsid w:val="000653D3"/>
    <w:rsid w:val="00065ED1"/>
    <w:rsid w:val="00066261"/>
    <w:rsid w:val="0006648F"/>
    <w:rsid w:val="000668CA"/>
    <w:rsid w:val="00066DEF"/>
    <w:rsid w:val="00067165"/>
    <w:rsid w:val="00067AEC"/>
    <w:rsid w:val="00070205"/>
    <w:rsid w:val="000703B4"/>
    <w:rsid w:val="000706CC"/>
    <w:rsid w:val="00070D6B"/>
    <w:rsid w:val="00070F07"/>
    <w:rsid w:val="000716E2"/>
    <w:rsid w:val="0007186A"/>
    <w:rsid w:val="000719ED"/>
    <w:rsid w:val="00071A6C"/>
    <w:rsid w:val="00072497"/>
    <w:rsid w:val="0007255D"/>
    <w:rsid w:val="00072965"/>
    <w:rsid w:val="00073178"/>
    <w:rsid w:val="000731EE"/>
    <w:rsid w:val="0007345D"/>
    <w:rsid w:val="00073758"/>
    <w:rsid w:val="000737CF"/>
    <w:rsid w:val="00073D5A"/>
    <w:rsid w:val="000749FA"/>
    <w:rsid w:val="0007590B"/>
    <w:rsid w:val="00075D21"/>
    <w:rsid w:val="0007642E"/>
    <w:rsid w:val="0007697F"/>
    <w:rsid w:val="000769BA"/>
    <w:rsid w:val="00076C5A"/>
    <w:rsid w:val="00077566"/>
    <w:rsid w:val="0007764A"/>
    <w:rsid w:val="0007775E"/>
    <w:rsid w:val="00077888"/>
    <w:rsid w:val="0008005E"/>
    <w:rsid w:val="00081462"/>
    <w:rsid w:val="00081F56"/>
    <w:rsid w:val="00081FE6"/>
    <w:rsid w:val="000822B6"/>
    <w:rsid w:val="000823AA"/>
    <w:rsid w:val="000823C8"/>
    <w:rsid w:val="00082719"/>
    <w:rsid w:val="000827EC"/>
    <w:rsid w:val="00082A06"/>
    <w:rsid w:val="0008312C"/>
    <w:rsid w:val="000835DC"/>
    <w:rsid w:val="00083B66"/>
    <w:rsid w:val="00083C98"/>
    <w:rsid w:val="00083E13"/>
    <w:rsid w:val="00084395"/>
    <w:rsid w:val="0008495C"/>
    <w:rsid w:val="0008520E"/>
    <w:rsid w:val="00085895"/>
    <w:rsid w:val="0008607A"/>
    <w:rsid w:val="00086F32"/>
    <w:rsid w:val="00087790"/>
    <w:rsid w:val="00087A0D"/>
    <w:rsid w:val="00087EDB"/>
    <w:rsid w:val="0009000E"/>
    <w:rsid w:val="00090ECE"/>
    <w:rsid w:val="0009162A"/>
    <w:rsid w:val="00092581"/>
    <w:rsid w:val="00093A61"/>
    <w:rsid w:val="000943A0"/>
    <w:rsid w:val="0009481E"/>
    <w:rsid w:val="00094F8C"/>
    <w:rsid w:val="000955F3"/>
    <w:rsid w:val="00095E42"/>
    <w:rsid w:val="000974FB"/>
    <w:rsid w:val="000A0038"/>
    <w:rsid w:val="000A01B4"/>
    <w:rsid w:val="000A0933"/>
    <w:rsid w:val="000A0AC8"/>
    <w:rsid w:val="000A0D1E"/>
    <w:rsid w:val="000A0EDF"/>
    <w:rsid w:val="000A1162"/>
    <w:rsid w:val="000A11F7"/>
    <w:rsid w:val="000A123A"/>
    <w:rsid w:val="000A153B"/>
    <w:rsid w:val="000A1957"/>
    <w:rsid w:val="000A1A28"/>
    <w:rsid w:val="000A1D61"/>
    <w:rsid w:val="000A22DD"/>
    <w:rsid w:val="000A3066"/>
    <w:rsid w:val="000A30DF"/>
    <w:rsid w:val="000A4279"/>
    <w:rsid w:val="000A43CC"/>
    <w:rsid w:val="000A4E21"/>
    <w:rsid w:val="000A5966"/>
    <w:rsid w:val="000A59D6"/>
    <w:rsid w:val="000A5B54"/>
    <w:rsid w:val="000A6404"/>
    <w:rsid w:val="000A6D07"/>
    <w:rsid w:val="000A738D"/>
    <w:rsid w:val="000A7A27"/>
    <w:rsid w:val="000A7B1B"/>
    <w:rsid w:val="000B05E1"/>
    <w:rsid w:val="000B0837"/>
    <w:rsid w:val="000B0DC1"/>
    <w:rsid w:val="000B15E3"/>
    <w:rsid w:val="000B1AE1"/>
    <w:rsid w:val="000B1E62"/>
    <w:rsid w:val="000B2160"/>
    <w:rsid w:val="000B22F9"/>
    <w:rsid w:val="000B235B"/>
    <w:rsid w:val="000B2D0E"/>
    <w:rsid w:val="000B31E3"/>
    <w:rsid w:val="000B32ED"/>
    <w:rsid w:val="000B33BA"/>
    <w:rsid w:val="000B3B4F"/>
    <w:rsid w:val="000B3C69"/>
    <w:rsid w:val="000B403D"/>
    <w:rsid w:val="000B4242"/>
    <w:rsid w:val="000B4653"/>
    <w:rsid w:val="000B46A8"/>
    <w:rsid w:val="000B47E5"/>
    <w:rsid w:val="000B499E"/>
    <w:rsid w:val="000B5380"/>
    <w:rsid w:val="000B5F78"/>
    <w:rsid w:val="000B68A8"/>
    <w:rsid w:val="000B6CFE"/>
    <w:rsid w:val="000B6F17"/>
    <w:rsid w:val="000B796D"/>
    <w:rsid w:val="000C0035"/>
    <w:rsid w:val="000C013C"/>
    <w:rsid w:val="000C0C09"/>
    <w:rsid w:val="000C147E"/>
    <w:rsid w:val="000C1482"/>
    <w:rsid w:val="000C176E"/>
    <w:rsid w:val="000C18F5"/>
    <w:rsid w:val="000C2810"/>
    <w:rsid w:val="000C290D"/>
    <w:rsid w:val="000C29D9"/>
    <w:rsid w:val="000C2C3A"/>
    <w:rsid w:val="000C321A"/>
    <w:rsid w:val="000C4FDF"/>
    <w:rsid w:val="000C570B"/>
    <w:rsid w:val="000C5CF9"/>
    <w:rsid w:val="000C5F02"/>
    <w:rsid w:val="000C6059"/>
    <w:rsid w:val="000C646F"/>
    <w:rsid w:val="000C6631"/>
    <w:rsid w:val="000C69EA"/>
    <w:rsid w:val="000C6C70"/>
    <w:rsid w:val="000C6C9A"/>
    <w:rsid w:val="000C722B"/>
    <w:rsid w:val="000C7332"/>
    <w:rsid w:val="000C7362"/>
    <w:rsid w:val="000C749A"/>
    <w:rsid w:val="000C771F"/>
    <w:rsid w:val="000C773F"/>
    <w:rsid w:val="000C7D3D"/>
    <w:rsid w:val="000C7D67"/>
    <w:rsid w:val="000C7E61"/>
    <w:rsid w:val="000D04BD"/>
    <w:rsid w:val="000D05AB"/>
    <w:rsid w:val="000D1FBB"/>
    <w:rsid w:val="000D2114"/>
    <w:rsid w:val="000D2284"/>
    <w:rsid w:val="000D2D73"/>
    <w:rsid w:val="000D3C96"/>
    <w:rsid w:val="000D568C"/>
    <w:rsid w:val="000D58DE"/>
    <w:rsid w:val="000D59D3"/>
    <w:rsid w:val="000D688A"/>
    <w:rsid w:val="000D6999"/>
    <w:rsid w:val="000D7221"/>
    <w:rsid w:val="000D7987"/>
    <w:rsid w:val="000E0831"/>
    <w:rsid w:val="000E0C5A"/>
    <w:rsid w:val="000E1280"/>
    <w:rsid w:val="000E1775"/>
    <w:rsid w:val="000E1A51"/>
    <w:rsid w:val="000E2110"/>
    <w:rsid w:val="000E2215"/>
    <w:rsid w:val="000E2509"/>
    <w:rsid w:val="000E2F0D"/>
    <w:rsid w:val="000E30FB"/>
    <w:rsid w:val="000E3179"/>
    <w:rsid w:val="000E3DCB"/>
    <w:rsid w:val="000E402C"/>
    <w:rsid w:val="000E41B2"/>
    <w:rsid w:val="000E446E"/>
    <w:rsid w:val="000E4631"/>
    <w:rsid w:val="000E4698"/>
    <w:rsid w:val="000E4F3D"/>
    <w:rsid w:val="000E512D"/>
    <w:rsid w:val="000E5658"/>
    <w:rsid w:val="000E5982"/>
    <w:rsid w:val="000E60B9"/>
    <w:rsid w:val="000E62A5"/>
    <w:rsid w:val="000E6470"/>
    <w:rsid w:val="000E6715"/>
    <w:rsid w:val="000E6C2C"/>
    <w:rsid w:val="000E72F4"/>
    <w:rsid w:val="000F0B7A"/>
    <w:rsid w:val="000F0DF8"/>
    <w:rsid w:val="000F0E1F"/>
    <w:rsid w:val="000F12D9"/>
    <w:rsid w:val="000F2474"/>
    <w:rsid w:val="000F2666"/>
    <w:rsid w:val="000F2A9B"/>
    <w:rsid w:val="000F2C66"/>
    <w:rsid w:val="000F329D"/>
    <w:rsid w:val="000F35ED"/>
    <w:rsid w:val="000F36F5"/>
    <w:rsid w:val="000F3A6A"/>
    <w:rsid w:val="000F4A24"/>
    <w:rsid w:val="000F4FD5"/>
    <w:rsid w:val="000F5110"/>
    <w:rsid w:val="000F5767"/>
    <w:rsid w:val="000F5887"/>
    <w:rsid w:val="000F678D"/>
    <w:rsid w:val="000F6E4D"/>
    <w:rsid w:val="000F70F6"/>
    <w:rsid w:val="000F761F"/>
    <w:rsid w:val="000F7936"/>
    <w:rsid w:val="000F7AF9"/>
    <w:rsid w:val="000F7D31"/>
    <w:rsid w:val="000F7E96"/>
    <w:rsid w:val="001001DD"/>
    <w:rsid w:val="00100B8B"/>
    <w:rsid w:val="00100C4E"/>
    <w:rsid w:val="001010D2"/>
    <w:rsid w:val="0010134B"/>
    <w:rsid w:val="0010249F"/>
    <w:rsid w:val="00102687"/>
    <w:rsid w:val="001027A7"/>
    <w:rsid w:val="00102AC1"/>
    <w:rsid w:val="00102DD1"/>
    <w:rsid w:val="0010375E"/>
    <w:rsid w:val="00103CD6"/>
    <w:rsid w:val="0010473F"/>
    <w:rsid w:val="00104C7A"/>
    <w:rsid w:val="00104DCF"/>
    <w:rsid w:val="00105030"/>
    <w:rsid w:val="00105095"/>
    <w:rsid w:val="001057FF"/>
    <w:rsid w:val="00105D64"/>
    <w:rsid w:val="00105DFD"/>
    <w:rsid w:val="00106FEC"/>
    <w:rsid w:val="00107135"/>
    <w:rsid w:val="0010722E"/>
    <w:rsid w:val="001077B8"/>
    <w:rsid w:val="0010799E"/>
    <w:rsid w:val="0011018F"/>
    <w:rsid w:val="00110694"/>
    <w:rsid w:val="00110774"/>
    <w:rsid w:val="0011095D"/>
    <w:rsid w:val="00110C5A"/>
    <w:rsid w:val="00111282"/>
    <w:rsid w:val="00111C97"/>
    <w:rsid w:val="00111CE0"/>
    <w:rsid w:val="00111FDB"/>
    <w:rsid w:val="001123B3"/>
    <w:rsid w:val="001125DB"/>
    <w:rsid w:val="001133A6"/>
    <w:rsid w:val="00113636"/>
    <w:rsid w:val="00113767"/>
    <w:rsid w:val="0011397C"/>
    <w:rsid w:val="001139C1"/>
    <w:rsid w:val="00113B8A"/>
    <w:rsid w:val="00113F6B"/>
    <w:rsid w:val="001152B2"/>
    <w:rsid w:val="001157D9"/>
    <w:rsid w:val="00115FCD"/>
    <w:rsid w:val="00116101"/>
    <w:rsid w:val="00116BA9"/>
    <w:rsid w:val="00116CA9"/>
    <w:rsid w:val="0011731A"/>
    <w:rsid w:val="0011740B"/>
    <w:rsid w:val="00117859"/>
    <w:rsid w:val="00117982"/>
    <w:rsid w:val="00117D06"/>
    <w:rsid w:val="00117DC0"/>
    <w:rsid w:val="00120B4D"/>
    <w:rsid w:val="00120FD8"/>
    <w:rsid w:val="001213E1"/>
    <w:rsid w:val="001218A2"/>
    <w:rsid w:val="00121F15"/>
    <w:rsid w:val="001221B5"/>
    <w:rsid w:val="001228D9"/>
    <w:rsid w:val="00122D7E"/>
    <w:rsid w:val="001233F4"/>
    <w:rsid w:val="00123851"/>
    <w:rsid w:val="00123868"/>
    <w:rsid w:val="00123DEE"/>
    <w:rsid w:val="0012413C"/>
    <w:rsid w:val="001241BC"/>
    <w:rsid w:val="00124260"/>
    <w:rsid w:val="00124649"/>
    <w:rsid w:val="001246EC"/>
    <w:rsid w:val="001247C0"/>
    <w:rsid w:val="001247C3"/>
    <w:rsid w:val="00124BA4"/>
    <w:rsid w:val="00125452"/>
    <w:rsid w:val="00125724"/>
    <w:rsid w:val="00125778"/>
    <w:rsid w:val="0012583B"/>
    <w:rsid w:val="001261B5"/>
    <w:rsid w:val="001261C1"/>
    <w:rsid w:val="00126510"/>
    <w:rsid w:val="001265BF"/>
    <w:rsid w:val="0012679D"/>
    <w:rsid w:val="00126A07"/>
    <w:rsid w:val="001270D7"/>
    <w:rsid w:val="00127B8D"/>
    <w:rsid w:val="00130D1B"/>
    <w:rsid w:val="00131599"/>
    <w:rsid w:val="001315AB"/>
    <w:rsid w:val="00131AA2"/>
    <w:rsid w:val="00131DD7"/>
    <w:rsid w:val="0013224E"/>
    <w:rsid w:val="001322AA"/>
    <w:rsid w:val="00132491"/>
    <w:rsid w:val="00132A51"/>
    <w:rsid w:val="00132ACC"/>
    <w:rsid w:val="00133114"/>
    <w:rsid w:val="00134044"/>
    <w:rsid w:val="001345AC"/>
    <w:rsid w:val="00134C7A"/>
    <w:rsid w:val="001351CB"/>
    <w:rsid w:val="001352DE"/>
    <w:rsid w:val="00135B5E"/>
    <w:rsid w:val="001362D5"/>
    <w:rsid w:val="00137DB6"/>
    <w:rsid w:val="00140C6D"/>
    <w:rsid w:val="00140E98"/>
    <w:rsid w:val="001413D7"/>
    <w:rsid w:val="00141888"/>
    <w:rsid w:val="00141C46"/>
    <w:rsid w:val="00142789"/>
    <w:rsid w:val="0014283F"/>
    <w:rsid w:val="00142A40"/>
    <w:rsid w:val="00142B0C"/>
    <w:rsid w:val="00142E2A"/>
    <w:rsid w:val="001435FA"/>
    <w:rsid w:val="00143881"/>
    <w:rsid w:val="001438CA"/>
    <w:rsid w:val="001449BD"/>
    <w:rsid w:val="001450D8"/>
    <w:rsid w:val="0014535E"/>
    <w:rsid w:val="001455A5"/>
    <w:rsid w:val="00145D2C"/>
    <w:rsid w:val="0014619D"/>
    <w:rsid w:val="0014628E"/>
    <w:rsid w:val="00146504"/>
    <w:rsid w:val="00146C64"/>
    <w:rsid w:val="00146F57"/>
    <w:rsid w:val="00146F63"/>
    <w:rsid w:val="00147FDB"/>
    <w:rsid w:val="00150206"/>
    <w:rsid w:val="00150C7B"/>
    <w:rsid w:val="001513CC"/>
    <w:rsid w:val="00152328"/>
    <w:rsid w:val="0015252B"/>
    <w:rsid w:val="00152AF2"/>
    <w:rsid w:val="00152E30"/>
    <w:rsid w:val="001532F0"/>
    <w:rsid w:val="00153775"/>
    <w:rsid w:val="00154064"/>
    <w:rsid w:val="001547FE"/>
    <w:rsid w:val="00156E9B"/>
    <w:rsid w:val="00157AFB"/>
    <w:rsid w:val="00160808"/>
    <w:rsid w:val="00160C5D"/>
    <w:rsid w:val="00160E55"/>
    <w:rsid w:val="0016100E"/>
    <w:rsid w:val="001622AC"/>
    <w:rsid w:val="00162486"/>
    <w:rsid w:val="00162772"/>
    <w:rsid w:val="001629A6"/>
    <w:rsid w:val="0016303B"/>
    <w:rsid w:val="00163172"/>
    <w:rsid w:val="00163459"/>
    <w:rsid w:val="00163628"/>
    <w:rsid w:val="00163B49"/>
    <w:rsid w:val="00163C04"/>
    <w:rsid w:val="00163D37"/>
    <w:rsid w:val="00163E90"/>
    <w:rsid w:val="001644C7"/>
    <w:rsid w:val="00164A47"/>
    <w:rsid w:val="00164B1B"/>
    <w:rsid w:val="00164EDE"/>
    <w:rsid w:val="00164F10"/>
    <w:rsid w:val="0016641A"/>
    <w:rsid w:val="001665C5"/>
    <w:rsid w:val="001666F2"/>
    <w:rsid w:val="001667A8"/>
    <w:rsid w:val="001669F3"/>
    <w:rsid w:val="00167550"/>
    <w:rsid w:val="00167B95"/>
    <w:rsid w:val="00167F50"/>
    <w:rsid w:val="00170C08"/>
    <w:rsid w:val="00170EF6"/>
    <w:rsid w:val="00171070"/>
    <w:rsid w:val="00171326"/>
    <w:rsid w:val="0017209C"/>
    <w:rsid w:val="00172C8F"/>
    <w:rsid w:val="00173066"/>
    <w:rsid w:val="00173077"/>
    <w:rsid w:val="001737E0"/>
    <w:rsid w:val="00173EF3"/>
    <w:rsid w:val="0017531D"/>
    <w:rsid w:val="00175D31"/>
    <w:rsid w:val="001762F8"/>
    <w:rsid w:val="00176E34"/>
    <w:rsid w:val="00177455"/>
    <w:rsid w:val="001776E3"/>
    <w:rsid w:val="00180F32"/>
    <w:rsid w:val="0018150E"/>
    <w:rsid w:val="001822BB"/>
    <w:rsid w:val="00182A99"/>
    <w:rsid w:val="00182CEF"/>
    <w:rsid w:val="00183428"/>
    <w:rsid w:val="00183B7B"/>
    <w:rsid w:val="00183ED5"/>
    <w:rsid w:val="00183F47"/>
    <w:rsid w:val="00184740"/>
    <w:rsid w:val="00184A62"/>
    <w:rsid w:val="00185BF7"/>
    <w:rsid w:val="00185C3F"/>
    <w:rsid w:val="00185D32"/>
    <w:rsid w:val="00185E6A"/>
    <w:rsid w:val="00186A6E"/>
    <w:rsid w:val="0018747B"/>
    <w:rsid w:val="00187783"/>
    <w:rsid w:val="00190AFD"/>
    <w:rsid w:val="00190C6A"/>
    <w:rsid w:val="001913C7"/>
    <w:rsid w:val="00191858"/>
    <w:rsid w:val="00192745"/>
    <w:rsid w:val="001932E2"/>
    <w:rsid w:val="001940C8"/>
    <w:rsid w:val="00194199"/>
    <w:rsid w:val="001949C5"/>
    <w:rsid w:val="00194A8C"/>
    <w:rsid w:val="001952DE"/>
    <w:rsid w:val="001961D2"/>
    <w:rsid w:val="001963DF"/>
    <w:rsid w:val="001968D0"/>
    <w:rsid w:val="00196BEF"/>
    <w:rsid w:val="0019702D"/>
    <w:rsid w:val="00197062"/>
    <w:rsid w:val="001977E1"/>
    <w:rsid w:val="001978C1"/>
    <w:rsid w:val="0019799C"/>
    <w:rsid w:val="00197D63"/>
    <w:rsid w:val="00197F5B"/>
    <w:rsid w:val="001A0275"/>
    <w:rsid w:val="001A073F"/>
    <w:rsid w:val="001A1268"/>
    <w:rsid w:val="001A12CC"/>
    <w:rsid w:val="001A151A"/>
    <w:rsid w:val="001A17DB"/>
    <w:rsid w:val="001A24BD"/>
    <w:rsid w:val="001A26F4"/>
    <w:rsid w:val="001A281C"/>
    <w:rsid w:val="001A29CD"/>
    <w:rsid w:val="001A2C60"/>
    <w:rsid w:val="001A3453"/>
    <w:rsid w:val="001A3E4D"/>
    <w:rsid w:val="001A4145"/>
    <w:rsid w:val="001A4A08"/>
    <w:rsid w:val="001A4E1E"/>
    <w:rsid w:val="001A528B"/>
    <w:rsid w:val="001A5629"/>
    <w:rsid w:val="001A5B04"/>
    <w:rsid w:val="001A5D71"/>
    <w:rsid w:val="001A60E7"/>
    <w:rsid w:val="001B06A9"/>
    <w:rsid w:val="001B0A67"/>
    <w:rsid w:val="001B0B34"/>
    <w:rsid w:val="001B0CD1"/>
    <w:rsid w:val="001B0EF8"/>
    <w:rsid w:val="001B14B7"/>
    <w:rsid w:val="001B1BF3"/>
    <w:rsid w:val="001B2220"/>
    <w:rsid w:val="001B2A48"/>
    <w:rsid w:val="001B33D2"/>
    <w:rsid w:val="001B3E92"/>
    <w:rsid w:val="001B3F1E"/>
    <w:rsid w:val="001B4407"/>
    <w:rsid w:val="001B47AE"/>
    <w:rsid w:val="001B49D5"/>
    <w:rsid w:val="001B50E3"/>
    <w:rsid w:val="001B50E7"/>
    <w:rsid w:val="001B53D4"/>
    <w:rsid w:val="001B5AF3"/>
    <w:rsid w:val="001B5E0B"/>
    <w:rsid w:val="001B65B8"/>
    <w:rsid w:val="001B6B8F"/>
    <w:rsid w:val="001B6B9E"/>
    <w:rsid w:val="001B7537"/>
    <w:rsid w:val="001B7DE3"/>
    <w:rsid w:val="001C021C"/>
    <w:rsid w:val="001C035C"/>
    <w:rsid w:val="001C0403"/>
    <w:rsid w:val="001C08ED"/>
    <w:rsid w:val="001C0ED3"/>
    <w:rsid w:val="001C0F5D"/>
    <w:rsid w:val="001C1689"/>
    <w:rsid w:val="001C253E"/>
    <w:rsid w:val="001C2565"/>
    <w:rsid w:val="001C2740"/>
    <w:rsid w:val="001C2F7A"/>
    <w:rsid w:val="001C3504"/>
    <w:rsid w:val="001C3E1F"/>
    <w:rsid w:val="001C3F85"/>
    <w:rsid w:val="001C3FC6"/>
    <w:rsid w:val="001C4120"/>
    <w:rsid w:val="001C44AC"/>
    <w:rsid w:val="001C457E"/>
    <w:rsid w:val="001C4BA9"/>
    <w:rsid w:val="001C4C0C"/>
    <w:rsid w:val="001C4E33"/>
    <w:rsid w:val="001C62C3"/>
    <w:rsid w:val="001C6606"/>
    <w:rsid w:val="001C73C3"/>
    <w:rsid w:val="001C7789"/>
    <w:rsid w:val="001C7A11"/>
    <w:rsid w:val="001C7C53"/>
    <w:rsid w:val="001C7F81"/>
    <w:rsid w:val="001D051A"/>
    <w:rsid w:val="001D082C"/>
    <w:rsid w:val="001D0E4E"/>
    <w:rsid w:val="001D0EFE"/>
    <w:rsid w:val="001D0FCC"/>
    <w:rsid w:val="001D11C3"/>
    <w:rsid w:val="001D15AA"/>
    <w:rsid w:val="001D1B0C"/>
    <w:rsid w:val="001D22D8"/>
    <w:rsid w:val="001D29B4"/>
    <w:rsid w:val="001D2B40"/>
    <w:rsid w:val="001D34E4"/>
    <w:rsid w:val="001D37AF"/>
    <w:rsid w:val="001D3C19"/>
    <w:rsid w:val="001D411C"/>
    <w:rsid w:val="001D4198"/>
    <w:rsid w:val="001D537F"/>
    <w:rsid w:val="001D5948"/>
    <w:rsid w:val="001D5AF2"/>
    <w:rsid w:val="001D5B92"/>
    <w:rsid w:val="001D6139"/>
    <w:rsid w:val="001D61E8"/>
    <w:rsid w:val="001D664D"/>
    <w:rsid w:val="001D6C2F"/>
    <w:rsid w:val="001D6EF1"/>
    <w:rsid w:val="001D757E"/>
    <w:rsid w:val="001D79C1"/>
    <w:rsid w:val="001D7FBA"/>
    <w:rsid w:val="001E033E"/>
    <w:rsid w:val="001E052A"/>
    <w:rsid w:val="001E0800"/>
    <w:rsid w:val="001E12A7"/>
    <w:rsid w:val="001E151A"/>
    <w:rsid w:val="001E1909"/>
    <w:rsid w:val="001E1918"/>
    <w:rsid w:val="001E2183"/>
    <w:rsid w:val="001E24E9"/>
    <w:rsid w:val="001E2C9A"/>
    <w:rsid w:val="001E312A"/>
    <w:rsid w:val="001E3550"/>
    <w:rsid w:val="001E37E0"/>
    <w:rsid w:val="001E37E2"/>
    <w:rsid w:val="001E383E"/>
    <w:rsid w:val="001E3C69"/>
    <w:rsid w:val="001E44B8"/>
    <w:rsid w:val="001E4A64"/>
    <w:rsid w:val="001E5366"/>
    <w:rsid w:val="001E5590"/>
    <w:rsid w:val="001E5AD2"/>
    <w:rsid w:val="001E6265"/>
    <w:rsid w:val="001E64B7"/>
    <w:rsid w:val="001E656B"/>
    <w:rsid w:val="001E6707"/>
    <w:rsid w:val="001E6816"/>
    <w:rsid w:val="001E6AB5"/>
    <w:rsid w:val="001E77F5"/>
    <w:rsid w:val="001E78C2"/>
    <w:rsid w:val="001F02F8"/>
    <w:rsid w:val="001F0C63"/>
    <w:rsid w:val="001F1267"/>
    <w:rsid w:val="001F1369"/>
    <w:rsid w:val="001F1496"/>
    <w:rsid w:val="001F14AB"/>
    <w:rsid w:val="001F1EF0"/>
    <w:rsid w:val="001F26FF"/>
    <w:rsid w:val="001F2996"/>
    <w:rsid w:val="001F2FC0"/>
    <w:rsid w:val="001F38E5"/>
    <w:rsid w:val="001F39B8"/>
    <w:rsid w:val="001F4B19"/>
    <w:rsid w:val="001F50D4"/>
    <w:rsid w:val="001F51BA"/>
    <w:rsid w:val="001F5486"/>
    <w:rsid w:val="001F57EA"/>
    <w:rsid w:val="001F5CB8"/>
    <w:rsid w:val="001F5CEA"/>
    <w:rsid w:val="001F5FEE"/>
    <w:rsid w:val="001F6285"/>
    <w:rsid w:val="001F630E"/>
    <w:rsid w:val="001F63CF"/>
    <w:rsid w:val="001F66CC"/>
    <w:rsid w:val="001F6BBD"/>
    <w:rsid w:val="001F6D65"/>
    <w:rsid w:val="001F726F"/>
    <w:rsid w:val="001F7A29"/>
    <w:rsid w:val="001F7BE0"/>
    <w:rsid w:val="002000BE"/>
    <w:rsid w:val="00200377"/>
    <w:rsid w:val="00200570"/>
    <w:rsid w:val="002005CD"/>
    <w:rsid w:val="00201B14"/>
    <w:rsid w:val="00201BEA"/>
    <w:rsid w:val="00201F59"/>
    <w:rsid w:val="00202071"/>
    <w:rsid w:val="00202134"/>
    <w:rsid w:val="0020226E"/>
    <w:rsid w:val="002028F3"/>
    <w:rsid w:val="00202ED1"/>
    <w:rsid w:val="00202F96"/>
    <w:rsid w:val="00203736"/>
    <w:rsid w:val="002039E1"/>
    <w:rsid w:val="00203B27"/>
    <w:rsid w:val="0020430B"/>
    <w:rsid w:val="0020474D"/>
    <w:rsid w:val="0020498A"/>
    <w:rsid w:val="00204DB0"/>
    <w:rsid w:val="0020580B"/>
    <w:rsid w:val="002063A2"/>
    <w:rsid w:val="00206784"/>
    <w:rsid w:val="002067C6"/>
    <w:rsid w:val="00207560"/>
    <w:rsid w:val="00207B53"/>
    <w:rsid w:val="00207DF9"/>
    <w:rsid w:val="00210160"/>
    <w:rsid w:val="00210305"/>
    <w:rsid w:val="002107C3"/>
    <w:rsid w:val="00211418"/>
    <w:rsid w:val="0021144A"/>
    <w:rsid w:val="00211D13"/>
    <w:rsid w:val="0021232A"/>
    <w:rsid w:val="00213274"/>
    <w:rsid w:val="002134B5"/>
    <w:rsid w:val="002138A2"/>
    <w:rsid w:val="00213A15"/>
    <w:rsid w:val="00213DBB"/>
    <w:rsid w:val="00213E5D"/>
    <w:rsid w:val="00214B0F"/>
    <w:rsid w:val="00214C0F"/>
    <w:rsid w:val="0021578F"/>
    <w:rsid w:val="00216087"/>
    <w:rsid w:val="00216C80"/>
    <w:rsid w:val="00216F39"/>
    <w:rsid w:val="002173F2"/>
    <w:rsid w:val="00217439"/>
    <w:rsid w:val="002176D7"/>
    <w:rsid w:val="00217BBC"/>
    <w:rsid w:val="00220680"/>
    <w:rsid w:val="00220AEE"/>
    <w:rsid w:val="00220B53"/>
    <w:rsid w:val="00220ECE"/>
    <w:rsid w:val="0022102D"/>
    <w:rsid w:val="0022269B"/>
    <w:rsid w:val="002235C1"/>
    <w:rsid w:val="002236BA"/>
    <w:rsid w:val="00223A59"/>
    <w:rsid w:val="0022424E"/>
    <w:rsid w:val="0022503A"/>
    <w:rsid w:val="00225628"/>
    <w:rsid w:val="00226485"/>
    <w:rsid w:val="0022662A"/>
    <w:rsid w:val="002266A4"/>
    <w:rsid w:val="00226D27"/>
    <w:rsid w:val="00226EAF"/>
    <w:rsid w:val="00226F6F"/>
    <w:rsid w:val="00227187"/>
    <w:rsid w:val="0022719F"/>
    <w:rsid w:val="002271A9"/>
    <w:rsid w:val="002273C2"/>
    <w:rsid w:val="00227433"/>
    <w:rsid w:val="0022769C"/>
    <w:rsid w:val="00227EB6"/>
    <w:rsid w:val="002300D5"/>
    <w:rsid w:val="002302C1"/>
    <w:rsid w:val="00231D4F"/>
    <w:rsid w:val="00232E5A"/>
    <w:rsid w:val="002336E3"/>
    <w:rsid w:val="00233D86"/>
    <w:rsid w:val="00234096"/>
    <w:rsid w:val="00234122"/>
    <w:rsid w:val="00234180"/>
    <w:rsid w:val="002343FE"/>
    <w:rsid w:val="00234AC7"/>
    <w:rsid w:val="00234BFC"/>
    <w:rsid w:val="00234E2B"/>
    <w:rsid w:val="00234F47"/>
    <w:rsid w:val="00235220"/>
    <w:rsid w:val="00235B45"/>
    <w:rsid w:val="00235D4A"/>
    <w:rsid w:val="00235F99"/>
    <w:rsid w:val="002363CD"/>
    <w:rsid w:val="00236A00"/>
    <w:rsid w:val="0023724C"/>
    <w:rsid w:val="00237336"/>
    <w:rsid w:val="0023788A"/>
    <w:rsid w:val="00237B4C"/>
    <w:rsid w:val="00237E7B"/>
    <w:rsid w:val="0024004B"/>
    <w:rsid w:val="0024042D"/>
    <w:rsid w:val="0024043A"/>
    <w:rsid w:val="00240CAE"/>
    <w:rsid w:val="00240D0D"/>
    <w:rsid w:val="00241B37"/>
    <w:rsid w:val="002431F3"/>
    <w:rsid w:val="00243AE4"/>
    <w:rsid w:val="00243CC4"/>
    <w:rsid w:val="002442F1"/>
    <w:rsid w:val="002447E4"/>
    <w:rsid w:val="00244DB5"/>
    <w:rsid w:val="00246B7E"/>
    <w:rsid w:val="00246BC1"/>
    <w:rsid w:val="00246C87"/>
    <w:rsid w:val="00246C91"/>
    <w:rsid w:val="00246CB7"/>
    <w:rsid w:val="0024742B"/>
    <w:rsid w:val="002478FA"/>
    <w:rsid w:val="00247981"/>
    <w:rsid w:val="00247E56"/>
    <w:rsid w:val="00247E9B"/>
    <w:rsid w:val="00250688"/>
    <w:rsid w:val="00250BFB"/>
    <w:rsid w:val="00250E7F"/>
    <w:rsid w:val="00251103"/>
    <w:rsid w:val="0025124C"/>
    <w:rsid w:val="00251759"/>
    <w:rsid w:val="00251FB3"/>
    <w:rsid w:val="002520F4"/>
    <w:rsid w:val="0025230F"/>
    <w:rsid w:val="0025237F"/>
    <w:rsid w:val="00252453"/>
    <w:rsid w:val="00252A31"/>
    <w:rsid w:val="00252E84"/>
    <w:rsid w:val="00253166"/>
    <w:rsid w:val="002535F9"/>
    <w:rsid w:val="00253E0D"/>
    <w:rsid w:val="00254292"/>
    <w:rsid w:val="00254949"/>
    <w:rsid w:val="00254BA1"/>
    <w:rsid w:val="00255136"/>
    <w:rsid w:val="00255506"/>
    <w:rsid w:val="002557DF"/>
    <w:rsid w:val="00255845"/>
    <w:rsid w:val="00255C87"/>
    <w:rsid w:val="002561E7"/>
    <w:rsid w:val="002562D8"/>
    <w:rsid w:val="00256CC4"/>
    <w:rsid w:val="0025744E"/>
    <w:rsid w:val="00257548"/>
    <w:rsid w:val="002575A0"/>
    <w:rsid w:val="00257631"/>
    <w:rsid w:val="002605CA"/>
    <w:rsid w:val="0026065A"/>
    <w:rsid w:val="00260A68"/>
    <w:rsid w:val="00260DD3"/>
    <w:rsid w:val="00260E32"/>
    <w:rsid w:val="00261181"/>
    <w:rsid w:val="00261219"/>
    <w:rsid w:val="00261596"/>
    <w:rsid w:val="0026167A"/>
    <w:rsid w:val="00261C91"/>
    <w:rsid w:val="0026210B"/>
    <w:rsid w:val="002627A4"/>
    <w:rsid w:val="002628F2"/>
    <w:rsid w:val="00262D3B"/>
    <w:rsid w:val="00262D5A"/>
    <w:rsid w:val="00262E1D"/>
    <w:rsid w:val="00262F07"/>
    <w:rsid w:val="0026318A"/>
    <w:rsid w:val="00263232"/>
    <w:rsid w:val="0026437A"/>
    <w:rsid w:val="00264409"/>
    <w:rsid w:val="00264D14"/>
    <w:rsid w:val="00265738"/>
    <w:rsid w:val="00265B94"/>
    <w:rsid w:val="00266318"/>
    <w:rsid w:val="0026679A"/>
    <w:rsid w:val="00270141"/>
    <w:rsid w:val="0027042A"/>
    <w:rsid w:val="002705BC"/>
    <w:rsid w:val="00270EC3"/>
    <w:rsid w:val="002714DE"/>
    <w:rsid w:val="0027155E"/>
    <w:rsid w:val="00271688"/>
    <w:rsid w:val="002726D9"/>
    <w:rsid w:val="0027301B"/>
    <w:rsid w:val="0027378A"/>
    <w:rsid w:val="0027382D"/>
    <w:rsid w:val="00273B74"/>
    <w:rsid w:val="00273DDE"/>
    <w:rsid w:val="00273EA1"/>
    <w:rsid w:val="002744D1"/>
    <w:rsid w:val="00274552"/>
    <w:rsid w:val="00274FB7"/>
    <w:rsid w:val="00275D73"/>
    <w:rsid w:val="00275F0B"/>
    <w:rsid w:val="00276186"/>
    <w:rsid w:val="002800B2"/>
    <w:rsid w:val="002800FD"/>
    <w:rsid w:val="002804F5"/>
    <w:rsid w:val="002805E8"/>
    <w:rsid w:val="00280B45"/>
    <w:rsid w:val="002817EC"/>
    <w:rsid w:val="00281842"/>
    <w:rsid w:val="00281B95"/>
    <w:rsid w:val="00281CD0"/>
    <w:rsid w:val="00281E03"/>
    <w:rsid w:val="00282C40"/>
    <w:rsid w:val="00283312"/>
    <w:rsid w:val="00283598"/>
    <w:rsid w:val="00283AEB"/>
    <w:rsid w:val="00283ECE"/>
    <w:rsid w:val="00284142"/>
    <w:rsid w:val="00284199"/>
    <w:rsid w:val="0028427C"/>
    <w:rsid w:val="00284BC2"/>
    <w:rsid w:val="00285703"/>
    <w:rsid w:val="0028702F"/>
    <w:rsid w:val="002872F0"/>
    <w:rsid w:val="00287408"/>
    <w:rsid w:val="002878F2"/>
    <w:rsid w:val="00287B6C"/>
    <w:rsid w:val="00290040"/>
    <w:rsid w:val="002907F4"/>
    <w:rsid w:val="00290A6C"/>
    <w:rsid w:val="0029101A"/>
    <w:rsid w:val="002912AE"/>
    <w:rsid w:val="0029135F"/>
    <w:rsid w:val="002913D6"/>
    <w:rsid w:val="00291921"/>
    <w:rsid w:val="00291E5F"/>
    <w:rsid w:val="0029236F"/>
    <w:rsid w:val="0029286F"/>
    <w:rsid w:val="00292DAA"/>
    <w:rsid w:val="00292EFF"/>
    <w:rsid w:val="00294522"/>
    <w:rsid w:val="00295DCA"/>
    <w:rsid w:val="00295E1B"/>
    <w:rsid w:val="0029788B"/>
    <w:rsid w:val="002979AC"/>
    <w:rsid w:val="00297B35"/>
    <w:rsid w:val="00297D12"/>
    <w:rsid w:val="002A06A6"/>
    <w:rsid w:val="002A0DDB"/>
    <w:rsid w:val="002A120F"/>
    <w:rsid w:val="002A13A3"/>
    <w:rsid w:val="002A186D"/>
    <w:rsid w:val="002A2135"/>
    <w:rsid w:val="002A2318"/>
    <w:rsid w:val="002A2C00"/>
    <w:rsid w:val="002A41BF"/>
    <w:rsid w:val="002A4226"/>
    <w:rsid w:val="002A47CB"/>
    <w:rsid w:val="002A48D3"/>
    <w:rsid w:val="002A4995"/>
    <w:rsid w:val="002A4B9E"/>
    <w:rsid w:val="002A4F22"/>
    <w:rsid w:val="002A55FD"/>
    <w:rsid w:val="002A5D00"/>
    <w:rsid w:val="002A6D30"/>
    <w:rsid w:val="002A6E12"/>
    <w:rsid w:val="002A72D4"/>
    <w:rsid w:val="002A7A48"/>
    <w:rsid w:val="002B0015"/>
    <w:rsid w:val="002B1052"/>
    <w:rsid w:val="002B1D5B"/>
    <w:rsid w:val="002B2087"/>
    <w:rsid w:val="002B27FB"/>
    <w:rsid w:val="002B2D2E"/>
    <w:rsid w:val="002B3378"/>
    <w:rsid w:val="002B415D"/>
    <w:rsid w:val="002B44DB"/>
    <w:rsid w:val="002B47BD"/>
    <w:rsid w:val="002B4852"/>
    <w:rsid w:val="002B4FD4"/>
    <w:rsid w:val="002B51F3"/>
    <w:rsid w:val="002B51F7"/>
    <w:rsid w:val="002B58E4"/>
    <w:rsid w:val="002B5CC6"/>
    <w:rsid w:val="002B6244"/>
    <w:rsid w:val="002B643B"/>
    <w:rsid w:val="002B6567"/>
    <w:rsid w:val="002B68E3"/>
    <w:rsid w:val="002B6BB2"/>
    <w:rsid w:val="002B71BA"/>
    <w:rsid w:val="002B7F28"/>
    <w:rsid w:val="002C02A8"/>
    <w:rsid w:val="002C15A3"/>
    <w:rsid w:val="002C1BB2"/>
    <w:rsid w:val="002C2074"/>
    <w:rsid w:val="002C20B5"/>
    <w:rsid w:val="002C2157"/>
    <w:rsid w:val="002C21D2"/>
    <w:rsid w:val="002C22CF"/>
    <w:rsid w:val="002C265D"/>
    <w:rsid w:val="002C2AA3"/>
    <w:rsid w:val="002C3D0B"/>
    <w:rsid w:val="002C3D50"/>
    <w:rsid w:val="002C3F37"/>
    <w:rsid w:val="002C4143"/>
    <w:rsid w:val="002C4226"/>
    <w:rsid w:val="002C42A3"/>
    <w:rsid w:val="002C4344"/>
    <w:rsid w:val="002C4376"/>
    <w:rsid w:val="002C4C6C"/>
    <w:rsid w:val="002C4E58"/>
    <w:rsid w:val="002C504E"/>
    <w:rsid w:val="002C5A87"/>
    <w:rsid w:val="002C5D1C"/>
    <w:rsid w:val="002C6590"/>
    <w:rsid w:val="002C68E7"/>
    <w:rsid w:val="002C6921"/>
    <w:rsid w:val="002C6937"/>
    <w:rsid w:val="002C70D9"/>
    <w:rsid w:val="002C795D"/>
    <w:rsid w:val="002C7BA6"/>
    <w:rsid w:val="002C7FC4"/>
    <w:rsid w:val="002D016F"/>
    <w:rsid w:val="002D03EE"/>
    <w:rsid w:val="002D0F97"/>
    <w:rsid w:val="002D1692"/>
    <w:rsid w:val="002D1720"/>
    <w:rsid w:val="002D23B8"/>
    <w:rsid w:val="002D3D57"/>
    <w:rsid w:val="002D43B5"/>
    <w:rsid w:val="002D4F03"/>
    <w:rsid w:val="002D5DE9"/>
    <w:rsid w:val="002D6005"/>
    <w:rsid w:val="002D606F"/>
    <w:rsid w:val="002D61F6"/>
    <w:rsid w:val="002D652C"/>
    <w:rsid w:val="002D6719"/>
    <w:rsid w:val="002D6CE6"/>
    <w:rsid w:val="002D7084"/>
    <w:rsid w:val="002D7668"/>
    <w:rsid w:val="002D779E"/>
    <w:rsid w:val="002E0291"/>
    <w:rsid w:val="002E08F6"/>
    <w:rsid w:val="002E10C5"/>
    <w:rsid w:val="002E1435"/>
    <w:rsid w:val="002E26B8"/>
    <w:rsid w:val="002E3027"/>
    <w:rsid w:val="002E356E"/>
    <w:rsid w:val="002E3D2C"/>
    <w:rsid w:val="002E444A"/>
    <w:rsid w:val="002E5119"/>
    <w:rsid w:val="002E52DE"/>
    <w:rsid w:val="002E54CF"/>
    <w:rsid w:val="002E55F7"/>
    <w:rsid w:val="002E583E"/>
    <w:rsid w:val="002E5A27"/>
    <w:rsid w:val="002E714A"/>
    <w:rsid w:val="002E79F8"/>
    <w:rsid w:val="002E7AA0"/>
    <w:rsid w:val="002E7BC9"/>
    <w:rsid w:val="002F0B18"/>
    <w:rsid w:val="002F1133"/>
    <w:rsid w:val="002F1736"/>
    <w:rsid w:val="002F1F0C"/>
    <w:rsid w:val="002F21AD"/>
    <w:rsid w:val="002F22EF"/>
    <w:rsid w:val="002F33EF"/>
    <w:rsid w:val="002F355C"/>
    <w:rsid w:val="002F3E02"/>
    <w:rsid w:val="002F42C9"/>
    <w:rsid w:val="002F4446"/>
    <w:rsid w:val="002F50F0"/>
    <w:rsid w:val="002F5200"/>
    <w:rsid w:val="002F5557"/>
    <w:rsid w:val="002F578B"/>
    <w:rsid w:val="002F5A1A"/>
    <w:rsid w:val="002F5D49"/>
    <w:rsid w:val="002F61A9"/>
    <w:rsid w:val="002F6314"/>
    <w:rsid w:val="002F648E"/>
    <w:rsid w:val="002F712D"/>
    <w:rsid w:val="002F72BC"/>
    <w:rsid w:val="002F7E71"/>
    <w:rsid w:val="0030018E"/>
    <w:rsid w:val="00300333"/>
    <w:rsid w:val="00300579"/>
    <w:rsid w:val="00300ABE"/>
    <w:rsid w:val="00300CB9"/>
    <w:rsid w:val="003016F4"/>
    <w:rsid w:val="0030190D"/>
    <w:rsid w:val="00301D91"/>
    <w:rsid w:val="00302258"/>
    <w:rsid w:val="00302848"/>
    <w:rsid w:val="00302BDA"/>
    <w:rsid w:val="00302E6C"/>
    <w:rsid w:val="00304B27"/>
    <w:rsid w:val="00304F46"/>
    <w:rsid w:val="00305193"/>
    <w:rsid w:val="00306069"/>
    <w:rsid w:val="00306423"/>
    <w:rsid w:val="00307130"/>
    <w:rsid w:val="00307A48"/>
    <w:rsid w:val="00307DF2"/>
    <w:rsid w:val="00310027"/>
    <w:rsid w:val="0031079E"/>
    <w:rsid w:val="00310969"/>
    <w:rsid w:val="00310EB7"/>
    <w:rsid w:val="00311055"/>
    <w:rsid w:val="003114A7"/>
    <w:rsid w:val="00311698"/>
    <w:rsid w:val="003116FE"/>
    <w:rsid w:val="003125BF"/>
    <w:rsid w:val="0031280D"/>
    <w:rsid w:val="00312F4A"/>
    <w:rsid w:val="0031347A"/>
    <w:rsid w:val="00313907"/>
    <w:rsid w:val="00313E0D"/>
    <w:rsid w:val="00313F08"/>
    <w:rsid w:val="003147DA"/>
    <w:rsid w:val="003148D7"/>
    <w:rsid w:val="003159D9"/>
    <w:rsid w:val="00315CE0"/>
    <w:rsid w:val="00316070"/>
    <w:rsid w:val="0031658A"/>
    <w:rsid w:val="00316A44"/>
    <w:rsid w:val="003172EF"/>
    <w:rsid w:val="00317C5F"/>
    <w:rsid w:val="00317C9C"/>
    <w:rsid w:val="00320373"/>
    <w:rsid w:val="0032069B"/>
    <w:rsid w:val="00321080"/>
    <w:rsid w:val="0032138D"/>
    <w:rsid w:val="003214D3"/>
    <w:rsid w:val="0032154E"/>
    <w:rsid w:val="00321641"/>
    <w:rsid w:val="003219AA"/>
    <w:rsid w:val="00321FAB"/>
    <w:rsid w:val="003227B7"/>
    <w:rsid w:val="003229D0"/>
    <w:rsid w:val="00322A0E"/>
    <w:rsid w:val="00323F4A"/>
    <w:rsid w:val="003243D2"/>
    <w:rsid w:val="003243FF"/>
    <w:rsid w:val="0032467F"/>
    <w:rsid w:val="00324C4F"/>
    <w:rsid w:val="00324F3A"/>
    <w:rsid w:val="00325305"/>
    <w:rsid w:val="00325400"/>
    <w:rsid w:val="003256B1"/>
    <w:rsid w:val="00325939"/>
    <w:rsid w:val="00325BFF"/>
    <w:rsid w:val="00325ED7"/>
    <w:rsid w:val="00326258"/>
    <w:rsid w:val="00327A6B"/>
    <w:rsid w:val="00327B84"/>
    <w:rsid w:val="00327F2C"/>
    <w:rsid w:val="00330E47"/>
    <w:rsid w:val="00330F0A"/>
    <w:rsid w:val="003312C2"/>
    <w:rsid w:val="00331EEA"/>
    <w:rsid w:val="0033284F"/>
    <w:rsid w:val="00332900"/>
    <w:rsid w:val="00332F77"/>
    <w:rsid w:val="00333500"/>
    <w:rsid w:val="00333803"/>
    <w:rsid w:val="00333EAF"/>
    <w:rsid w:val="00334653"/>
    <w:rsid w:val="003347BB"/>
    <w:rsid w:val="00334854"/>
    <w:rsid w:val="00334A0C"/>
    <w:rsid w:val="00335094"/>
    <w:rsid w:val="0033520C"/>
    <w:rsid w:val="0033549E"/>
    <w:rsid w:val="003359D4"/>
    <w:rsid w:val="00335B1C"/>
    <w:rsid w:val="0033611F"/>
    <w:rsid w:val="00336402"/>
    <w:rsid w:val="00336C6C"/>
    <w:rsid w:val="00337216"/>
    <w:rsid w:val="0033737B"/>
    <w:rsid w:val="003375F9"/>
    <w:rsid w:val="003409F2"/>
    <w:rsid w:val="00341689"/>
    <w:rsid w:val="003416F4"/>
    <w:rsid w:val="00341831"/>
    <w:rsid w:val="00341CE1"/>
    <w:rsid w:val="00341EE1"/>
    <w:rsid w:val="00341EE6"/>
    <w:rsid w:val="003426C6"/>
    <w:rsid w:val="00342D16"/>
    <w:rsid w:val="00343C96"/>
    <w:rsid w:val="00344029"/>
    <w:rsid w:val="00344136"/>
    <w:rsid w:val="003445AF"/>
    <w:rsid w:val="003447F9"/>
    <w:rsid w:val="003449A5"/>
    <w:rsid w:val="00345334"/>
    <w:rsid w:val="003453D2"/>
    <w:rsid w:val="0034553C"/>
    <w:rsid w:val="00345CDC"/>
    <w:rsid w:val="00345D26"/>
    <w:rsid w:val="00345FFF"/>
    <w:rsid w:val="00346A2F"/>
    <w:rsid w:val="00346D01"/>
    <w:rsid w:val="00347775"/>
    <w:rsid w:val="0034790C"/>
    <w:rsid w:val="00347D1C"/>
    <w:rsid w:val="00350289"/>
    <w:rsid w:val="003505D3"/>
    <w:rsid w:val="00350E65"/>
    <w:rsid w:val="00350F71"/>
    <w:rsid w:val="003512BF"/>
    <w:rsid w:val="003517CE"/>
    <w:rsid w:val="0035297A"/>
    <w:rsid w:val="00352D9D"/>
    <w:rsid w:val="003531E6"/>
    <w:rsid w:val="00353A9F"/>
    <w:rsid w:val="00353E41"/>
    <w:rsid w:val="00355029"/>
    <w:rsid w:val="00355331"/>
    <w:rsid w:val="003558A2"/>
    <w:rsid w:val="003558CB"/>
    <w:rsid w:val="00355A8D"/>
    <w:rsid w:val="00355D8B"/>
    <w:rsid w:val="00355FAD"/>
    <w:rsid w:val="0035622D"/>
    <w:rsid w:val="0035639A"/>
    <w:rsid w:val="003563BF"/>
    <w:rsid w:val="00356C67"/>
    <w:rsid w:val="00356F36"/>
    <w:rsid w:val="00357A41"/>
    <w:rsid w:val="00357AE2"/>
    <w:rsid w:val="00357B85"/>
    <w:rsid w:val="00357EE5"/>
    <w:rsid w:val="00360678"/>
    <w:rsid w:val="0036122E"/>
    <w:rsid w:val="00361381"/>
    <w:rsid w:val="0036157F"/>
    <w:rsid w:val="00361765"/>
    <w:rsid w:val="003620FA"/>
    <w:rsid w:val="00362D65"/>
    <w:rsid w:val="00363075"/>
    <w:rsid w:val="00363499"/>
    <w:rsid w:val="0036381F"/>
    <w:rsid w:val="0036391E"/>
    <w:rsid w:val="00363A9B"/>
    <w:rsid w:val="00363DDC"/>
    <w:rsid w:val="00364655"/>
    <w:rsid w:val="00364D0E"/>
    <w:rsid w:val="00364DEC"/>
    <w:rsid w:val="00365553"/>
    <w:rsid w:val="0036590D"/>
    <w:rsid w:val="00366515"/>
    <w:rsid w:val="00366C50"/>
    <w:rsid w:val="00367461"/>
    <w:rsid w:val="00367535"/>
    <w:rsid w:val="00367595"/>
    <w:rsid w:val="003677C2"/>
    <w:rsid w:val="00367F2A"/>
    <w:rsid w:val="00370177"/>
    <w:rsid w:val="0037024E"/>
    <w:rsid w:val="003706FE"/>
    <w:rsid w:val="00370797"/>
    <w:rsid w:val="00370B2F"/>
    <w:rsid w:val="0037162B"/>
    <w:rsid w:val="003721D3"/>
    <w:rsid w:val="0037316B"/>
    <w:rsid w:val="003731C4"/>
    <w:rsid w:val="003733C6"/>
    <w:rsid w:val="00374131"/>
    <w:rsid w:val="00374343"/>
    <w:rsid w:val="00374445"/>
    <w:rsid w:val="00374584"/>
    <w:rsid w:val="00374629"/>
    <w:rsid w:val="00374657"/>
    <w:rsid w:val="00374827"/>
    <w:rsid w:val="003748E5"/>
    <w:rsid w:val="00374D51"/>
    <w:rsid w:val="00375A6E"/>
    <w:rsid w:val="00375DB4"/>
    <w:rsid w:val="003762A6"/>
    <w:rsid w:val="00376984"/>
    <w:rsid w:val="00376AAC"/>
    <w:rsid w:val="00376B13"/>
    <w:rsid w:val="003775FC"/>
    <w:rsid w:val="0037786C"/>
    <w:rsid w:val="003779FF"/>
    <w:rsid w:val="00377D56"/>
    <w:rsid w:val="003807B9"/>
    <w:rsid w:val="00380928"/>
    <w:rsid w:val="00380CAC"/>
    <w:rsid w:val="00380E73"/>
    <w:rsid w:val="003819C0"/>
    <w:rsid w:val="00381C7E"/>
    <w:rsid w:val="00381FAF"/>
    <w:rsid w:val="0038214B"/>
    <w:rsid w:val="00382192"/>
    <w:rsid w:val="003832BC"/>
    <w:rsid w:val="0038337A"/>
    <w:rsid w:val="00383766"/>
    <w:rsid w:val="003839A2"/>
    <w:rsid w:val="00383F5E"/>
    <w:rsid w:val="003847B0"/>
    <w:rsid w:val="00384DFB"/>
    <w:rsid w:val="00385DF1"/>
    <w:rsid w:val="0038616A"/>
    <w:rsid w:val="00386464"/>
    <w:rsid w:val="00386A77"/>
    <w:rsid w:val="00386B56"/>
    <w:rsid w:val="00386D17"/>
    <w:rsid w:val="00387003"/>
    <w:rsid w:val="00387A8C"/>
    <w:rsid w:val="00387B23"/>
    <w:rsid w:val="00387F8D"/>
    <w:rsid w:val="003906C3"/>
    <w:rsid w:val="00390B46"/>
    <w:rsid w:val="0039148A"/>
    <w:rsid w:val="00391593"/>
    <w:rsid w:val="003923B0"/>
    <w:rsid w:val="0039241D"/>
    <w:rsid w:val="0039268E"/>
    <w:rsid w:val="00392D7A"/>
    <w:rsid w:val="00392FAE"/>
    <w:rsid w:val="003938FF"/>
    <w:rsid w:val="00393C99"/>
    <w:rsid w:val="00393D21"/>
    <w:rsid w:val="00394C6D"/>
    <w:rsid w:val="00394C8F"/>
    <w:rsid w:val="00395A73"/>
    <w:rsid w:val="00395B63"/>
    <w:rsid w:val="00395B84"/>
    <w:rsid w:val="00396237"/>
    <w:rsid w:val="00396309"/>
    <w:rsid w:val="003A0192"/>
    <w:rsid w:val="003A0B45"/>
    <w:rsid w:val="003A0D68"/>
    <w:rsid w:val="003A0FFE"/>
    <w:rsid w:val="003A1350"/>
    <w:rsid w:val="003A1758"/>
    <w:rsid w:val="003A2527"/>
    <w:rsid w:val="003A257C"/>
    <w:rsid w:val="003A2725"/>
    <w:rsid w:val="003A4E3E"/>
    <w:rsid w:val="003A4E76"/>
    <w:rsid w:val="003A5A7A"/>
    <w:rsid w:val="003A5DDB"/>
    <w:rsid w:val="003A5F29"/>
    <w:rsid w:val="003A61B9"/>
    <w:rsid w:val="003A62A6"/>
    <w:rsid w:val="003A6977"/>
    <w:rsid w:val="003A6BC0"/>
    <w:rsid w:val="003A6EB3"/>
    <w:rsid w:val="003A6F60"/>
    <w:rsid w:val="003A71A8"/>
    <w:rsid w:val="003A741A"/>
    <w:rsid w:val="003A77BA"/>
    <w:rsid w:val="003A7A06"/>
    <w:rsid w:val="003A7B86"/>
    <w:rsid w:val="003B009D"/>
    <w:rsid w:val="003B0AB1"/>
    <w:rsid w:val="003B0DCC"/>
    <w:rsid w:val="003B0EFE"/>
    <w:rsid w:val="003B1411"/>
    <w:rsid w:val="003B1E0E"/>
    <w:rsid w:val="003B21E0"/>
    <w:rsid w:val="003B2ACA"/>
    <w:rsid w:val="003B332A"/>
    <w:rsid w:val="003B3FB1"/>
    <w:rsid w:val="003B4055"/>
    <w:rsid w:val="003B4A54"/>
    <w:rsid w:val="003B4ACE"/>
    <w:rsid w:val="003B4BA0"/>
    <w:rsid w:val="003B5259"/>
    <w:rsid w:val="003B5405"/>
    <w:rsid w:val="003B5E1F"/>
    <w:rsid w:val="003B5E42"/>
    <w:rsid w:val="003B60BA"/>
    <w:rsid w:val="003B6B86"/>
    <w:rsid w:val="003B6F42"/>
    <w:rsid w:val="003B7222"/>
    <w:rsid w:val="003B7586"/>
    <w:rsid w:val="003B77EA"/>
    <w:rsid w:val="003C0CB0"/>
    <w:rsid w:val="003C0DC0"/>
    <w:rsid w:val="003C0FD0"/>
    <w:rsid w:val="003C1037"/>
    <w:rsid w:val="003C1F8B"/>
    <w:rsid w:val="003C22CD"/>
    <w:rsid w:val="003C2440"/>
    <w:rsid w:val="003C2AAE"/>
    <w:rsid w:val="003C3028"/>
    <w:rsid w:val="003C3488"/>
    <w:rsid w:val="003C3698"/>
    <w:rsid w:val="003C3AE5"/>
    <w:rsid w:val="003C3CDF"/>
    <w:rsid w:val="003C4199"/>
    <w:rsid w:val="003C41D3"/>
    <w:rsid w:val="003C448D"/>
    <w:rsid w:val="003C44A1"/>
    <w:rsid w:val="003C45E7"/>
    <w:rsid w:val="003C48C0"/>
    <w:rsid w:val="003C5690"/>
    <w:rsid w:val="003C674F"/>
    <w:rsid w:val="003C6E06"/>
    <w:rsid w:val="003C7A25"/>
    <w:rsid w:val="003D08D2"/>
    <w:rsid w:val="003D18D2"/>
    <w:rsid w:val="003D233D"/>
    <w:rsid w:val="003D2785"/>
    <w:rsid w:val="003D2BFD"/>
    <w:rsid w:val="003D3653"/>
    <w:rsid w:val="003D37FA"/>
    <w:rsid w:val="003D3E40"/>
    <w:rsid w:val="003D41CF"/>
    <w:rsid w:val="003D4801"/>
    <w:rsid w:val="003D5199"/>
    <w:rsid w:val="003D51A4"/>
    <w:rsid w:val="003D54E0"/>
    <w:rsid w:val="003D56BC"/>
    <w:rsid w:val="003D5756"/>
    <w:rsid w:val="003D5F84"/>
    <w:rsid w:val="003D6599"/>
    <w:rsid w:val="003D6C0B"/>
    <w:rsid w:val="003D7062"/>
    <w:rsid w:val="003D71B3"/>
    <w:rsid w:val="003D7270"/>
    <w:rsid w:val="003D76B5"/>
    <w:rsid w:val="003D795B"/>
    <w:rsid w:val="003E0015"/>
    <w:rsid w:val="003E0391"/>
    <w:rsid w:val="003E03C2"/>
    <w:rsid w:val="003E054E"/>
    <w:rsid w:val="003E06A9"/>
    <w:rsid w:val="003E0873"/>
    <w:rsid w:val="003E0974"/>
    <w:rsid w:val="003E0A69"/>
    <w:rsid w:val="003E15EE"/>
    <w:rsid w:val="003E1674"/>
    <w:rsid w:val="003E1710"/>
    <w:rsid w:val="003E2214"/>
    <w:rsid w:val="003E25F3"/>
    <w:rsid w:val="003E261D"/>
    <w:rsid w:val="003E2A00"/>
    <w:rsid w:val="003E3355"/>
    <w:rsid w:val="003E339F"/>
    <w:rsid w:val="003E43DD"/>
    <w:rsid w:val="003E4563"/>
    <w:rsid w:val="003E477E"/>
    <w:rsid w:val="003E4DDE"/>
    <w:rsid w:val="003E50B6"/>
    <w:rsid w:val="003E5746"/>
    <w:rsid w:val="003E5FC9"/>
    <w:rsid w:val="003E611C"/>
    <w:rsid w:val="003E61CA"/>
    <w:rsid w:val="003E65E7"/>
    <w:rsid w:val="003E6690"/>
    <w:rsid w:val="003E66E5"/>
    <w:rsid w:val="003E6AB2"/>
    <w:rsid w:val="003E6F5E"/>
    <w:rsid w:val="003E6F6B"/>
    <w:rsid w:val="003E7295"/>
    <w:rsid w:val="003E7A54"/>
    <w:rsid w:val="003E7B25"/>
    <w:rsid w:val="003F01B2"/>
    <w:rsid w:val="003F03A4"/>
    <w:rsid w:val="003F0541"/>
    <w:rsid w:val="003F15E4"/>
    <w:rsid w:val="003F1712"/>
    <w:rsid w:val="003F1774"/>
    <w:rsid w:val="003F1784"/>
    <w:rsid w:val="003F181C"/>
    <w:rsid w:val="003F1F61"/>
    <w:rsid w:val="003F253B"/>
    <w:rsid w:val="003F2805"/>
    <w:rsid w:val="003F2C0E"/>
    <w:rsid w:val="003F33BC"/>
    <w:rsid w:val="003F3821"/>
    <w:rsid w:val="003F3CA6"/>
    <w:rsid w:val="003F4243"/>
    <w:rsid w:val="003F4330"/>
    <w:rsid w:val="003F44FE"/>
    <w:rsid w:val="003F530B"/>
    <w:rsid w:val="003F534E"/>
    <w:rsid w:val="003F5C80"/>
    <w:rsid w:val="003F5FED"/>
    <w:rsid w:val="003F64E7"/>
    <w:rsid w:val="003F66C8"/>
    <w:rsid w:val="003F68CF"/>
    <w:rsid w:val="003F736B"/>
    <w:rsid w:val="003F7377"/>
    <w:rsid w:val="003F73AF"/>
    <w:rsid w:val="003F76F4"/>
    <w:rsid w:val="004003FA"/>
    <w:rsid w:val="00400A4D"/>
    <w:rsid w:val="00400EB7"/>
    <w:rsid w:val="00400F9D"/>
    <w:rsid w:val="00401387"/>
    <w:rsid w:val="004025C2"/>
    <w:rsid w:val="004026DE"/>
    <w:rsid w:val="00402B7B"/>
    <w:rsid w:val="00402E54"/>
    <w:rsid w:val="00403645"/>
    <w:rsid w:val="0040402B"/>
    <w:rsid w:val="0040412A"/>
    <w:rsid w:val="004041B5"/>
    <w:rsid w:val="00404428"/>
    <w:rsid w:val="004046F8"/>
    <w:rsid w:val="00404994"/>
    <w:rsid w:val="00405930"/>
    <w:rsid w:val="00405A2D"/>
    <w:rsid w:val="00405FE3"/>
    <w:rsid w:val="00407072"/>
    <w:rsid w:val="004071C0"/>
    <w:rsid w:val="00407874"/>
    <w:rsid w:val="0040797B"/>
    <w:rsid w:val="00407B07"/>
    <w:rsid w:val="004108E5"/>
    <w:rsid w:val="004119B8"/>
    <w:rsid w:val="00411A0F"/>
    <w:rsid w:val="00411CE0"/>
    <w:rsid w:val="00411F80"/>
    <w:rsid w:val="00412036"/>
    <w:rsid w:val="00412DA1"/>
    <w:rsid w:val="004146E2"/>
    <w:rsid w:val="00414B01"/>
    <w:rsid w:val="00414F1F"/>
    <w:rsid w:val="00415BEA"/>
    <w:rsid w:val="00415CE5"/>
    <w:rsid w:val="00416141"/>
    <w:rsid w:val="00416A0B"/>
    <w:rsid w:val="00417C44"/>
    <w:rsid w:val="00417CD7"/>
    <w:rsid w:val="00417EB7"/>
    <w:rsid w:val="004205F1"/>
    <w:rsid w:val="00420849"/>
    <w:rsid w:val="00420A2E"/>
    <w:rsid w:val="00421232"/>
    <w:rsid w:val="004217E0"/>
    <w:rsid w:val="00421D5E"/>
    <w:rsid w:val="00422208"/>
    <w:rsid w:val="00422907"/>
    <w:rsid w:val="004229A5"/>
    <w:rsid w:val="00422DBF"/>
    <w:rsid w:val="004231CC"/>
    <w:rsid w:val="004234EF"/>
    <w:rsid w:val="00423F6C"/>
    <w:rsid w:val="00424094"/>
    <w:rsid w:val="0042513A"/>
    <w:rsid w:val="004251CF"/>
    <w:rsid w:val="004258D9"/>
    <w:rsid w:val="00425B14"/>
    <w:rsid w:val="00425EAC"/>
    <w:rsid w:val="0042608B"/>
    <w:rsid w:val="00427553"/>
    <w:rsid w:val="004277BB"/>
    <w:rsid w:val="0043035C"/>
    <w:rsid w:val="004310AF"/>
    <w:rsid w:val="00431439"/>
    <w:rsid w:val="004317C8"/>
    <w:rsid w:val="00431EB5"/>
    <w:rsid w:val="00431F2C"/>
    <w:rsid w:val="004321C3"/>
    <w:rsid w:val="004325E4"/>
    <w:rsid w:val="0043267E"/>
    <w:rsid w:val="004326B3"/>
    <w:rsid w:val="00432E69"/>
    <w:rsid w:val="00433AA5"/>
    <w:rsid w:val="00433F10"/>
    <w:rsid w:val="00434C58"/>
    <w:rsid w:val="00434E65"/>
    <w:rsid w:val="00434FC5"/>
    <w:rsid w:val="004356E4"/>
    <w:rsid w:val="00435D7A"/>
    <w:rsid w:val="00436011"/>
    <w:rsid w:val="00436228"/>
    <w:rsid w:val="004367E1"/>
    <w:rsid w:val="0043797E"/>
    <w:rsid w:val="00437D15"/>
    <w:rsid w:val="00437F9D"/>
    <w:rsid w:val="00440739"/>
    <w:rsid w:val="004409AC"/>
    <w:rsid w:val="00440A45"/>
    <w:rsid w:val="00440D89"/>
    <w:rsid w:val="00440ED6"/>
    <w:rsid w:val="0044162C"/>
    <w:rsid w:val="00441826"/>
    <w:rsid w:val="00441867"/>
    <w:rsid w:val="0044195F"/>
    <w:rsid w:val="00441E1E"/>
    <w:rsid w:val="00441FBF"/>
    <w:rsid w:val="0044289D"/>
    <w:rsid w:val="004434A5"/>
    <w:rsid w:val="004436BD"/>
    <w:rsid w:val="004437F9"/>
    <w:rsid w:val="0044386E"/>
    <w:rsid w:val="004438B2"/>
    <w:rsid w:val="00443A0B"/>
    <w:rsid w:val="00443A0F"/>
    <w:rsid w:val="00443FA9"/>
    <w:rsid w:val="0044490C"/>
    <w:rsid w:val="00445D2D"/>
    <w:rsid w:val="0044682B"/>
    <w:rsid w:val="00446D17"/>
    <w:rsid w:val="00446E24"/>
    <w:rsid w:val="00447B84"/>
    <w:rsid w:val="00447EA5"/>
    <w:rsid w:val="00447F8F"/>
    <w:rsid w:val="004500A3"/>
    <w:rsid w:val="00450BCA"/>
    <w:rsid w:val="00450DD8"/>
    <w:rsid w:val="0045137E"/>
    <w:rsid w:val="00451B60"/>
    <w:rsid w:val="00451C31"/>
    <w:rsid w:val="00451D27"/>
    <w:rsid w:val="0045206B"/>
    <w:rsid w:val="004522AE"/>
    <w:rsid w:val="004524C5"/>
    <w:rsid w:val="0045260D"/>
    <w:rsid w:val="004526CA"/>
    <w:rsid w:val="0045281E"/>
    <w:rsid w:val="004529AA"/>
    <w:rsid w:val="004529E9"/>
    <w:rsid w:val="00452F48"/>
    <w:rsid w:val="00452FD0"/>
    <w:rsid w:val="004534A0"/>
    <w:rsid w:val="00454D86"/>
    <w:rsid w:val="00454E6A"/>
    <w:rsid w:val="004559C7"/>
    <w:rsid w:val="00456825"/>
    <w:rsid w:val="00456C53"/>
    <w:rsid w:val="0045715A"/>
    <w:rsid w:val="00457513"/>
    <w:rsid w:val="00457B45"/>
    <w:rsid w:val="00457C0E"/>
    <w:rsid w:val="004608B2"/>
    <w:rsid w:val="00460AC4"/>
    <w:rsid w:val="00461A07"/>
    <w:rsid w:val="00461E88"/>
    <w:rsid w:val="004627C9"/>
    <w:rsid w:val="00462CCF"/>
    <w:rsid w:val="00463443"/>
    <w:rsid w:val="004646C3"/>
    <w:rsid w:val="00464752"/>
    <w:rsid w:val="00465A23"/>
    <w:rsid w:val="00465F5A"/>
    <w:rsid w:val="00466297"/>
    <w:rsid w:val="00466620"/>
    <w:rsid w:val="00466A38"/>
    <w:rsid w:val="00466C07"/>
    <w:rsid w:val="00467054"/>
    <w:rsid w:val="004713F1"/>
    <w:rsid w:val="004715E5"/>
    <w:rsid w:val="0047160E"/>
    <w:rsid w:val="0047212E"/>
    <w:rsid w:val="0047278B"/>
    <w:rsid w:val="00472862"/>
    <w:rsid w:val="00472D31"/>
    <w:rsid w:val="004730CC"/>
    <w:rsid w:val="004736A2"/>
    <w:rsid w:val="00473A59"/>
    <w:rsid w:val="00473D8E"/>
    <w:rsid w:val="00474157"/>
    <w:rsid w:val="00474EB2"/>
    <w:rsid w:val="00475401"/>
    <w:rsid w:val="00475D65"/>
    <w:rsid w:val="00476090"/>
    <w:rsid w:val="00476467"/>
    <w:rsid w:val="00476AD7"/>
    <w:rsid w:val="00476DB6"/>
    <w:rsid w:val="0047709B"/>
    <w:rsid w:val="00477C56"/>
    <w:rsid w:val="00480472"/>
    <w:rsid w:val="00480A45"/>
    <w:rsid w:val="00480F7E"/>
    <w:rsid w:val="00481342"/>
    <w:rsid w:val="004816F4"/>
    <w:rsid w:val="00482738"/>
    <w:rsid w:val="00482CF0"/>
    <w:rsid w:val="00482F81"/>
    <w:rsid w:val="0048398A"/>
    <w:rsid w:val="00483EEE"/>
    <w:rsid w:val="004846D4"/>
    <w:rsid w:val="00484FA1"/>
    <w:rsid w:val="00485206"/>
    <w:rsid w:val="0048579A"/>
    <w:rsid w:val="004857FB"/>
    <w:rsid w:val="00486890"/>
    <w:rsid w:val="00486B40"/>
    <w:rsid w:val="00486DE5"/>
    <w:rsid w:val="004871FB"/>
    <w:rsid w:val="00487595"/>
    <w:rsid w:val="004879CD"/>
    <w:rsid w:val="00487CF8"/>
    <w:rsid w:val="00487E5B"/>
    <w:rsid w:val="00490703"/>
    <w:rsid w:val="004908EC"/>
    <w:rsid w:val="00490984"/>
    <w:rsid w:val="004913CA"/>
    <w:rsid w:val="004916B1"/>
    <w:rsid w:val="00492109"/>
    <w:rsid w:val="00492608"/>
    <w:rsid w:val="00492814"/>
    <w:rsid w:val="00493149"/>
    <w:rsid w:val="004931AB"/>
    <w:rsid w:val="00494B70"/>
    <w:rsid w:val="00495226"/>
    <w:rsid w:val="00496275"/>
    <w:rsid w:val="004965D6"/>
    <w:rsid w:val="00496ABF"/>
    <w:rsid w:val="004974E2"/>
    <w:rsid w:val="004976B0"/>
    <w:rsid w:val="004978DD"/>
    <w:rsid w:val="0049793F"/>
    <w:rsid w:val="00497945"/>
    <w:rsid w:val="004A10FF"/>
    <w:rsid w:val="004A1319"/>
    <w:rsid w:val="004A1472"/>
    <w:rsid w:val="004A167F"/>
    <w:rsid w:val="004A16A3"/>
    <w:rsid w:val="004A1853"/>
    <w:rsid w:val="004A1B63"/>
    <w:rsid w:val="004A1D42"/>
    <w:rsid w:val="004A1F15"/>
    <w:rsid w:val="004A2024"/>
    <w:rsid w:val="004A23CC"/>
    <w:rsid w:val="004A25CB"/>
    <w:rsid w:val="004A2F96"/>
    <w:rsid w:val="004A3030"/>
    <w:rsid w:val="004A3277"/>
    <w:rsid w:val="004A3768"/>
    <w:rsid w:val="004A3AF8"/>
    <w:rsid w:val="004A3B24"/>
    <w:rsid w:val="004A3D2F"/>
    <w:rsid w:val="004A4337"/>
    <w:rsid w:val="004A44E1"/>
    <w:rsid w:val="004A450E"/>
    <w:rsid w:val="004A5015"/>
    <w:rsid w:val="004A5286"/>
    <w:rsid w:val="004A5A37"/>
    <w:rsid w:val="004A745D"/>
    <w:rsid w:val="004A7744"/>
    <w:rsid w:val="004B00C8"/>
    <w:rsid w:val="004B011E"/>
    <w:rsid w:val="004B0411"/>
    <w:rsid w:val="004B0422"/>
    <w:rsid w:val="004B0F39"/>
    <w:rsid w:val="004B1309"/>
    <w:rsid w:val="004B22BA"/>
    <w:rsid w:val="004B2AE7"/>
    <w:rsid w:val="004B2F2F"/>
    <w:rsid w:val="004B2F9E"/>
    <w:rsid w:val="004B327B"/>
    <w:rsid w:val="004B3A77"/>
    <w:rsid w:val="004B3EB7"/>
    <w:rsid w:val="004B40F6"/>
    <w:rsid w:val="004B411F"/>
    <w:rsid w:val="004B4135"/>
    <w:rsid w:val="004B475D"/>
    <w:rsid w:val="004B4CFF"/>
    <w:rsid w:val="004B5172"/>
    <w:rsid w:val="004B53CE"/>
    <w:rsid w:val="004B5F5D"/>
    <w:rsid w:val="004B6094"/>
    <w:rsid w:val="004B6355"/>
    <w:rsid w:val="004B6AB2"/>
    <w:rsid w:val="004B7127"/>
    <w:rsid w:val="004B732D"/>
    <w:rsid w:val="004B7A79"/>
    <w:rsid w:val="004B7B65"/>
    <w:rsid w:val="004C01A4"/>
    <w:rsid w:val="004C0A91"/>
    <w:rsid w:val="004C0D30"/>
    <w:rsid w:val="004C0D36"/>
    <w:rsid w:val="004C12BE"/>
    <w:rsid w:val="004C1A5C"/>
    <w:rsid w:val="004C2553"/>
    <w:rsid w:val="004C2648"/>
    <w:rsid w:val="004C27DE"/>
    <w:rsid w:val="004C2A67"/>
    <w:rsid w:val="004C2DE1"/>
    <w:rsid w:val="004C2EFD"/>
    <w:rsid w:val="004C311C"/>
    <w:rsid w:val="004C4367"/>
    <w:rsid w:val="004C4377"/>
    <w:rsid w:val="004C49D5"/>
    <w:rsid w:val="004C52EF"/>
    <w:rsid w:val="004C5E67"/>
    <w:rsid w:val="004C6098"/>
    <w:rsid w:val="004C61FF"/>
    <w:rsid w:val="004C623F"/>
    <w:rsid w:val="004C65B8"/>
    <w:rsid w:val="004C6BE1"/>
    <w:rsid w:val="004C6FCF"/>
    <w:rsid w:val="004C70DA"/>
    <w:rsid w:val="004C7FAC"/>
    <w:rsid w:val="004D03EA"/>
    <w:rsid w:val="004D14FA"/>
    <w:rsid w:val="004D1645"/>
    <w:rsid w:val="004D1744"/>
    <w:rsid w:val="004D3A1F"/>
    <w:rsid w:val="004D4160"/>
    <w:rsid w:val="004D5332"/>
    <w:rsid w:val="004D63D6"/>
    <w:rsid w:val="004D64CC"/>
    <w:rsid w:val="004D6587"/>
    <w:rsid w:val="004D6A5C"/>
    <w:rsid w:val="004D6EB4"/>
    <w:rsid w:val="004D776F"/>
    <w:rsid w:val="004E0BA3"/>
    <w:rsid w:val="004E0CD0"/>
    <w:rsid w:val="004E0E1A"/>
    <w:rsid w:val="004E0F86"/>
    <w:rsid w:val="004E10BE"/>
    <w:rsid w:val="004E136B"/>
    <w:rsid w:val="004E20D2"/>
    <w:rsid w:val="004E2181"/>
    <w:rsid w:val="004E258F"/>
    <w:rsid w:val="004E2ACC"/>
    <w:rsid w:val="004E30F8"/>
    <w:rsid w:val="004E3771"/>
    <w:rsid w:val="004E3CF9"/>
    <w:rsid w:val="004E470A"/>
    <w:rsid w:val="004E4B28"/>
    <w:rsid w:val="004E53BB"/>
    <w:rsid w:val="004E5739"/>
    <w:rsid w:val="004E5A10"/>
    <w:rsid w:val="004E5C0F"/>
    <w:rsid w:val="004E6B70"/>
    <w:rsid w:val="004E6E7C"/>
    <w:rsid w:val="004F1283"/>
    <w:rsid w:val="004F13C2"/>
    <w:rsid w:val="004F1A18"/>
    <w:rsid w:val="004F330C"/>
    <w:rsid w:val="004F3354"/>
    <w:rsid w:val="004F33C0"/>
    <w:rsid w:val="004F3DFE"/>
    <w:rsid w:val="004F3F89"/>
    <w:rsid w:val="004F422A"/>
    <w:rsid w:val="004F42C5"/>
    <w:rsid w:val="004F4633"/>
    <w:rsid w:val="004F4999"/>
    <w:rsid w:val="004F499C"/>
    <w:rsid w:val="004F4A4C"/>
    <w:rsid w:val="004F4D5B"/>
    <w:rsid w:val="004F4E41"/>
    <w:rsid w:val="004F567A"/>
    <w:rsid w:val="004F5BC4"/>
    <w:rsid w:val="004F61C6"/>
    <w:rsid w:val="004F677B"/>
    <w:rsid w:val="004F7B30"/>
    <w:rsid w:val="004F7CF8"/>
    <w:rsid w:val="005001B1"/>
    <w:rsid w:val="005004A5"/>
    <w:rsid w:val="005004CD"/>
    <w:rsid w:val="00500623"/>
    <w:rsid w:val="00500675"/>
    <w:rsid w:val="00500AB6"/>
    <w:rsid w:val="005018A5"/>
    <w:rsid w:val="005018B4"/>
    <w:rsid w:val="00501AB0"/>
    <w:rsid w:val="00501D14"/>
    <w:rsid w:val="00502225"/>
    <w:rsid w:val="005026D3"/>
    <w:rsid w:val="00502CF4"/>
    <w:rsid w:val="0050311A"/>
    <w:rsid w:val="00503840"/>
    <w:rsid w:val="00503BE5"/>
    <w:rsid w:val="00503D05"/>
    <w:rsid w:val="00503EF1"/>
    <w:rsid w:val="00504187"/>
    <w:rsid w:val="00504450"/>
    <w:rsid w:val="0050455A"/>
    <w:rsid w:val="005046CA"/>
    <w:rsid w:val="005049E6"/>
    <w:rsid w:val="00504BB1"/>
    <w:rsid w:val="00505054"/>
    <w:rsid w:val="005057FE"/>
    <w:rsid w:val="00505AB0"/>
    <w:rsid w:val="00505ECD"/>
    <w:rsid w:val="00506F8A"/>
    <w:rsid w:val="005076A8"/>
    <w:rsid w:val="0050793A"/>
    <w:rsid w:val="00507F26"/>
    <w:rsid w:val="005102BD"/>
    <w:rsid w:val="00510B09"/>
    <w:rsid w:val="005114E6"/>
    <w:rsid w:val="0051176F"/>
    <w:rsid w:val="005122B2"/>
    <w:rsid w:val="005123AC"/>
    <w:rsid w:val="005126CF"/>
    <w:rsid w:val="00512A48"/>
    <w:rsid w:val="00512D0D"/>
    <w:rsid w:val="00513BCA"/>
    <w:rsid w:val="0051413C"/>
    <w:rsid w:val="00514181"/>
    <w:rsid w:val="00514E7C"/>
    <w:rsid w:val="005153E5"/>
    <w:rsid w:val="00515A96"/>
    <w:rsid w:val="00515DD4"/>
    <w:rsid w:val="00515E74"/>
    <w:rsid w:val="005164EA"/>
    <w:rsid w:val="005169CC"/>
    <w:rsid w:val="00516BBF"/>
    <w:rsid w:val="00516BE3"/>
    <w:rsid w:val="00516C6D"/>
    <w:rsid w:val="00516E1C"/>
    <w:rsid w:val="00516F9A"/>
    <w:rsid w:val="00517908"/>
    <w:rsid w:val="00520170"/>
    <w:rsid w:val="00521126"/>
    <w:rsid w:val="005212A5"/>
    <w:rsid w:val="005216AC"/>
    <w:rsid w:val="00521A3A"/>
    <w:rsid w:val="00521B3C"/>
    <w:rsid w:val="00522AED"/>
    <w:rsid w:val="005231B0"/>
    <w:rsid w:val="00523A09"/>
    <w:rsid w:val="00523CD8"/>
    <w:rsid w:val="005241AC"/>
    <w:rsid w:val="0052426F"/>
    <w:rsid w:val="00524477"/>
    <w:rsid w:val="00524651"/>
    <w:rsid w:val="00524E76"/>
    <w:rsid w:val="00524ED2"/>
    <w:rsid w:val="00524EE6"/>
    <w:rsid w:val="005251E4"/>
    <w:rsid w:val="0052530F"/>
    <w:rsid w:val="00525D05"/>
    <w:rsid w:val="00525F1D"/>
    <w:rsid w:val="00526D8F"/>
    <w:rsid w:val="00526ED3"/>
    <w:rsid w:val="00526F7B"/>
    <w:rsid w:val="0052763A"/>
    <w:rsid w:val="00527888"/>
    <w:rsid w:val="005301AA"/>
    <w:rsid w:val="005302BF"/>
    <w:rsid w:val="00530466"/>
    <w:rsid w:val="005309F1"/>
    <w:rsid w:val="00530C7E"/>
    <w:rsid w:val="00530E10"/>
    <w:rsid w:val="00530E55"/>
    <w:rsid w:val="00531555"/>
    <w:rsid w:val="00531B9A"/>
    <w:rsid w:val="005320CF"/>
    <w:rsid w:val="005325CD"/>
    <w:rsid w:val="0053384F"/>
    <w:rsid w:val="00534456"/>
    <w:rsid w:val="005345B1"/>
    <w:rsid w:val="00534EAF"/>
    <w:rsid w:val="00535BCC"/>
    <w:rsid w:val="00535D00"/>
    <w:rsid w:val="00536043"/>
    <w:rsid w:val="00536726"/>
    <w:rsid w:val="00536DDB"/>
    <w:rsid w:val="0053735B"/>
    <w:rsid w:val="005374D3"/>
    <w:rsid w:val="00537AFA"/>
    <w:rsid w:val="0054006D"/>
    <w:rsid w:val="005400ED"/>
    <w:rsid w:val="00540286"/>
    <w:rsid w:val="00540518"/>
    <w:rsid w:val="00540A71"/>
    <w:rsid w:val="0054100C"/>
    <w:rsid w:val="00541D40"/>
    <w:rsid w:val="00542808"/>
    <w:rsid w:val="00542BA4"/>
    <w:rsid w:val="00543AD8"/>
    <w:rsid w:val="00543B7F"/>
    <w:rsid w:val="00543F04"/>
    <w:rsid w:val="00544035"/>
    <w:rsid w:val="00544083"/>
    <w:rsid w:val="00544ECE"/>
    <w:rsid w:val="00545754"/>
    <w:rsid w:val="00545823"/>
    <w:rsid w:val="005465D6"/>
    <w:rsid w:val="0054667C"/>
    <w:rsid w:val="005467D8"/>
    <w:rsid w:val="00546CC1"/>
    <w:rsid w:val="0054717C"/>
    <w:rsid w:val="005475C5"/>
    <w:rsid w:val="00547CAD"/>
    <w:rsid w:val="0055068E"/>
    <w:rsid w:val="005508B3"/>
    <w:rsid w:val="00550F4C"/>
    <w:rsid w:val="00551260"/>
    <w:rsid w:val="005515D7"/>
    <w:rsid w:val="00551926"/>
    <w:rsid w:val="00552338"/>
    <w:rsid w:val="0055236B"/>
    <w:rsid w:val="00552676"/>
    <w:rsid w:val="005526F7"/>
    <w:rsid w:val="00552FA4"/>
    <w:rsid w:val="00552FD6"/>
    <w:rsid w:val="00554793"/>
    <w:rsid w:val="00554852"/>
    <w:rsid w:val="00554E94"/>
    <w:rsid w:val="00555FE1"/>
    <w:rsid w:val="0055612E"/>
    <w:rsid w:val="0055616D"/>
    <w:rsid w:val="00556223"/>
    <w:rsid w:val="00556C4A"/>
    <w:rsid w:val="00556F3D"/>
    <w:rsid w:val="00557250"/>
    <w:rsid w:val="0055766B"/>
    <w:rsid w:val="005578B8"/>
    <w:rsid w:val="00557DF0"/>
    <w:rsid w:val="005600D3"/>
    <w:rsid w:val="00560EA8"/>
    <w:rsid w:val="00561A48"/>
    <w:rsid w:val="00562204"/>
    <w:rsid w:val="00562F61"/>
    <w:rsid w:val="00563200"/>
    <w:rsid w:val="005636A8"/>
    <w:rsid w:val="005636B2"/>
    <w:rsid w:val="00563B7C"/>
    <w:rsid w:val="0056446E"/>
    <w:rsid w:val="005647D4"/>
    <w:rsid w:val="005651EC"/>
    <w:rsid w:val="005654F1"/>
    <w:rsid w:val="005659AC"/>
    <w:rsid w:val="00565FFB"/>
    <w:rsid w:val="005660E0"/>
    <w:rsid w:val="005667E5"/>
    <w:rsid w:val="005673D7"/>
    <w:rsid w:val="005704E1"/>
    <w:rsid w:val="00570776"/>
    <w:rsid w:val="00570CCC"/>
    <w:rsid w:val="00571083"/>
    <w:rsid w:val="0057120A"/>
    <w:rsid w:val="005721D6"/>
    <w:rsid w:val="005723FA"/>
    <w:rsid w:val="00572E47"/>
    <w:rsid w:val="00573397"/>
    <w:rsid w:val="0057353F"/>
    <w:rsid w:val="00573719"/>
    <w:rsid w:val="005737E9"/>
    <w:rsid w:val="00573A0C"/>
    <w:rsid w:val="00573B5B"/>
    <w:rsid w:val="00574202"/>
    <w:rsid w:val="005742F0"/>
    <w:rsid w:val="005748E0"/>
    <w:rsid w:val="005749E1"/>
    <w:rsid w:val="00574C26"/>
    <w:rsid w:val="00575152"/>
    <w:rsid w:val="0057521D"/>
    <w:rsid w:val="00575E88"/>
    <w:rsid w:val="00575EA4"/>
    <w:rsid w:val="005762A2"/>
    <w:rsid w:val="00576432"/>
    <w:rsid w:val="00576F3D"/>
    <w:rsid w:val="00580804"/>
    <w:rsid w:val="005817E7"/>
    <w:rsid w:val="00582162"/>
    <w:rsid w:val="00582C4D"/>
    <w:rsid w:val="00582FB1"/>
    <w:rsid w:val="0058303D"/>
    <w:rsid w:val="00583530"/>
    <w:rsid w:val="00583BC8"/>
    <w:rsid w:val="005844B4"/>
    <w:rsid w:val="005845AB"/>
    <w:rsid w:val="005845D1"/>
    <w:rsid w:val="00584777"/>
    <w:rsid w:val="005857FA"/>
    <w:rsid w:val="00585A58"/>
    <w:rsid w:val="00585AE5"/>
    <w:rsid w:val="00586051"/>
    <w:rsid w:val="0058623E"/>
    <w:rsid w:val="005866D0"/>
    <w:rsid w:val="00586785"/>
    <w:rsid w:val="00586CAF"/>
    <w:rsid w:val="005872E9"/>
    <w:rsid w:val="00587530"/>
    <w:rsid w:val="00587890"/>
    <w:rsid w:val="00587DA8"/>
    <w:rsid w:val="00587FCA"/>
    <w:rsid w:val="00590081"/>
    <w:rsid w:val="00590613"/>
    <w:rsid w:val="005910F4"/>
    <w:rsid w:val="00591480"/>
    <w:rsid w:val="00591A2F"/>
    <w:rsid w:val="00591B64"/>
    <w:rsid w:val="00592E11"/>
    <w:rsid w:val="005931E1"/>
    <w:rsid w:val="005936B4"/>
    <w:rsid w:val="0059399E"/>
    <w:rsid w:val="00595B1F"/>
    <w:rsid w:val="00595CE7"/>
    <w:rsid w:val="00595DED"/>
    <w:rsid w:val="005966C6"/>
    <w:rsid w:val="0059704A"/>
    <w:rsid w:val="005973D1"/>
    <w:rsid w:val="0059761A"/>
    <w:rsid w:val="00597E66"/>
    <w:rsid w:val="005A06D8"/>
    <w:rsid w:val="005A0B48"/>
    <w:rsid w:val="005A0C46"/>
    <w:rsid w:val="005A0D36"/>
    <w:rsid w:val="005A1BBD"/>
    <w:rsid w:val="005A1CE7"/>
    <w:rsid w:val="005A1D2E"/>
    <w:rsid w:val="005A1FE7"/>
    <w:rsid w:val="005A21B8"/>
    <w:rsid w:val="005A22AD"/>
    <w:rsid w:val="005A293B"/>
    <w:rsid w:val="005A2B1A"/>
    <w:rsid w:val="005A2C39"/>
    <w:rsid w:val="005A2CCB"/>
    <w:rsid w:val="005A37B4"/>
    <w:rsid w:val="005A3912"/>
    <w:rsid w:val="005A3DE4"/>
    <w:rsid w:val="005A437D"/>
    <w:rsid w:val="005A459D"/>
    <w:rsid w:val="005A46B4"/>
    <w:rsid w:val="005A5339"/>
    <w:rsid w:val="005A5C98"/>
    <w:rsid w:val="005A5E89"/>
    <w:rsid w:val="005A6531"/>
    <w:rsid w:val="005A6B15"/>
    <w:rsid w:val="005A6B1E"/>
    <w:rsid w:val="005A703B"/>
    <w:rsid w:val="005A76B3"/>
    <w:rsid w:val="005A7B97"/>
    <w:rsid w:val="005B0031"/>
    <w:rsid w:val="005B003F"/>
    <w:rsid w:val="005B02FD"/>
    <w:rsid w:val="005B0351"/>
    <w:rsid w:val="005B0623"/>
    <w:rsid w:val="005B0638"/>
    <w:rsid w:val="005B0D34"/>
    <w:rsid w:val="005B0E74"/>
    <w:rsid w:val="005B1596"/>
    <w:rsid w:val="005B18E7"/>
    <w:rsid w:val="005B1DAE"/>
    <w:rsid w:val="005B21F3"/>
    <w:rsid w:val="005B23CA"/>
    <w:rsid w:val="005B24BA"/>
    <w:rsid w:val="005B27AD"/>
    <w:rsid w:val="005B2C07"/>
    <w:rsid w:val="005B2C54"/>
    <w:rsid w:val="005B2D52"/>
    <w:rsid w:val="005B32FD"/>
    <w:rsid w:val="005B3CDD"/>
    <w:rsid w:val="005B5157"/>
    <w:rsid w:val="005B52AB"/>
    <w:rsid w:val="005B55C6"/>
    <w:rsid w:val="005B6EEC"/>
    <w:rsid w:val="005B70CC"/>
    <w:rsid w:val="005B760A"/>
    <w:rsid w:val="005B7CD2"/>
    <w:rsid w:val="005C018A"/>
    <w:rsid w:val="005C0CF0"/>
    <w:rsid w:val="005C0F69"/>
    <w:rsid w:val="005C113F"/>
    <w:rsid w:val="005C16AC"/>
    <w:rsid w:val="005C2377"/>
    <w:rsid w:val="005C238E"/>
    <w:rsid w:val="005C28F0"/>
    <w:rsid w:val="005C29DC"/>
    <w:rsid w:val="005C2BE1"/>
    <w:rsid w:val="005C2E91"/>
    <w:rsid w:val="005C3405"/>
    <w:rsid w:val="005C38F6"/>
    <w:rsid w:val="005C39AA"/>
    <w:rsid w:val="005C3AFD"/>
    <w:rsid w:val="005C3F44"/>
    <w:rsid w:val="005C411B"/>
    <w:rsid w:val="005C46C1"/>
    <w:rsid w:val="005C5661"/>
    <w:rsid w:val="005C5F01"/>
    <w:rsid w:val="005C67B8"/>
    <w:rsid w:val="005C7B4F"/>
    <w:rsid w:val="005D0290"/>
    <w:rsid w:val="005D0655"/>
    <w:rsid w:val="005D06AB"/>
    <w:rsid w:val="005D1017"/>
    <w:rsid w:val="005D1650"/>
    <w:rsid w:val="005D2406"/>
    <w:rsid w:val="005D285B"/>
    <w:rsid w:val="005D2B95"/>
    <w:rsid w:val="005D3674"/>
    <w:rsid w:val="005D3688"/>
    <w:rsid w:val="005D3B4A"/>
    <w:rsid w:val="005D46E9"/>
    <w:rsid w:val="005D4766"/>
    <w:rsid w:val="005D4B77"/>
    <w:rsid w:val="005D4BDA"/>
    <w:rsid w:val="005D4E24"/>
    <w:rsid w:val="005D4E7C"/>
    <w:rsid w:val="005D521C"/>
    <w:rsid w:val="005D5276"/>
    <w:rsid w:val="005D566E"/>
    <w:rsid w:val="005D56B8"/>
    <w:rsid w:val="005D56CD"/>
    <w:rsid w:val="005D56DB"/>
    <w:rsid w:val="005D5767"/>
    <w:rsid w:val="005D59F8"/>
    <w:rsid w:val="005D5AC4"/>
    <w:rsid w:val="005D5EC8"/>
    <w:rsid w:val="005D66A1"/>
    <w:rsid w:val="005D731C"/>
    <w:rsid w:val="005D7FD3"/>
    <w:rsid w:val="005E0540"/>
    <w:rsid w:val="005E05D3"/>
    <w:rsid w:val="005E0CBB"/>
    <w:rsid w:val="005E0E8F"/>
    <w:rsid w:val="005E108C"/>
    <w:rsid w:val="005E13FD"/>
    <w:rsid w:val="005E17A8"/>
    <w:rsid w:val="005E1C38"/>
    <w:rsid w:val="005E2922"/>
    <w:rsid w:val="005E2A04"/>
    <w:rsid w:val="005E2E28"/>
    <w:rsid w:val="005E33F6"/>
    <w:rsid w:val="005E36CE"/>
    <w:rsid w:val="005E43A6"/>
    <w:rsid w:val="005E4EAC"/>
    <w:rsid w:val="005E509D"/>
    <w:rsid w:val="005E5513"/>
    <w:rsid w:val="005E5CB7"/>
    <w:rsid w:val="005E5D5A"/>
    <w:rsid w:val="005E6942"/>
    <w:rsid w:val="005E696F"/>
    <w:rsid w:val="005E6E2E"/>
    <w:rsid w:val="005E6EE9"/>
    <w:rsid w:val="005E7B6C"/>
    <w:rsid w:val="005E7C7D"/>
    <w:rsid w:val="005F045A"/>
    <w:rsid w:val="005F04F6"/>
    <w:rsid w:val="005F094F"/>
    <w:rsid w:val="005F0D63"/>
    <w:rsid w:val="005F14BB"/>
    <w:rsid w:val="005F1AF6"/>
    <w:rsid w:val="005F1B54"/>
    <w:rsid w:val="005F1E0A"/>
    <w:rsid w:val="005F1F6B"/>
    <w:rsid w:val="005F21B5"/>
    <w:rsid w:val="005F23B9"/>
    <w:rsid w:val="005F2853"/>
    <w:rsid w:val="005F2949"/>
    <w:rsid w:val="005F2A19"/>
    <w:rsid w:val="005F3137"/>
    <w:rsid w:val="005F336A"/>
    <w:rsid w:val="005F34CE"/>
    <w:rsid w:val="005F387A"/>
    <w:rsid w:val="005F3C1D"/>
    <w:rsid w:val="005F3DAA"/>
    <w:rsid w:val="005F41A4"/>
    <w:rsid w:val="005F4603"/>
    <w:rsid w:val="005F49C4"/>
    <w:rsid w:val="005F4DAB"/>
    <w:rsid w:val="005F5885"/>
    <w:rsid w:val="005F5CA0"/>
    <w:rsid w:val="005F5F10"/>
    <w:rsid w:val="005F5F5A"/>
    <w:rsid w:val="005F5F71"/>
    <w:rsid w:val="005F5FDB"/>
    <w:rsid w:val="005F6064"/>
    <w:rsid w:val="005F61AA"/>
    <w:rsid w:val="005F779D"/>
    <w:rsid w:val="005F7EC3"/>
    <w:rsid w:val="005F7FD3"/>
    <w:rsid w:val="0060026B"/>
    <w:rsid w:val="00600627"/>
    <w:rsid w:val="00600789"/>
    <w:rsid w:val="00600B0A"/>
    <w:rsid w:val="00601776"/>
    <w:rsid w:val="0060232A"/>
    <w:rsid w:val="00602954"/>
    <w:rsid w:val="00602E02"/>
    <w:rsid w:val="00602F16"/>
    <w:rsid w:val="006039CE"/>
    <w:rsid w:val="006041E9"/>
    <w:rsid w:val="00604720"/>
    <w:rsid w:val="0060511E"/>
    <w:rsid w:val="0060533E"/>
    <w:rsid w:val="00605794"/>
    <w:rsid w:val="00605CFE"/>
    <w:rsid w:val="00605ECC"/>
    <w:rsid w:val="00605FFF"/>
    <w:rsid w:val="00606035"/>
    <w:rsid w:val="006063A0"/>
    <w:rsid w:val="00606DCF"/>
    <w:rsid w:val="00606F42"/>
    <w:rsid w:val="00607215"/>
    <w:rsid w:val="0060779A"/>
    <w:rsid w:val="00610093"/>
    <w:rsid w:val="00610C92"/>
    <w:rsid w:val="00611022"/>
    <w:rsid w:val="006111A8"/>
    <w:rsid w:val="006112CA"/>
    <w:rsid w:val="00611785"/>
    <w:rsid w:val="00611B87"/>
    <w:rsid w:val="006120E9"/>
    <w:rsid w:val="00612464"/>
    <w:rsid w:val="00612B14"/>
    <w:rsid w:val="00612D8E"/>
    <w:rsid w:val="00613049"/>
    <w:rsid w:val="00613463"/>
    <w:rsid w:val="00613ADB"/>
    <w:rsid w:val="00613C3B"/>
    <w:rsid w:val="00614120"/>
    <w:rsid w:val="006145EA"/>
    <w:rsid w:val="00614D6A"/>
    <w:rsid w:val="00615075"/>
    <w:rsid w:val="006156D5"/>
    <w:rsid w:val="006156ED"/>
    <w:rsid w:val="00615978"/>
    <w:rsid w:val="00615982"/>
    <w:rsid w:val="0061661D"/>
    <w:rsid w:val="00617155"/>
    <w:rsid w:val="006174A0"/>
    <w:rsid w:val="006179AE"/>
    <w:rsid w:val="00617A13"/>
    <w:rsid w:val="00617E88"/>
    <w:rsid w:val="00621320"/>
    <w:rsid w:val="006213F6"/>
    <w:rsid w:val="006225A3"/>
    <w:rsid w:val="00622789"/>
    <w:rsid w:val="006228D0"/>
    <w:rsid w:val="00622A49"/>
    <w:rsid w:val="00622FAF"/>
    <w:rsid w:val="00622FBD"/>
    <w:rsid w:val="006236BE"/>
    <w:rsid w:val="00623C5E"/>
    <w:rsid w:val="00623DBD"/>
    <w:rsid w:val="00623DC8"/>
    <w:rsid w:val="00624961"/>
    <w:rsid w:val="00624B9A"/>
    <w:rsid w:val="00624C13"/>
    <w:rsid w:val="006250AC"/>
    <w:rsid w:val="00625796"/>
    <w:rsid w:val="00625C00"/>
    <w:rsid w:val="006261C2"/>
    <w:rsid w:val="006263AE"/>
    <w:rsid w:val="00626432"/>
    <w:rsid w:val="00626644"/>
    <w:rsid w:val="006266F5"/>
    <w:rsid w:val="00626A47"/>
    <w:rsid w:val="00626B88"/>
    <w:rsid w:val="00626E10"/>
    <w:rsid w:val="00626FDD"/>
    <w:rsid w:val="0062719F"/>
    <w:rsid w:val="006276CF"/>
    <w:rsid w:val="00627D0D"/>
    <w:rsid w:val="006304EC"/>
    <w:rsid w:val="0063086D"/>
    <w:rsid w:val="00631B76"/>
    <w:rsid w:val="00632074"/>
    <w:rsid w:val="0063304C"/>
    <w:rsid w:val="00633080"/>
    <w:rsid w:val="006335CE"/>
    <w:rsid w:val="006338C3"/>
    <w:rsid w:val="00633B63"/>
    <w:rsid w:val="0063427A"/>
    <w:rsid w:val="00634C3E"/>
    <w:rsid w:val="00635408"/>
    <w:rsid w:val="00635B2A"/>
    <w:rsid w:val="00635D64"/>
    <w:rsid w:val="006363A3"/>
    <w:rsid w:val="006370E3"/>
    <w:rsid w:val="00637D57"/>
    <w:rsid w:val="00640414"/>
    <w:rsid w:val="00640A88"/>
    <w:rsid w:val="00640B71"/>
    <w:rsid w:val="00640BF4"/>
    <w:rsid w:val="00640C63"/>
    <w:rsid w:val="00641BE4"/>
    <w:rsid w:val="00641FE6"/>
    <w:rsid w:val="006424F2"/>
    <w:rsid w:val="00642C1E"/>
    <w:rsid w:val="00642FFB"/>
    <w:rsid w:val="00643145"/>
    <w:rsid w:val="006439A2"/>
    <w:rsid w:val="00643E5A"/>
    <w:rsid w:val="00643EAF"/>
    <w:rsid w:val="006440A8"/>
    <w:rsid w:val="0064461D"/>
    <w:rsid w:val="00644840"/>
    <w:rsid w:val="00644A0C"/>
    <w:rsid w:val="006459ED"/>
    <w:rsid w:val="00645AB6"/>
    <w:rsid w:val="006461AC"/>
    <w:rsid w:val="0064665D"/>
    <w:rsid w:val="006468C7"/>
    <w:rsid w:val="00646C8E"/>
    <w:rsid w:val="0064718F"/>
    <w:rsid w:val="006475E6"/>
    <w:rsid w:val="0065036D"/>
    <w:rsid w:val="00650679"/>
    <w:rsid w:val="00650C2F"/>
    <w:rsid w:val="00650C56"/>
    <w:rsid w:val="00650D0B"/>
    <w:rsid w:val="00651128"/>
    <w:rsid w:val="00651E7C"/>
    <w:rsid w:val="006521C1"/>
    <w:rsid w:val="006522A6"/>
    <w:rsid w:val="00652B75"/>
    <w:rsid w:val="00653C3E"/>
    <w:rsid w:val="00653D23"/>
    <w:rsid w:val="006542F2"/>
    <w:rsid w:val="006546C1"/>
    <w:rsid w:val="0065519C"/>
    <w:rsid w:val="00655A91"/>
    <w:rsid w:val="00655E47"/>
    <w:rsid w:val="006564FA"/>
    <w:rsid w:val="0065764D"/>
    <w:rsid w:val="006576BF"/>
    <w:rsid w:val="00657849"/>
    <w:rsid w:val="00657F02"/>
    <w:rsid w:val="00657FD6"/>
    <w:rsid w:val="00660303"/>
    <w:rsid w:val="00660E71"/>
    <w:rsid w:val="00660FA8"/>
    <w:rsid w:val="00661A66"/>
    <w:rsid w:val="00661CA8"/>
    <w:rsid w:val="00661E57"/>
    <w:rsid w:val="00662E6B"/>
    <w:rsid w:val="00663669"/>
    <w:rsid w:val="006638FB"/>
    <w:rsid w:val="006641F1"/>
    <w:rsid w:val="0066423D"/>
    <w:rsid w:val="006647E4"/>
    <w:rsid w:val="0066515F"/>
    <w:rsid w:val="00665309"/>
    <w:rsid w:val="006660D4"/>
    <w:rsid w:val="00667041"/>
    <w:rsid w:val="00667055"/>
    <w:rsid w:val="006670FC"/>
    <w:rsid w:val="006677AD"/>
    <w:rsid w:val="006678DA"/>
    <w:rsid w:val="00670446"/>
    <w:rsid w:val="006704EA"/>
    <w:rsid w:val="0067075B"/>
    <w:rsid w:val="00670EDC"/>
    <w:rsid w:val="006710FB"/>
    <w:rsid w:val="006715A6"/>
    <w:rsid w:val="0067192D"/>
    <w:rsid w:val="00671C53"/>
    <w:rsid w:val="00671CB6"/>
    <w:rsid w:val="00671DFF"/>
    <w:rsid w:val="00672728"/>
    <w:rsid w:val="0067280D"/>
    <w:rsid w:val="0067285D"/>
    <w:rsid w:val="00672912"/>
    <w:rsid w:val="00673394"/>
    <w:rsid w:val="006735E1"/>
    <w:rsid w:val="00673796"/>
    <w:rsid w:val="00673F40"/>
    <w:rsid w:val="006743B5"/>
    <w:rsid w:val="006746E5"/>
    <w:rsid w:val="00674ABF"/>
    <w:rsid w:val="00674B82"/>
    <w:rsid w:val="00674BFE"/>
    <w:rsid w:val="00675722"/>
    <w:rsid w:val="0067591B"/>
    <w:rsid w:val="00675E2B"/>
    <w:rsid w:val="0067615F"/>
    <w:rsid w:val="00676776"/>
    <w:rsid w:val="00676860"/>
    <w:rsid w:val="00676B7B"/>
    <w:rsid w:val="00676C18"/>
    <w:rsid w:val="0067702C"/>
    <w:rsid w:val="00677226"/>
    <w:rsid w:val="006772FC"/>
    <w:rsid w:val="00677603"/>
    <w:rsid w:val="006777EB"/>
    <w:rsid w:val="006807AE"/>
    <w:rsid w:val="00680901"/>
    <w:rsid w:val="006809FF"/>
    <w:rsid w:val="00680AD5"/>
    <w:rsid w:val="0068143E"/>
    <w:rsid w:val="006819C5"/>
    <w:rsid w:val="0068205B"/>
    <w:rsid w:val="0068234A"/>
    <w:rsid w:val="006823C4"/>
    <w:rsid w:val="006824BE"/>
    <w:rsid w:val="00682664"/>
    <w:rsid w:val="0068266A"/>
    <w:rsid w:val="006826A8"/>
    <w:rsid w:val="00682802"/>
    <w:rsid w:val="006828BC"/>
    <w:rsid w:val="00682DCE"/>
    <w:rsid w:val="00683473"/>
    <w:rsid w:val="0068395A"/>
    <w:rsid w:val="00683A20"/>
    <w:rsid w:val="00683C5C"/>
    <w:rsid w:val="00683F2A"/>
    <w:rsid w:val="00684FA7"/>
    <w:rsid w:val="00685359"/>
    <w:rsid w:val="00685551"/>
    <w:rsid w:val="00685934"/>
    <w:rsid w:val="006859B5"/>
    <w:rsid w:val="0068667B"/>
    <w:rsid w:val="00686A5E"/>
    <w:rsid w:val="00686F7C"/>
    <w:rsid w:val="0068709B"/>
    <w:rsid w:val="00687AC8"/>
    <w:rsid w:val="00687D2E"/>
    <w:rsid w:val="006908C2"/>
    <w:rsid w:val="00690E8D"/>
    <w:rsid w:val="00691137"/>
    <w:rsid w:val="00691DAD"/>
    <w:rsid w:val="0069218D"/>
    <w:rsid w:val="0069259C"/>
    <w:rsid w:val="006929AB"/>
    <w:rsid w:val="006930A8"/>
    <w:rsid w:val="00693267"/>
    <w:rsid w:val="006936C3"/>
    <w:rsid w:val="00693E3A"/>
    <w:rsid w:val="00694980"/>
    <w:rsid w:val="00695139"/>
    <w:rsid w:val="00695228"/>
    <w:rsid w:val="006953AD"/>
    <w:rsid w:val="00695503"/>
    <w:rsid w:val="0069588C"/>
    <w:rsid w:val="006964D8"/>
    <w:rsid w:val="00696894"/>
    <w:rsid w:val="00696A41"/>
    <w:rsid w:val="00696B1E"/>
    <w:rsid w:val="0069774D"/>
    <w:rsid w:val="00697934"/>
    <w:rsid w:val="006A147B"/>
    <w:rsid w:val="006A19A5"/>
    <w:rsid w:val="006A1B62"/>
    <w:rsid w:val="006A270A"/>
    <w:rsid w:val="006A2F9F"/>
    <w:rsid w:val="006A3DB2"/>
    <w:rsid w:val="006A3E9F"/>
    <w:rsid w:val="006A4139"/>
    <w:rsid w:val="006A44F3"/>
    <w:rsid w:val="006A4DC8"/>
    <w:rsid w:val="006A54D9"/>
    <w:rsid w:val="006A5BE2"/>
    <w:rsid w:val="006A69D0"/>
    <w:rsid w:val="006A6EC4"/>
    <w:rsid w:val="006A725B"/>
    <w:rsid w:val="006A7660"/>
    <w:rsid w:val="006B00D4"/>
    <w:rsid w:val="006B0451"/>
    <w:rsid w:val="006B0564"/>
    <w:rsid w:val="006B096F"/>
    <w:rsid w:val="006B106A"/>
    <w:rsid w:val="006B12CB"/>
    <w:rsid w:val="006B196E"/>
    <w:rsid w:val="006B2375"/>
    <w:rsid w:val="006B2989"/>
    <w:rsid w:val="006B2F75"/>
    <w:rsid w:val="006B2FD2"/>
    <w:rsid w:val="006B3059"/>
    <w:rsid w:val="006B40F8"/>
    <w:rsid w:val="006B4A27"/>
    <w:rsid w:val="006B4ADA"/>
    <w:rsid w:val="006B4C77"/>
    <w:rsid w:val="006B4FF2"/>
    <w:rsid w:val="006B504F"/>
    <w:rsid w:val="006B555D"/>
    <w:rsid w:val="006B5898"/>
    <w:rsid w:val="006B5E19"/>
    <w:rsid w:val="006B6183"/>
    <w:rsid w:val="006B649D"/>
    <w:rsid w:val="006B6AF7"/>
    <w:rsid w:val="006B6D79"/>
    <w:rsid w:val="006B782F"/>
    <w:rsid w:val="006C0C38"/>
    <w:rsid w:val="006C1411"/>
    <w:rsid w:val="006C1E24"/>
    <w:rsid w:val="006C2141"/>
    <w:rsid w:val="006C237A"/>
    <w:rsid w:val="006C2641"/>
    <w:rsid w:val="006C2658"/>
    <w:rsid w:val="006C2715"/>
    <w:rsid w:val="006C28C3"/>
    <w:rsid w:val="006C2F5F"/>
    <w:rsid w:val="006C3D59"/>
    <w:rsid w:val="006C3FD5"/>
    <w:rsid w:val="006C4E80"/>
    <w:rsid w:val="006C535F"/>
    <w:rsid w:val="006C542C"/>
    <w:rsid w:val="006C5C59"/>
    <w:rsid w:val="006C5CF4"/>
    <w:rsid w:val="006C5E53"/>
    <w:rsid w:val="006C6EF2"/>
    <w:rsid w:val="006C7841"/>
    <w:rsid w:val="006C7A2E"/>
    <w:rsid w:val="006C7C98"/>
    <w:rsid w:val="006D05A6"/>
    <w:rsid w:val="006D0728"/>
    <w:rsid w:val="006D0AD8"/>
    <w:rsid w:val="006D165E"/>
    <w:rsid w:val="006D23D4"/>
    <w:rsid w:val="006D2630"/>
    <w:rsid w:val="006D26A8"/>
    <w:rsid w:val="006D2917"/>
    <w:rsid w:val="006D2A0E"/>
    <w:rsid w:val="006D2F3E"/>
    <w:rsid w:val="006D3555"/>
    <w:rsid w:val="006D3A8F"/>
    <w:rsid w:val="006D4601"/>
    <w:rsid w:val="006D4CD2"/>
    <w:rsid w:val="006D4FD1"/>
    <w:rsid w:val="006D5309"/>
    <w:rsid w:val="006D54F2"/>
    <w:rsid w:val="006D5A21"/>
    <w:rsid w:val="006D5A54"/>
    <w:rsid w:val="006D73B3"/>
    <w:rsid w:val="006D7C9D"/>
    <w:rsid w:val="006D7CA4"/>
    <w:rsid w:val="006D7DEC"/>
    <w:rsid w:val="006E0110"/>
    <w:rsid w:val="006E08A3"/>
    <w:rsid w:val="006E0C19"/>
    <w:rsid w:val="006E1460"/>
    <w:rsid w:val="006E1471"/>
    <w:rsid w:val="006E1B92"/>
    <w:rsid w:val="006E1C1D"/>
    <w:rsid w:val="006E264B"/>
    <w:rsid w:val="006E2A69"/>
    <w:rsid w:val="006E2D5A"/>
    <w:rsid w:val="006E2D88"/>
    <w:rsid w:val="006E2FD7"/>
    <w:rsid w:val="006E3108"/>
    <w:rsid w:val="006E31B2"/>
    <w:rsid w:val="006E36DC"/>
    <w:rsid w:val="006E3705"/>
    <w:rsid w:val="006E43B5"/>
    <w:rsid w:val="006E493E"/>
    <w:rsid w:val="006E4E79"/>
    <w:rsid w:val="006E52C6"/>
    <w:rsid w:val="006E52EB"/>
    <w:rsid w:val="006E5481"/>
    <w:rsid w:val="006E619E"/>
    <w:rsid w:val="006E6453"/>
    <w:rsid w:val="006E6460"/>
    <w:rsid w:val="006E6FB9"/>
    <w:rsid w:val="006E7AF5"/>
    <w:rsid w:val="006F0029"/>
    <w:rsid w:val="006F088B"/>
    <w:rsid w:val="006F0ABF"/>
    <w:rsid w:val="006F0B68"/>
    <w:rsid w:val="006F1936"/>
    <w:rsid w:val="006F1A2B"/>
    <w:rsid w:val="006F2045"/>
    <w:rsid w:val="006F2307"/>
    <w:rsid w:val="006F2A56"/>
    <w:rsid w:val="006F2C0C"/>
    <w:rsid w:val="006F2C70"/>
    <w:rsid w:val="006F304B"/>
    <w:rsid w:val="006F3234"/>
    <w:rsid w:val="006F3F32"/>
    <w:rsid w:val="006F4BA0"/>
    <w:rsid w:val="006F4DE2"/>
    <w:rsid w:val="006F5A30"/>
    <w:rsid w:val="006F68CE"/>
    <w:rsid w:val="006F6CB8"/>
    <w:rsid w:val="006F74F4"/>
    <w:rsid w:val="006F7796"/>
    <w:rsid w:val="006F7915"/>
    <w:rsid w:val="006F7B46"/>
    <w:rsid w:val="006F7EEE"/>
    <w:rsid w:val="006F7F14"/>
    <w:rsid w:val="00700114"/>
    <w:rsid w:val="007003C8"/>
    <w:rsid w:val="007006F1"/>
    <w:rsid w:val="00700A4E"/>
    <w:rsid w:val="00701655"/>
    <w:rsid w:val="00701B07"/>
    <w:rsid w:val="007024BB"/>
    <w:rsid w:val="007029B0"/>
    <w:rsid w:val="00703501"/>
    <w:rsid w:val="00703AE9"/>
    <w:rsid w:val="00703DAD"/>
    <w:rsid w:val="00703DFB"/>
    <w:rsid w:val="00705580"/>
    <w:rsid w:val="00705A2C"/>
    <w:rsid w:val="00706325"/>
    <w:rsid w:val="007071AF"/>
    <w:rsid w:val="007071D3"/>
    <w:rsid w:val="007100A8"/>
    <w:rsid w:val="00710467"/>
    <w:rsid w:val="00710682"/>
    <w:rsid w:val="007109FC"/>
    <w:rsid w:val="00710B64"/>
    <w:rsid w:val="0071137C"/>
    <w:rsid w:val="00711586"/>
    <w:rsid w:val="007119F8"/>
    <w:rsid w:val="007121BA"/>
    <w:rsid w:val="007134F9"/>
    <w:rsid w:val="00713509"/>
    <w:rsid w:val="007137A5"/>
    <w:rsid w:val="00713E2B"/>
    <w:rsid w:val="00713F5E"/>
    <w:rsid w:val="00714124"/>
    <w:rsid w:val="007142F0"/>
    <w:rsid w:val="00714800"/>
    <w:rsid w:val="00714860"/>
    <w:rsid w:val="00714FD6"/>
    <w:rsid w:val="00715A77"/>
    <w:rsid w:val="00715FF4"/>
    <w:rsid w:val="00717B4B"/>
    <w:rsid w:val="00717CAC"/>
    <w:rsid w:val="0072039C"/>
    <w:rsid w:val="007203A8"/>
    <w:rsid w:val="007205D1"/>
    <w:rsid w:val="00720D6D"/>
    <w:rsid w:val="00720E39"/>
    <w:rsid w:val="00720FC1"/>
    <w:rsid w:val="00721188"/>
    <w:rsid w:val="00721F1E"/>
    <w:rsid w:val="007225B0"/>
    <w:rsid w:val="007227E8"/>
    <w:rsid w:val="007229E3"/>
    <w:rsid w:val="00723557"/>
    <w:rsid w:val="00723616"/>
    <w:rsid w:val="007237A7"/>
    <w:rsid w:val="00723C24"/>
    <w:rsid w:val="00724334"/>
    <w:rsid w:val="00724DCD"/>
    <w:rsid w:val="00725927"/>
    <w:rsid w:val="00725937"/>
    <w:rsid w:val="00725E49"/>
    <w:rsid w:val="00726E33"/>
    <w:rsid w:val="007274C8"/>
    <w:rsid w:val="00727797"/>
    <w:rsid w:val="00727EB7"/>
    <w:rsid w:val="00727F9A"/>
    <w:rsid w:val="007309CC"/>
    <w:rsid w:val="00731030"/>
    <w:rsid w:val="00731BD4"/>
    <w:rsid w:val="00731C05"/>
    <w:rsid w:val="0073200E"/>
    <w:rsid w:val="00732626"/>
    <w:rsid w:val="00732D30"/>
    <w:rsid w:val="00732F27"/>
    <w:rsid w:val="007338CA"/>
    <w:rsid w:val="007339E7"/>
    <w:rsid w:val="00733A04"/>
    <w:rsid w:val="00734DD7"/>
    <w:rsid w:val="00735222"/>
    <w:rsid w:val="00735626"/>
    <w:rsid w:val="007358BF"/>
    <w:rsid w:val="007358F0"/>
    <w:rsid w:val="00735A17"/>
    <w:rsid w:val="00735D2D"/>
    <w:rsid w:val="00735F28"/>
    <w:rsid w:val="007360E1"/>
    <w:rsid w:val="00736120"/>
    <w:rsid w:val="007362C8"/>
    <w:rsid w:val="00736946"/>
    <w:rsid w:val="007373AC"/>
    <w:rsid w:val="007374B1"/>
    <w:rsid w:val="00737DEE"/>
    <w:rsid w:val="00737EB5"/>
    <w:rsid w:val="007402F1"/>
    <w:rsid w:val="00741654"/>
    <w:rsid w:val="0074221C"/>
    <w:rsid w:val="0074295A"/>
    <w:rsid w:val="00742A3B"/>
    <w:rsid w:val="00743C5A"/>
    <w:rsid w:val="00743F22"/>
    <w:rsid w:val="007440AA"/>
    <w:rsid w:val="00744282"/>
    <w:rsid w:val="00744440"/>
    <w:rsid w:val="007451C3"/>
    <w:rsid w:val="007453A2"/>
    <w:rsid w:val="00745941"/>
    <w:rsid w:val="0074596C"/>
    <w:rsid w:val="007460EF"/>
    <w:rsid w:val="007474BB"/>
    <w:rsid w:val="00747CD9"/>
    <w:rsid w:val="00747EAB"/>
    <w:rsid w:val="00750326"/>
    <w:rsid w:val="00750605"/>
    <w:rsid w:val="007506A7"/>
    <w:rsid w:val="0075164C"/>
    <w:rsid w:val="00751E4B"/>
    <w:rsid w:val="00751F3E"/>
    <w:rsid w:val="00751FD9"/>
    <w:rsid w:val="00752037"/>
    <w:rsid w:val="00752C2A"/>
    <w:rsid w:val="00752C36"/>
    <w:rsid w:val="0075346C"/>
    <w:rsid w:val="00753E2E"/>
    <w:rsid w:val="007545E3"/>
    <w:rsid w:val="00754C96"/>
    <w:rsid w:val="00754F5F"/>
    <w:rsid w:val="0075570D"/>
    <w:rsid w:val="007563E5"/>
    <w:rsid w:val="00757435"/>
    <w:rsid w:val="00757786"/>
    <w:rsid w:val="00757A4C"/>
    <w:rsid w:val="00760062"/>
    <w:rsid w:val="007600BE"/>
    <w:rsid w:val="00760B7F"/>
    <w:rsid w:val="00760E5B"/>
    <w:rsid w:val="00761296"/>
    <w:rsid w:val="0076133C"/>
    <w:rsid w:val="0076166A"/>
    <w:rsid w:val="00761C9A"/>
    <w:rsid w:val="007624D5"/>
    <w:rsid w:val="00762B1B"/>
    <w:rsid w:val="0076341A"/>
    <w:rsid w:val="007639C0"/>
    <w:rsid w:val="00763B32"/>
    <w:rsid w:val="00763BF9"/>
    <w:rsid w:val="00764CDF"/>
    <w:rsid w:val="00764E58"/>
    <w:rsid w:val="00765B26"/>
    <w:rsid w:val="00765C16"/>
    <w:rsid w:val="00766630"/>
    <w:rsid w:val="00766D3D"/>
    <w:rsid w:val="007670C1"/>
    <w:rsid w:val="00767108"/>
    <w:rsid w:val="007676A0"/>
    <w:rsid w:val="00767C13"/>
    <w:rsid w:val="00767E9D"/>
    <w:rsid w:val="00770502"/>
    <w:rsid w:val="007705EA"/>
    <w:rsid w:val="00770947"/>
    <w:rsid w:val="00771291"/>
    <w:rsid w:val="00771617"/>
    <w:rsid w:val="0077199C"/>
    <w:rsid w:val="00771C61"/>
    <w:rsid w:val="007729DC"/>
    <w:rsid w:val="007736F4"/>
    <w:rsid w:val="007737A6"/>
    <w:rsid w:val="00773837"/>
    <w:rsid w:val="00774479"/>
    <w:rsid w:val="00774676"/>
    <w:rsid w:val="00774BFB"/>
    <w:rsid w:val="00775180"/>
    <w:rsid w:val="00776291"/>
    <w:rsid w:val="007766E9"/>
    <w:rsid w:val="00777ADF"/>
    <w:rsid w:val="00777C7D"/>
    <w:rsid w:val="0078035D"/>
    <w:rsid w:val="00780693"/>
    <w:rsid w:val="007806D8"/>
    <w:rsid w:val="00780B80"/>
    <w:rsid w:val="0078110D"/>
    <w:rsid w:val="0078117D"/>
    <w:rsid w:val="00782904"/>
    <w:rsid w:val="00782935"/>
    <w:rsid w:val="00782EEF"/>
    <w:rsid w:val="007832B0"/>
    <w:rsid w:val="007834FB"/>
    <w:rsid w:val="007836D7"/>
    <w:rsid w:val="00783A93"/>
    <w:rsid w:val="00783B95"/>
    <w:rsid w:val="00784235"/>
    <w:rsid w:val="00784456"/>
    <w:rsid w:val="0078445E"/>
    <w:rsid w:val="007847A4"/>
    <w:rsid w:val="00784DBF"/>
    <w:rsid w:val="00784E05"/>
    <w:rsid w:val="00785193"/>
    <w:rsid w:val="007856F4"/>
    <w:rsid w:val="00785E15"/>
    <w:rsid w:val="0078612A"/>
    <w:rsid w:val="00786C19"/>
    <w:rsid w:val="00787A42"/>
    <w:rsid w:val="00787D85"/>
    <w:rsid w:val="00790D28"/>
    <w:rsid w:val="00790FE4"/>
    <w:rsid w:val="007916A2"/>
    <w:rsid w:val="007917C0"/>
    <w:rsid w:val="00791A5C"/>
    <w:rsid w:val="0079248F"/>
    <w:rsid w:val="00792F3C"/>
    <w:rsid w:val="00792FAB"/>
    <w:rsid w:val="007938C8"/>
    <w:rsid w:val="00793B25"/>
    <w:rsid w:val="00793E30"/>
    <w:rsid w:val="007941B2"/>
    <w:rsid w:val="007944C0"/>
    <w:rsid w:val="007947B3"/>
    <w:rsid w:val="00794F09"/>
    <w:rsid w:val="00795778"/>
    <w:rsid w:val="00795A92"/>
    <w:rsid w:val="0079613F"/>
    <w:rsid w:val="00796961"/>
    <w:rsid w:val="007A0FA1"/>
    <w:rsid w:val="007A1161"/>
    <w:rsid w:val="007A22EF"/>
    <w:rsid w:val="007A2D43"/>
    <w:rsid w:val="007A2E3E"/>
    <w:rsid w:val="007A2F2E"/>
    <w:rsid w:val="007A307D"/>
    <w:rsid w:val="007A35D3"/>
    <w:rsid w:val="007A386D"/>
    <w:rsid w:val="007A3C0B"/>
    <w:rsid w:val="007A4501"/>
    <w:rsid w:val="007A46F3"/>
    <w:rsid w:val="007A599D"/>
    <w:rsid w:val="007A5C4A"/>
    <w:rsid w:val="007A5CFE"/>
    <w:rsid w:val="007A5EA2"/>
    <w:rsid w:val="007A62A5"/>
    <w:rsid w:val="007A639A"/>
    <w:rsid w:val="007A65CC"/>
    <w:rsid w:val="007A6677"/>
    <w:rsid w:val="007A66DB"/>
    <w:rsid w:val="007A6B67"/>
    <w:rsid w:val="007A6E40"/>
    <w:rsid w:val="007B02C8"/>
    <w:rsid w:val="007B0440"/>
    <w:rsid w:val="007B054A"/>
    <w:rsid w:val="007B0D90"/>
    <w:rsid w:val="007B0EC4"/>
    <w:rsid w:val="007B1493"/>
    <w:rsid w:val="007B1CAE"/>
    <w:rsid w:val="007B231E"/>
    <w:rsid w:val="007B250C"/>
    <w:rsid w:val="007B2610"/>
    <w:rsid w:val="007B2FC5"/>
    <w:rsid w:val="007B3169"/>
    <w:rsid w:val="007B339B"/>
    <w:rsid w:val="007B366F"/>
    <w:rsid w:val="007B37D5"/>
    <w:rsid w:val="007B3860"/>
    <w:rsid w:val="007B43D0"/>
    <w:rsid w:val="007B53CB"/>
    <w:rsid w:val="007B57BC"/>
    <w:rsid w:val="007B5985"/>
    <w:rsid w:val="007B5CB4"/>
    <w:rsid w:val="007B662A"/>
    <w:rsid w:val="007B6C17"/>
    <w:rsid w:val="007B6D20"/>
    <w:rsid w:val="007B73EB"/>
    <w:rsid w:val="007B784A"/>
    <w:rsid w:val="007B79D9"/>
    <w:rsid w:val="007B7ABC"/>
    <w:rsid w:val="007C0489"/>
    <w:rsid w:val="007C0FB6"/>
    <w:rsid w:val="007C1885"/>
    <w:rsid w:val="007C197F"/>
    <w:rsid w:val="007C1FC7"/>
    <w:rsid w:val="007C221B"/>
    <w:rsid w:val="007C22A0"/>
    <w:rsid w:val="007C269D"/>
    <w:rsid w:val="007C2946"/>
    <w:rsid w:val="007C29A4"/>
    <w:rsid w:val="007C2FA7"/>
    <w:rsid w:val="007C374B"/>
    <w:rsid w:val="007C4020"/>
    <w:rsid w:val="007C4C77"/>
    <w:rsid w:val="007C4EED"/>
    <w:rsid w:val="007C5A0F"/>
    <w:rsid w:val="007C5A25"/>
    <w:rsid w:val="007C602A"/>
    <w:rsid w:val="007C698A"/>
    <w:rsid w:val="007C73B3"/>
    <w:rsid w:val="007C7D27"/>
    <w:rsid w:val="007D046C"/>
    <w:rsid w:val="007D10BF"/>
    <w:rsid w:val="007D1166"/>
    <w:rsid w:val="007D1243"/>
    <w:rsid w:val="007D1BC4"/>
    <w:rsid w:val="007D24D9"/>
    <w:rsid w:val="007D2543"/>
    <w:rsid w:val="007D28D8"/>
    <w:rsid w:val="007D2E67"/>
    <w:rsid w:val="007D3BCC"/>
    <w:rsid w:val="007D3D91"/>
    <w:rsid w:val="007D3F88"/>
    <w:rsid w:val="007D4123"/>
    <w:rsid w:val="007D42DC"/>
    <w:rsid w:val="007D437B"/>
    <w:rsid w:val="007D50D6"/>
    <w:rsid w:val="007D6317"/>
    <w:rsid w:val="007D66A0"/>
    <w:rsid w:val="007D6981"/>
    <w:rsid w:val="007D6FF4"/>
    <w:rsid w:val="007D7397"/>
    <w:rsid w:val="007D7418"/>
    <w:rsid w:val="007D7CD0"/>
    <w:rsid w:val="007D7E52"/>
    <w:rsid w:val="007E02D9"/>
    <w:rsid w:val="007E02F2"/>
    <w:rsid w:val="007E0470"/>
    <w:rsid w:val="007E05C6"/>
    <w:rsid w:val="007E0C92"/>
    <w:rsid w:val="007E1026"/>
    <w:rsid w:val="007E1155"/>
    <w:rsid w:val="007E11F1"/>
    <w:rsid w:val="007E15BB"/>
    <w:rsid w:val="007E16FD"/>
    <w:rsid w:val="007E18E6"/>
    <w:rsid w:val="007E19B4"/>
    <w:rsid w:val="007E1B07"/>
    <w:rsid w:val="007E2096"/>
    <w:rsid w:val="007E20A6"/>
    <w:rsid w:val="007E24F3"/>
    <w:rsid w:val="007E2648"/>
    <w:rsid w:val="007E2906"/>
    <w:rsid w:val="007E2C3F"/>
    <w:rsid w:val="007E2D97"/>
    <w:rsid w:val="007E2F56"/>
    <w:rsid w:val="007E3234"/>
    <w:rsid w:val="007E3246"/>
    <w:rsid w:val="007E4150"/>
    <w:rsid w:val="007E4682"/>
    <w:rsid w:val="007E4C77"/>
    <w:rsid w:val="007E5232"/>
    <w:rsid w:val="007E548B"/>
    <w:rsid w:val="007E595A"/>
    <w:rsid w:val="007E5D49"/>
    <w:rsid w:val="007E6379"/>
    <w:rsid w:val="007E671C"/>
    <w:rsid w:val="007E7172"/>
    <w:rsid w:val="007E759F"/>
    <w:rsid w:val="007E7705"/>
    <w:rsid w:val="007E79DA"/>
    <w:rsid w:val="007E7D75"/>
    <w:rsid w:val="007F0021"/>
    <w:rsid w:val="007F0634"/>
    <w:rsid w:val="007F0A2B"/>
    <w:rsid w:val="007F0D4D"/>
    <w:rsid w:val="007F15AD"/>
    <w:rsid w:val="007F1B23"/>
    <w:rsid w:val="007F2BBD"/>
    <w:rsid w:val="007F3620"/>
    <w:rsid w:val="007F36E2"/>
    <w:rsid w:val="007F3BD8"/>
    <w:rsid w:val="007F3CE0"/>
    <w:rsid w:val="007F4025"/>
    <w:rsid w:val="007F4102"/>
    <w:rsid w:val="007F4344"/>
    <w:rsid w:val="007F435C"/>
    <w:rsid w:val="007F476A"/>
    <w:rsid w:val="007F55F4"/>
    <w:rsid w:val="007F56C5"/>
    <w:rsid w:val="007F5BA3"/>
    <w:rsid w:val="007F6396"/>
    <w:rsid w:val="007F63FA"/>
    <w:rsid w:val="007F67D2"/>
    <w:rsid w:val="007F68DD"/>
    <w:rsid w:val="007F761B"/>
    <w:rsid w:val="007F79EF"/>
    <w:rsid w:val="007F7B65"/>
    <w:rsid w:val="0080043D"/>
    <w:rsid w:val="0080074D"/>
    <w:rsid w:val="008007E0"/>
    <w:rsid w:val="00800CC9"/>
    <w:rsid w:val="00800F1C"/>
    <w:rsid w:val="00801241"/>
    <w:rsid w:val="00801BB9"/>
    <w:rsid w:val="00801C77"/>
    <w:rsid w:val="0080261D"/>
    <w:rsid w:val="00802626"/>
    <w:rsid w:val="008030FB"/>
    <w:rsid w:val="0080336C"/>
    <w:rsid w:val="00803919"/>
    <w:rsid w:val="00803A99"/>
    <w:rsid w:val="00803CBC"/>
    <w:rsid w:val="008040D4"/>
    <w:rsid w:val="008045E1"/>
    <w:rsid w:val="00804AD4"/>
    <w:rsid w:val="0080566B"/>
    <w:rsid w:val="00805886"/>
    <w:rsid w:val="0080614F"/>
    <w:rsid w:val="00806CF7"/>
    <w:rsid w:val="00807117"/>
    <w:rsid w:val="008077E7"/>
    <w:rsid w:val="008078B4"/>
    <w:rsid w:val="00807C5E"/>
    <w:rsid w:val="008104B8"/>
    <w:rsid w:val="00810855"/>
    <w:rsid w:val="008108C1"/>
    <w:rsid w:val="00810C00"/>
    <w:rsid w:val="00810FEE"/>
    <w:rsid w:val="008110A0"/>
    <w:rsid w:val="008110E5"/>
    <w:rsid w:val="0081180E"/>
    <w:rsid w:val="00811D26"/>
    <w:rsid w:val="008121A6"/>
    <w:rsid w:val="00812608"/>
    <w:rsid w:val="008129F8"/>
    <w:rsid w:val="00812AE8"/>
    <w:rsid w:val="00812BD1"/>
    <w:rsid w:val="0081335C"/>
    <w:rsid w:val="00813452"/>
    <w:rsid w:val="008139E7"/>
    <w:rsid w:val="00813B81"/>
    <w:rsid w:val="00813B8E"/>
    <w:rsid w:val="00813C82"/>
    <w:rsid w:val="0081464C"/>
    <w:rsid w:val="00815B3F"/>
    <w:rsid w:val="00815CFE"/>
    <w:rsid w:val="00815DBA"/>
    <w:rsid w:val="008163CE"/>
    <w:rsid w:val="00816DB6"/>
    <w:rsid w:val="00817005"/>
    <w:rsid w:val="00817078"/>
    <w:rsid w:val="008173D1"/>
    <w:rsid w:val="008175BD"/>
    <w:rsid w:val="00817946"/>
    <w:rsid w:val="00817ED9"/>
    <w:rsid w:val="00821092"/>
    <w:rsid w:val="0082152C"/>
    <w:rsid w:val="00821726"/>
    <w:rsid w:val="0082184D"/>
    <w:rsid w:val="00821891"/>
    <w:rsid w:val="00821943"/>
    <w:rsid w:val="00821FA0"/>
    <w:rsid w:val="00821FB8"/>
    <w:rsid w:val="008229BA"/>
    <w:rsid w:val="00822C8A"/>
    <w:rsid w:val="008243B4"/>
    <w:rsid w:val="00824F8D"/>
    <w:rsid w:val="00825424"/>
    <w:rsid w:val="00825EED"/>
    <w:rsid w:val="0082647E"/>
    <w:rsid w:val="00827C7A"/>
    <w:rsid w:val="00827E46"/>
    <w:rsid w:val="00830206"/>
    <w:rsid w:val="00830D55"/>
    <w:rsid w:val="00831032"/>
    <w:rsid w:val="00831173"/>
    <w:rsid w:val="008314FC"/>
    <w:rsid w:val="00832279"/>
    <w:rsid w:val="00832B44"/>
    <w:rsid w:val="00833567"/>
    <w:rsid w:val="008337E4"/>
    <w:rsid w:val="00833806"/>
    <w:rsid w:val="00833AE8"/>
    <w:rsid w:val="0083412B"/>
    <w:rsid w:val="00835625"/>
    <w:rsid w:val="008357A2"/>
    <w:rsid w:val="00835873"/>
    <w:rsid w:val="00835936"/>
    <w:rsid w:val="008359D1"/>
    <w:rsid w:val="0083652F"/>
    <w:rsid w:val="00836B3C"/>
    <w:rsid w:val="00836E0E"/>
    <w:rsid w:val="00837179"/>
    <w:rsid w:val="00837382"/>
    <w:rsid w:val="0083747B"/>
    <w:rsid w:val="00837C74"/>
    <w:rsid w:val="00837F3B"/>
    <w:rsid w:val="00840034"/>
    <w:rsid w:val="00840C39"/>
    <w:rsid w:val="008418E3"/>
    <w:rsid w:val="00841944"/>
    <w:rsid w:val="00841B6E"/>
    <w:rsid w:val="008421D3"/>
    <w:rsid w:val="0084243A"/>
    <w:rsid w:val="00842478"/>
    <w:rsid w:val="0084247E"/>
    <w:rsid w:val="00842A95"/>
    <w:rsid w:val="0084336D"/>
    <w:rsid w:val="0084342A"/>
    <w:rsid w:val="0084364B"/>
    <w:rsid w:val="0084374E"/>
    <w:rsid w:val="008437FA"/>
    <w:rsid w:val="008439D4"/>
    <w:rsid w:val="00844459"/>
    <w:rsid w:val="008444FB"/>
    <w:rsid w:val="008448E6"/>
    <w:rsid w:val="00844C0E"/>
    <w:rsid w:val="00845233"/>
    <w:rsid w:val="00845B61"/>
    <w:rsid w:val="008460F9"/>
    <w:rsid w:val="00846621"/>
    <w:rsid w:val="008469AA"/>
    <w:rsid w:val="00846E96"/>
    <w:rsid w:val="00846EAA"/>
    <w:rsid w:val="0084739E"/>
    <w:rsid w:val="008474F8"/>
    <w:rsid w:val="0084752F"/>
    <w:rsid w:val="00847B62"/>
    <w:rsid w:val="00847C5A"/>
    <w:rsid w:val="00850A90"/>
    <w:rsid w:val="00850EDF"/>
    <w:rsid w:val="00851BD1"/>
    <w:rsid w:val="00851ECC"/>
    <w:rsid w:val="00851EFA"/>
    <w:rsid w:val="00852B1D"/>
    <w:rsid w:val="00853062"/>
    <w:rsid w:val="008534D4"/>
    <w:rsid w:val="00853A75"/>
    <w:rsid w:val="008544CC"/>
    <w:rsid w:val="008544FC"/>
    <w:rsid w:val="0085452E"/>
    <w:rsid w:val="00854629"/>
    <w:rsid w:val="00854C9F"/>
    <w:rsid w:val="0085519E"/>
    <w:rsid w:val="00855529"/>
    <w:rsid w:val="00855E19"/>
    <w:rsid w:val="00855E24"/>
    <w:rsid w:val="00855F47"/>
    <w:rsid w:val="00856615"/>
    <w:rsid w:val="00856B2E"/>
    <w:rsid w:val="00857164"/>
    <w:rsid w:val="00857574"/>
    <w:rsid w:val="008577A6"/>
    <w:rsid w:val="00857B71"/>
    <w:rsid w:val="00857E14"/>
    <w:rsid w:val="0086048D"/>
    <w:rsid w:val="00860952"/>
    <w:rsid w:val="00860C20"/>
    <w:rsid w:val="00861D72"/>
    <w:rsid w:val="008621CC"/>
    <w:rsid w:val="008622EE"/>
    <w:rsid w:val="0086230D"/>
    <w:rsid w:val="00862946"/>
    <w:rsid w:val="00862B11"/>
    <w:rsid w:val="00862C42"/>
    <w:rsid w:val="00863264"/>
    <w:rsid w:val="00864235"/>
    <w:rsid w:val="008648EA"/>
    <w:rsid w:val="008654B5"/>
    <w:rsid w:val="00865AB6"/>
    <w:rsid w:val="008662C5"/>
    <w:rsid w:val="00866615"/>
    <w:rsid w:val="00866E3E"/>
    <w:rsid w:val="00867617"/>
    <w:rsid w:val="00867AA8"/>
    <w:rsid w:val="00867CEC"/>
    <w:rsid w:val="00867E41"/>
    <w:rsid w:val="008704A1"/>
    <w:rsid w:val="0087150F"/>
    <w:rsid w:val="00871566"/>
    <w:rsid w:val="00871BF8"/>
    <w:rsid w:val="008721E9"/>
    <w:rsid w:val="008724DB"/>
    <w:rsid w:val="0087260B"/>
    <w:rsid w:val="00872719"/>
    <w:rsid w:val="008727D8"/>
    <w:rsid w:val="00872C64"/>
    <w:rsid w:val="00872C6D"/>
    <w:rsid w:val="00872E3D"/>
    <w:rsid w:val="00873849"/>
    <w:rsid w:val="00873E35"/>
    <w:rsid w:val="00874409"/>
    <w:rsid w:val="0087472E"/>
    <w:rsid w:val="00874B8A"/>
    <w:rsid w:val="00874EAC"/>
    <w:rsid w:val="008752FD"/>
    <w:rsid w:val="00875BFF"/>
    <w:rsid w:val="008767DE"/>
    <w:rsid w:val="00876CC1"/>
    <w:rsid w:val="00877264"/>
    <w:rsid w:val="008772A2"/>
    <w:rsid w:val="00877F88"/>
    <w:rsid w:val="0088014E"/>
    <w:rsid w:val="008807D2"/>
    <w:rsid w:val="00880BEC"/>
    <w:rsid w:val="00880C2D"/>
    <w:rsid w:val="00881456"/>
    <w:rsid w:val="00882647"/>
    <w:rsid w:val="00882755"/>
    <w:rsid w:val="008834D1"/>
    <w:rsid w:val="00884779"/>
    <w:rsid w:val="00884798"/>
    <w:rsid w:val="008849D0"/>
    <w:rsid w:val="00884FF7"/>
    <w:rsid w:val="00886373"/>
    <w:rsid w:val="0088669D"/>
    <w:rsid w:val="00886EE9"/>
    <w:rsid w:val="008870F4"/>
    <w:rsid w:val="00887AFE"/>
    <w:rsid w:val="00887C6C"/>
    <w:rsid w:val="00890914"/>
    <w:rsid w:val="00890A91"/>
    <w:rsid w:val="0089164D"/>
    <w:rsid w:val="00891953"/>
    <w:rsid w:val="00891BA7"/>
    <w:rsid w:val="008925D4"/>
    <w:rsid w:val="00892682"/>
    <w:rsid w:val="008927A0"/>
    <w:rsid w:val="00894301"/>
    <w:rsid w:val="008947E0"/>
    <w:rsid w:val="00894CAE"/>
    <w:rsid w:val="00894ED2"/>
    <w:rsid w:val="00895429"/>
    <w:rsid w:val="00895E7C"/>
    <w:rsid w:val="0089629B"/>
    <w:rsid w:val="008964E1"/>
    <w:rsid w:val="008964E6"/>
    <w:rsid w:val="00896AEE"/>
    <w:rsid w:val="00896F10"/>
    <w:rsid w:val="00896F43"/>
    <w:rsid w:val="008970D2"/>
    <w:rsid w:val="00897150"/>
    <w:rsid w:val="00897396"/>
    <w:rsid w:val="00897655"/>
    <w:rsid w:val="00897A85"/>
    <w:rsid w:val="00897E02"/>
    <w:rsid w:val="00897EC0"/>
    <w:rsid w:val="00897FD5"/>
    <w:rsid w:val="008A060E"/>
    <w:rsid w:val="008A0684"/>
    <w:rsid w:val="008A06AA"/>
    <w:rsid w:val="008A0723"/>
    <w:rsid w:val="008A080C"/>
    <w:rsid w:val="008A08EC"/>
    <w:rsid w:val="008A1650"/>
    <w:rsid w:val="008A1669"/>
    <w:rsid w:val="008A17A2"/>
    <w:rsid w:val="008A1BE2"/>
    <w:rsid w:val="008A219B"/>
    <w:rsid w:val="008A27EC"/>
    <w:rsid w:val="008A2F3A"/>
    <w:rsid w:val="008A34BE"/>
    <w:rsid w:val="008A37B1"/>
    <w:rsid w:val="008A4D07"/>
    <w:rsid w:val="008A4EED"/>
    <w:rsid w:val="008A559D"/>
    <w:rsid w:val="008A58DC"/>
    <w:rsid w:val="008A594A"/>
    <w:rsid w:val="008A5D91"/>
    <w:rsid w:val="008A70B5"/>
    <w:rsid w:val="008A712F"/>
    <w:rsid w:val="008A7AF9"/>
    <w:rsid w:val="008B0006"/>
    <w:rsid w:val="008B044F"/>
    <w:rsid w:val="008B0673"/>
    <w:rsid w:val="008B094A"/>
    <w:rsid w:val="008B0A6F"/>
    <w:rsid w:val="008B25E8"/>
    <w:rsid w:val="008B3281"/>
    <w:rsid w:val="008B3641"/>
    <w:rsid w:val="008B3A40"/>
    <w:rsid w:val="008B3E02"/>
    <w:rsid w:val="008B434E"/>
    <w:rsid w:val="008B46F2"/>
    <w:rsid w:val="008B519D"/>
    <w:rsid w:val="008B5344"/>
    <w:rsid w:val="008B5381"/>
    <w:rsid w:val="008B5C28"/>
    <w:rsid w:val="008B5F04"/>
    <w:rsid w:val="008B625E"/>
    <w:rsid w:val="008B677D"/>
    <w:rsid w:val="008B6899"/>
    <w:rsid w:val="008B6D0F"/>
    <w:rsid w:val="008B6DD7"/>
    <w:rsid w:val="008B72DB"/>
    <w:rsid w:val="008B7CB5"/>
    <w:rsid w:val="008C0534"/>
    <w:rsid w:val="008C0793"/>
    <w:rsid w:val="008C0C6C"/>
    <w:rsid w:val="008C15D1"/>
    <w:rsid w:val="008C182F"/>
    <w:rsid w:val="008C1FA1"/>
    <w:rsid w:val="008C24BB"/>
    <w:rsid w:val="008C27F9"/>
    <w:rsid w:val="008C2955"/>
    <w:rsid w:val="008C2D5B"/>
    <w:rsid w:val="008C338E"/>
    <w:rsid w:val="008C357A"/>
    <w:rsid w:val="008C3F3A"/>
    <w:rsid w:val="008C4224"/>
    <w:rsid w:val="008C4285"/>
    <w:rsid w:val="008C47CA"/>
    <w:rsid w:val="008C4AD7"/>
    <w:rsid w:val="008C4BA0"/>
    <w:rsid w:val="008C4E4D"/>
    <w:rsid w:val="008C5580"/>
    <w:rsid w:val="008C582E"/>
    <w:rsid w:val="008C5C7C"/>
    <w:rsid w:val="008C6478"/>
    <w:rsid w:val="008C672A"/>
    <w:rsid w:val="008C6DBB"/>
    <w:rsid w:val="008C6F1D"/>
    <w:rsid w:val="008C7996"/>
    <w:rsid w:val="008C7AB2"/>
    <w:rsid w:val="008C7D00"/>
    <w:rsid w:val="008D05AA"/>
    <w:rsid w:val="008D0636"/>
    <w:rsid w:val="008D0EA8"/>
    <w:rsid w:val="008D21BA"/>
    <w:rsid w:val="008D2593"/>
    <w:rsid w:val="008D356F"/>
    <w:rsid w:val="008D3D67"/>
    <w:rsid w:val="008D3FB5"/>
    <w:rsid w:val="008D408E"/>
    <w:rsid w:val="008D4330"/>
    <w:rsid w:val="008D4370"/>
    <w:rsid w:val="008D49FA"/>
    <w:rsid w:val="008D4CB3"/>
    <w:rsid w:val="008D4DCA"/>
    <w:rsid w:val="008D54B3"/>
    <w:rsid w:val="008D5590"/>
    <w:rsid w:val="008D5B8D"/>
    <w:rsid w:val="008D6346"/>
    <w:rsid w:val="008D646A"/>
    <w:rsid w:val="008D7885"/>
    <w:rsid w:val="008E010B"/>
    <w:rsid w:val="008E0EC6"/>
    <w:rsid w:val="008E130C"/>
    <w:rsid w:val="008E1B9A"/>
    <w:rsid w:val="008E1C62"/>
    <w:rsid w:val="008E1F40"/>
    <w:rsid w:val="008E2B6D"/>
    <w:rsid w:val="008E2B7D"/>
    <w:rsid w:val="008E37CA"/>
    <w:rsid w:val="008E4819"/>
    <w:rsid w:val="008E4F4D"/>
    <w:rsid w:val="008E53C9"/>
    <w:rsid w:val="008E5422"/>
    <w:rsid w:val="008E5C0E"/>
    <w:rsid w:val="008E5C3B"/>
    <w:rsid w:val="008E5DD1"/>
    <w:rsid w:val="008E643E"/>
    <w:rsid w:val="008E691D"/>
    <w:rsid w:val="008E6BF5"/>
    <w:rsid w:val="008E6CD4"/>
    <w:rsid w:val="008E6D28"/>
    <w:rsid w:val="008E7486"/>
    <w:rsid w:val="008E7710"/>
    <w:rsid w:val="008E7D86"/>
    <w:rsid w:val="008F0059"/>
    <w:rsid w:val="008F00B7"/>
    <w:rsid w:val="008F032C"/>
    <w:rsid w:val="008F118A"/>
    <w:rsid w:val="008F1209"/>
    <w:rsid w:val="008F196B"/>
    <w:rsid w:val="008F1A7A"/>
    <w:rsid w:val="008F1E49"/>
    <w:rsid w:val="008F20DB"/>
    <w:rsid w:val="008F3324"/>
    <w:rsid w:val="008F3504"/>
    <w:rsid w:val="008F4BC9"/>
    <w:rsid w:val="008F4E08"/>
    <w:rsid w:val="008F4F07"/>
    <w:rsid w:val="008F502F"/>
    <w:rsid w:val="008F50C5"/>
    <w:rsid w:val="008F66CE"/>
    <w:rsid w:val="008F6C3B"/>
    <w:rsid w:val="008F7067"/>
    <w:rsid w:val="008F7567"/>
    <w:rsid w:val="008F75A0"/>
    <w:rsid w:val="008F79DC"/>
    <w:rsid w:val="008F7E93"/>
    <w:rsid w:val="00900648"/>
    <w:rsid w:val="00900AC5"/>
    <w:rsid w:val="00901292"/>
    <w:rsid w:val="009014DB"/>
    <w:rsid w:val="00901DBF"/>
    <w:rsid w:val="00901EE7"/>
    <w:rsid w:val="0090219C"/>
    <w:rsid w:val="00902808"/>
    <w:rsid w:val="00902FA2"/>
    <w:rsid w:val="00903640"/>
    <w:rsid w:val="009038AB"/>
    <w:rsid w:val="00903931"/>
    <w:rsid w:val="0090458F"/>
    <w:rsid w:val="0090467E"/>
    <w:rsid w:val="00904A8F"/>
    <w:rsid w:val="009054AE"/>
    <w:rsid w:val="00906480"/>
    <w:rsid w:val="009065AB"/>
    <w:rsid w:val="00907B94"/>
    <w:rsid w:val="0091088D"/>
    <w:rsid w:val="009108ED"/>
    <w:rsid w:val="00911C9F"/>
    <w:rsid w:val="00911E06"/>
    <w:rsid w:val="0091275E"/>
    <w:rsid w:val="00912BE1"/>
    <w:rsid w:val="00912DCA"/>
    <w:rsid w:val="00912E48"/>
    <w:rsid w:val="00912F49"/>
    <w:rsid w:val="00912F75"/>
    <w:rsid w:val="009131D4"/>
    <w:rsid w:val="009135E0"/>
    <w:rsid w:val="00913FB5"/>
    <w:rsid w:val="0091443A"/>
    <w:rsid w:val="00914494"/>
    <w:rsid w:val="009145A2"/>
    <w:rsid w:val="00914A3A"/>
    <w:rsid w:val="009153F8"/>
    <w:rsid w:val="00916730"/>
    <w:rsid w:val="00916E02"/>
    <w:rsid w:val="009170F0"/>
    <w:rsid w:val="0091729D"/>
    <w:rsid w:val="00917481"/>
    <w:rsid w:val="00917A88"/>
    <w:rsid w:val="00920F4A"/>
    <w:rsid w:val="009214BF"/>
    <w:rsid w:val="00921D71"/>
    <w:rsid w:val="009225A8"/>
    <w:rsid w:val="00923077"/>
    <w:rsid w:val="009230E4"/>
    <w:rsid w:val="009231BD"/>
    <w:rsid w:val="00924635"/>
    <w:rsid w:val="0092463A"/>
    <w:rsid w:val="009247E9"/>
    <w:rsid w:val="00924CBC"/>
    <w:rsid w:val="0092508B"/>
    <w:rsid w:val="00925219"/>
    <w:rsid w:val="0092569A"/>
    <w:rsid w:val="00925807"/>
    <w:rsid w:val="00925852"/>
    <w:rsid w:val="009258B1"/>
    <w:rsid w:val="00925CBB"/>
    <w:rsid w:val="00925D78"/>
    <w:rsid w:val="00925E94"/>
    <w:rsid w:val="009265E6"/>
    <w:rsid w:val="0092722D"/>
    <w:rsid w:val="009272AC"/>
    <w:rsid w:val="009276AC"/>
    <w:rsid w:val="009276B0"/>
    <w:rsid w:val="009279C2"/>
    <w:rsid w:val="00930299"/>
    <w:rsid w:val="00931438"/>
    <w:rsid w:val="00931A50"/>
    <w:rsid w:val="0093235C"/>
    <w:rsid w:val="0093361B"/>
    <w:rsid w:val="00934862"/>
    <w:rsid w:val="00934CC2"/>
    <w:rsid w:val="00935415"/>
    <w:rsid w:val="009355AB"/>
    <w:rsid w:val="009358DC"/>
    <w:rsid w:val="00935EDE"/>
    <w:rsid w:val="0093662C"/>
    <w:rsid w:val="00936768"/>
    <w:rsid w:val="009368E0"/>
    <w:rsid w:val="009379A4"/>
    <w:rsid w:val="009405CF"/>
    <w:rsid w:val="00940F81"/>
    <w:rsid w:val="009413B3"/>
    <w:rsid w:val="00941434"/>
    <w:rsid w:val="009427C5"/>
    <w:rsid w:val="009428A2"/>
    <w:rsid w:val="00942C47"/>
    <w:rsid w:val="00943149"/>
    <w:rsid w:val="00943540"/>
    <w:rsid w:val="0094360E"/>
    <w:rsid w:val="00944BD1"/>
    <w:rsid w:val="00944C7F"/>
    <w:rsid w:val="00944F00"/>
    <w:rsid w:val="00944F99"/>
    <w:rsid w:val="0094542B"/>
    <w:rsid w:val="009457EE"/>
    <w:rsid w:val="0094583B"/>
    <w:rsid w:val="00945CC0"/>
    <w:rsid w:val="00946336"/>
    <w:rsid w:val="009466D9"/>
    <w:rsid w:val="00946E72"/>
    <w:rsid w:val="00947272"/>
    <w:rsid w:val="009475CD"/>
    <w:rsid w:val="00947D55"/>
    <w:rsid w:val="0095014B"/>
    <w:rsid w:val="009501EF"/>
    <w:rsid w:val="009502ED"/>
    <w:rsid w:val="009506E5"/>
    <w:rsid w:val="00950A96"/>
    <w:rsid w:val="009510C2"/>
    <w:rsid w:val="0095153A"/>
    <w:rsid w:val="009515DC"/>
    <w:rsid w:val="0095164B"/>
    <w:rsid w:val="009517FE"/>
    <w:rsid w:val="0095280D"/>
    <w:rsid w:val="00952C7A"/>
    <w:rsid w:val="00952DB5"/>
    <w:rsid w:val="00952E3E"/>
    <w:rsid w:val="009532D9"/>
    <w:rsid w:val="00953D32"/>
    <w:rsid w:val="009555D4"/>
    <w:rsid w:val="009566F5"/>
    <w:rsid w:val="00956942"/>
    <w:rsid w:val="00956BE4"/>
    <w:rsid w:val="009619F4"/>
    <w:rsid w:val="00961B47"/>
    <w:rsid w:val="00961B83"/>
    <w:rsid w:val="00961D77"/>
    <w:rsid w:val="00962D0A"/>
    <w:rsid w:val="00962DA3"/>
    <w:rsid w:val="009631F0"/>
    <w:rsid w:val="00963588"/>
    <w:rsid w:val="00963A2C"/>
    <w:rsid w:val="009649D2"/>
    <w:rsid w:val="00964E9A"/>
    <w:rsid w:val="009658A8"/>
    <w:rsid w:val="00965D43"/>
    <w:rsid w:val="00965D4A"/>
    <w:rsid w:val="00965D5A"/>
    <w:rsid w:val="0096621A"/>
    <w:rsid w:val="009662AF"/>
    <w:rsid w:val="00966397"/>
    <w:rsid w:val="00966617"/>
    <w:rsid w:val="00967341"/>
    <w:rsid w:val="00967F36"/>
    <w:rsid w:val="0097008E"/>
    <w:rsid w:val="009704C8"/>
    <w:rsid w:val="00970F53"/>
    <w:rsid w:val="00970F69"/>
    <w:rsid w:val="009715A5"/>
    <w:rsid w:val="00971634"/>
    <w:rsid w:val="0097163F"/>
    <w:rsid w:val="00971653"/>
    <w:rsid w:val="00971771"/>
    <w:rsid w:val="009718EB"/>
    <w:rsid w:val="00971A22"/>
    <w:rsid w:val="0097222A"/>
    <w:rsid w:val="00972611"/>
    <w:rsid w:val="00972B25"/>
    <w:rsid w:val="00972B3D"/>
    <w:rsid w:val="009736F1"/>
    <w:rsid w:val="00973FDF"/>
    <w:rsid w:val="00974239"/>
    <w:rsid w:val="00974290"/>
    <w:rsid w:val="009745F3"/>
    <w:rsid w:val="00974EB6"/>
    <w:rsid w:val="009750C7"/>
    <w:rsid w:val="0097570D"/>
    <w:rsid w:val="00975A56"/>
    <w:rsid w:val="00976178"/>
    <w:rsid w:val="00976290"/>
    <w:rsid w:val="00977659"/>
    <w:rsid w:val="0098024A"/>
    <w:rsid w:val="009805C2"/>
    <w:rsid w:val="00980743"/>
    <w:rsid w:val="00980A07"/>
    <w:rsid w:val="00980BBE"/>
    <w:rsid w:val="00980C91"/>
    <w:rsid w:val="0098117D"/>
    <w:rsid w:val="009826C6"/>
    <w:rsid w:val="009830C4"/>
    <w:rsid w:val="009839D1"/>
    <w:rsid w:val="009842C2"/>
    <w:rsid w:val="009846F3"/>
    <w:rsid w:val="00984ED5"/>
    <w:rsid w:val="009855F8"/>
    <w:rsid w:val="00985631"/>
    <w:rsid w:val="00985BA6"/>
    <w:rsid w:val="00985D3D"/>
    <w:rsid w:val="0098636D"/>
    <w:rsid w:val="00986519"/>
    <w:rsid w:val="0098748D"/>
    <w:rsid w:val="0098761A"/>
    <w:rsid w:val="00987CBD"/>
    <w:rsid w:val="00987F97"/>
    <w:rsid w:val="009906A7"/>
    <w:rsid w:val="00990CC1"/>
    <w:rsid w:val="00991120"/>
    <w:rsid w:val="009911DE"/>
    <w:rsid w:val="0099170A"/>
    <w:rsid w:val="009925BA"/>
    <w:rsid w:val="009926EB"/>
    <w:rsid w:val="00992CFC"/>
    <w:rsid w:val="0099403A"/>
    <w:rsid w:val="00994099"/>
    <w:rsid w:val="0099433A"/>
    <w:rsid w:val="009947DE"/>
    <w:rsid w:val="00994F53"/>
    <w:rsid w:val="0099592A"/>
    <w:rsid w:val="00995CB3"/>
    <w:rsid w:val="00995D93"/>
    <w:rsid w:val="00996CCD"/>
    <w:rsid w:val="00997102"/>
    <w:rsid w:val="00997271"/>
    <w:rsid w:val="00997ECA"/>
    <w:rsid w:val="009A0631"/>
    <w:rsid w:val="009A06D8"/>
    <w:rsid w:val="009A0A7A"/>
    <w:rsid w:val="009A0EF6"/>
    <w:rsid w:val="009A1CF9"/>
    <w:rsid w:val="009A25B9"/>
    <w:rsid w:val="009A2AA9"/>
    <w:rsid w:val="009A2D84"/>
    <w:rsid w:val="009A2F75"/>
    <w:rsid w:val="009A351B"/>
    <w:rsid w:val="009A3B4E"/>
    <w:rsid w:val="009A5792"/>
    <w:rsid w:val="009A582A"/>
    <w:rsid w:val="009A6679"/>
    <w:rsid w:val="009A7368"/>
    <w:rsid w:val="009A7636"/>
    <w:rsid w:val="009A7B8A"/>
    <w:rsid w:val="009B0206"/>
    <w:rsid w:val="009B090E"/>
    <w:rsid w:val="009B0A96"/>
    <w:rsid w:val="009B0E52"/>
    <w:rsid w:val="009B113B"/>
    <w:rsid w:val="009B127E"/>
    <w:rsid w:val="009B1B5E"/>
    <w:rsid w:val="009B1FA6"/>
    <w:rsid w:val="009B27EB"/>
    <w:rsid w:val="009B2E17"/>
    <w:rsid w:val="009B2F2F"/>
    <w:rsid w:val="009B3222"/>
    <w:rsid w:val="009B401C"/>
    <w:rsid w:val="009B4801"/>
    <w:rsid w:val="009B4F57"/>
    <w:rsid w:val="009B54C5"/>
    <w:rsid w:val="009B61CF"/>
    <w:rsid w:val="009B61FF"/>
    <w:rsid w:val="009B69E9"/>
    <w:rsid w:val="009B6C0C"/>
    <w:rsid w:val="009B7448"/>
    <w:rsid w:val="009B7839"/>
    <w:rsid w:val="009B7C99"/>
    <w:rsid w:val="009B7E1A"/>
    <w:rsid w:val="009C0162"/>
    <w:rsid w:val="009C05EE"/>
    <w:rsid w:val="009C05FF"/>
    <w:rsid w:val="009C08EC"/>
    <w:rsid w:val="009C0D95"/>
    <w:rsid w:val="009C0F3C"/>
    <w:rsid w:val="009C14D7"/>
    <w:rsid w:val="009C1C59"/>
    <w:rsid w:val="009C1D0A"/>
    <w:rsid w:val="009C2319"/>
    <w:rsid w:val="009C2CAF"/>
    <w:rsid w:val="009C2F43"/>
    <w:rsid w:val="009C3306"/>
    <w:rsid w:val="009C345F"/>
    <w:rsid w:val="009C35BF"/>
    <w:rsid w:val="009C3972"/>
    <w:rsid w:val="009C3A27"/>
    <w:rsid w:val="009C3AE8"/>
    <w:rsid w:val="009C3D97"/>
    <w:rsid w:val="009C3E4B"/>
    <w:rsid w:val="009C3ECD"/>
    <w:rsid w:val="009C40EF"/>
    <w:rsid w:val="009C4133"/>
    <w:rsid w:val="009C48A5"/>
    <w:rsid w:val="009C4A1E"/>
    <w:rsid w:val="009C5342"/>
    <w:rsid w:val="009C58AD"/>
    <w:rsid w:val="009C630D"/>
    <w:rsid w:val="009C68C3"/>
    <w:rsid w:val="009C6C6A"/>
    <w:rsid w:val="009C773E"/>
    <w:rsid w:val="009C77C7"/>
    <w:rsid w:val="009D053A"/>
    <w:rsid w:val="009D0CF4"/>
    <w:rsid w:val="009D1680"/>
    <w:rsid w:val="009D27CD"/>
    <w:rsid w:val="009D2A46"/>
    <w:rsid w:val="009D32BB"/>
    <w:rsid w:val="009D4114"/>
    <w:rsid w:val="009D4493"/>
    <w:rsid w:val="009D47B3"/>
    <w:rsid w:val="009D48C2"/>
    <w:rsid w:val="009D4939"/>
    <w:rsid w:val="009D5702"/>
    <w:rsid w:val="009D5B5D"/>
    <w:rsid w:val="009D634F"/>
    <w:rsid w:val="009D66FC"/>
    <w:rsid w:val="009D6811"/>
    <w:rsid w:val="009D6939"/>
    <w:rsid w:val="009D702D"/>
    <w:rsid w:val="009D7188"/>
    <w:rsid w:val="009D74C3"/>
    <w:rsid w:val="009D7F87"/>
    <w:rsid w:val="009E0536"/>
    <w:rsid w:val="009E0FEE"/>
    <w:rsid w:val="009E1D74"/>
    <w:rsid w:val="009E2AA6"/>
    <w:rsid w:val="009E2E5F"/>
    <w:rsid w:val="009E3509"/>
    <w:rsid w:val="009E3667"/>
    <w:rsid w:val="009E3737"/>
    <w:rsid w:val="009E3BCC"/>
    <w:rsid w:val="009E3E6C"/>
    <w:rsid w:val="009E40B8"/>
    <w:rsid w:val="009E4395"/>
    <w:rsid w:val="009E4677"/>
    <w:rsid w:val="009E4BB4"/>
    <w:rsid w:val="009E4CC2"/>
    <w:rsid w:val="009E4F6B"/>
    <w:rsid w:val="009E53C7"/>
    <w:rsid w:val="009E5769"/>
    <w:rsid w:val="009E5912"/>
    <w:rsid w:val="009E5A07"/>
    <w:rsid w:val="009E5D14"/>
    <w:rsid w:val="009E5DAD"/>
    <w:rsid w:val="009E5E10"/>
    <w:rsid w:val="009E5E40"/>
    <w:rsid w:val="009E6BCF"/>
    <w:rsid w:val="009E6D71"/>
    <w:rsid w:val="009E70E9"/>
    <w:rsid w:val="009E715A"/>
    <w:rsid w:val="009E7558"/>
    <w:rsid w:val="009F0176"/>
    <w:rsid w:val="009F1227"/>
    <w:rsid w:val="009F1482"/>
    <w:rsid w:val="009F1573"/>
    <w:rsid w:val="009F1BEE"/>
    <w:rsid w:val="009F22EF"/>
    <w:rsid w:val="009F27FD"/>
    <w:rsid w:val="009F2E38"/>
    <w:rsid w:val="009F2F35"/>
    <w:rsid w:val="009F3A41"/>
    <w:rsid w:val="009F3D90"/>
    <w:rsid w:val="009F3DBE"/>
    <w:rsid w:val="009F48F4"/>
    <w:rsid w:val="009F4DB1"/>
    <w:rsid w:val="009F50D0"/>
    <w:rsid w:val="009F54DC"/>
    <w:rsid w:val="009F5558"/>
    <w:rsid w:val="009F5D43"/>
    <w:rsid w:val="009F5E45"/>
    <w:rsid w:val="009F5F70"/>
    <w:rsid w:val="009F5FA7"/>
    <w:rsid w:val="009F62E3"/>
    <w:rsid w:val="009F65FA"/>
    <w:rsid w:val="009F7079"/>
    <w:rsid w:val="009F7391"/>
    <w:rsid w:val="009F744E"/>
    <w:rsid w:val="009F7547"/>
    <w:rsid w:val="009F757C"/>
    <w:rsid w:val="00A002F2"/>
    <w:rsid w:val="00A00330"/>
    <w:rsid w:val="00A007EF"/>
    <w:rsid w:val="00A01524"/>
    <w:rsid w:val="00A0269C"/>
    <w:rsid w:val="00A02A86"/>
    <w:rsid w:val="00A02CBE"/>
    <w:rsid w:val="00A030A4"/>
    <w:rsid w:val="00A03529"/>
    <w:rsid w:val="00A039B2"/>
    <w:rsid w:val="00A03CB0"/>
    <w:rsid w:val="00A03D8A"/>
    <w:rsid w:val="00A04403"/>
    <w:rsid w:val="00A04A3C"/>
    <w:rsid w:val="00A04AD1"/>
    <w:rsid w:val="00A04EF6"/>
    <w:rsid w:val="00A05726"/>
    <w:rsid w:val="00A05D10"/>
    <w:rsid w:val="00A05EE9"/>
    <w:rsid w:val="00A05F4D"/>
    <w:rsid w:val="00A063AB"/>
    <w:rsid w:val="00A06445"/>
    <w:rsid w:val="00A06510"/>
    <w:rsid w:val="00A06521"/>
    <w:rsid w:val="00A06551"/>
    <w:rsid w:val="00A06784"/>
    <w:rsid w:val="00A06D53"/>
    <w:rsid w:val="00A06DCA"/>
    <w:rsid w:val="00A06F48"/>
    <w:rsid w:val="00A07567"/>
    <w:rsid w:val="00A104EF"/>
    <w:rsid w:val="00A10B5B"/>
    <w:rsid w:val="00A1106B"/>
    <w:rsid w:val="00A115CD"/>
    <w:rsid w:val="00A11730"/>
    <w:rsid w:val="00A11A41"/>
    <w:rsid w:val="00A11E0D"/>
    <w:rsid w:val="00A12280"/>
    <w:rsid w:val="00A12552"/>
    <w:rsid w:val="00A127CE"/>
    <w:rsid w:val="00A1284E"/>
    <w:rsid w:val="00A12FCE"/>
    <w:rsid w:val="00A1445B"/>
    <w:rsid w:val="00A14763"/>
    <w:rsid w:val="00A14781"/>
    <w:rsid w:val="00A14E35"/>
    <w:rsid w:val="00A15212"/>
    <w:rsid w:val="00A15471"/>
    <w:rsid w:val="00A155FB"/>
    <w:rsid w:val="00A16335"/>
    <w:rsid w:val="00A163F8"/>
    <w:rsid w:val="00A17203"/>
    <w:rsid w:val="00A174ED"/>
    <w:rsid w:val="00A20317"/>
    <w:rsid w:val="00A205DC"/>
    <w:rsid w:val="00A2128A"/>
    <w:rsid w:val="00A215A3"/>
    <w:rsid w:val="00A2195D"/>
    <w:rsid w:val="00A21BC5"/>
    <w:rsid w:val="00A222B5"/>
    <w:rsid w:val="00A22950"/>
    <w:rsid w:val="00A22CB3"/>
    <w:rsid w:val="00A23669"/>
    <w:rsid w:val="00A23EDE"/>
    <w:rsid w:val="00A23FAE"/>
    <w:rsid w:val="00A24894"/>
    <w:rsid w:val="00A24CE1"/>
    <w:rsid w:val="00A24DFB"/>
    <w:rsid w:val="00A24F08"/>
    <w:rsid w:val="00A25755"/>
    <w:rsid w:val="00A25EB5"/>
    <w:rsid w:val="00A26ABF"/>
    <w:rsid w:val="00A273DB"/>
    <w:rsid w:val="00A278ED"/>
    <w:rsid w:val="00A3035A"/>
    <w:rsid w:val="00A30926"/>
    <w:rsid w:val="00A30FA6"/>
    <w:rsid w:val="00A31157"/>
    <w:rsid w:val="00A3129F"/>
    <w:rsid w:val="00A32863"/>
    <w:rsid w:val="00A32C87"/>
    <w:rsid w:val="00A332B8"/>
    <w:rsid w:val="00A3365F"/>
    <w:rsid w:val="00A33EEE"/>
    <w:rsid w:val="00A33F7E"/>
    <w:rsid w:val="00A3494E"/>
    <w:rsid w:val="00A34BC3"/>
    <w:rsid w:val="00A357D6"/>
    <w:rsid w:val="00A35CC6"/>
    <w:rsid w:val="00A35E01"/>
    <w:rsid w:val="00A361FD"/>
    <w:rsid w:val="00A363F5"/>
    <w:rsid w:val="00A3641F"/>
    <w:rsid w:val="00A3695A"/>
    <w:rsid w:val="00A36A62"/>
    <w:rsid w:val="00A371DD"/>
    <w:rsid w:val="00A372E4"/>
    <w:rsid w:val="00A37526"/>
    <w:rsid w:val="00A4040A"/>
    <w:rsid w:val="00A40D1F"/>
    <w:rsid w:val="00A42358"/>
    <w:rsid w:val="00A43312"/>
    <w:rsid w:val="00A436C3"/>
    <w:rsid w:val="00A44199"/>
    <w:rsid w:val="00A4472D"/>
    <w:rsid w:val="00A44C36"/>
    <w:rsid w:val="00A44DC4"/>
    <w:rsid w:val="00A44F13"/>
    <w:rsid w:val="00A45205"/>
    <w:rsid w:val="00A4525C"/>
    <w:rsid w:val="00A452C6"/>
    <w:rsid w:val="00A45390"/>
    <w:rsid w:val="00A4581D"/>
    <w:rsid w:val="00A45E9F"/>
    <w:rsid w:val="00A47533"/>
    <w:rsid w:val="00A47909"/>
    <w:rsid w:val="00A47E71"/>
    <w:rsid w:val="00A47E9A"/>
    <w:rsid w:val="00A47ECF"/>
    <w:rsid w:val="00A50161"/>
    <w:rsid w:val="00A50490"/>
    <w:rsid w:val="00A50EEC"/>
    <w:rsid w:val="00A50F17"/>
    <w:rsid w:val="00A51534"/>
    <w:rsid w:val="00A516E3"/>
    <w:rsid w:val="00A51C11"/>
    <w:rsid w:val="00A51CD9"/>
    <w:rsid w:val="00A51E45"/>
    <w:rsid w:val="00A52C5F"/>
    <w:rsid w:val="00A52E0A"/>
    <w:rsid w:val="00A535C6"/>
    <w:rsid w:val="00A53742"/>
    <w:rsid w:val="00A53A8A"/>
    <w:rsid w:val="00A53BC6"/>
    <w:rsid w:val="00A5402E"/>
    <w:rsid w:val="00A5477C"/>
    <w:rsid w:val="00A548D8"/>
    <w:rsid w:val="00A54D3D"/>
    <w:rsid w:val="00A54FAE"/>
    <w:rsid w:val="00A551D6"/>
    <w:rsid w:val="00A55BD9"/>
    <w:rsid w:val="00A55E63"/>
    <w:rsid w:val="00A56571"/>
    <w:rsid w:val="00A56643"/>
    <w:rsid w:val="00A56E7D"/>
    <w:rsid w:val="00A57546"/>
    <w:rsid w:val="00A57A42"/>
    <w:rsid w:val="00A60263"/>
    <w:rsid w:val="00A60680"/>
    <w:rsid w:val="00A60807"/>
    <w:rsid w:val="00A608DD"/>
    <w:rsid w:val="00A60C1C"/>
    <w:rsid w:val="00A60C52"/>
    <w:rsid w:val="00A60C6B"/>
    <w:rsid w:val="00A61A85"/>
    <w:rsid w:val="00A62381"/>
    <w:rsid w:val="00A625B6"/>
    <w:rsid w:val="00A62818"/>
    <w:rsid w:val="00A62E98"/>
    <w:rsid w:val="00A63A37"/>
    <w:rsid w:val="00A63FBB"/>
    <w:rsid w:val="00A64286"/>
    <w:rsid w:val="00A6502F"/>
    <w:rsid w:val="00A65386"/>
    <w:rsid w:val="00A653E1"/>
    <w:rsid w:val="00A65533"/>
    <w:rsid w:val="00A65603"/>
    <w:rsid w:val="00A658A2"/>
    <w:rsid w:val="00A6647B"/>
    <w:rsid w:val="00A671B4"/>
    <w:rsid w:val="00A67C3E"/>
    <w:rsid w:val="00A7050F"/>
    <w:rsid w:val="00A70860"/>
    <w:rsid w:val="00A70956"/>
    <w:rsid w:val="00A70D73"/>
    <w:rsid w:val="00A70DAC"/>
    <w:rsid w:val="00A7126F"/>
    <w:rsid w:val="00A71736"/>
    <w:rsid w:val="00A71DCE"/>
    <w:rsid w:val="00A71F2F"/>
    <w:rsid w:val="00A72772"/>
    <w:rsid w:val="00A73891"/>
    <w:rsid w:val="00A73969"/>
    <w:rsid w:val="00A73B23"/>
    <w:rsid w:val="00A74A31"/>
    <w:rsid w:val="00A752DC"/>
    <w:rsid w:val="00A7551D"/>
    <w:rsid w:val="00A759B5"/>
    <w:rsid w:val="00A76BFB"/>
    <w:rsid w:val="00A7713E"/>
    <w:rsid w:val="00A77456"/>
    <w:rsid w:val="00A775D3"/>
    <w:rsid w:val="00A779DF"/>
    <w:rsid w:val="00A811BD"/>
    <w:rsid w:val="00A814E2"/>
    <w:rsid w:val="00A818ED"/>
    <w:rsid w:val="00A81923"/>
    <w:rsid w:val="00A81EA0"/>
    <w:rsid w:val="00A8218C"/>
    <w:rsid w:val="00A82398"/>
    <w:rsid w:val="00A82927"/>
    <w:rsid w:val="00A8337A"/>
    <w:rsid w:val="00A8380D"/>
    <w:rsid w:val="00A84578"/>
    <w:rsid w:val="00A84611"/>
    <w:rsid w:val="00A84984"/>
    <w:rsid w:val="00A860E3"/>
    <w:rsid w:val="00A86573"/>
    <w:rsid w:val="00A86849"/>
    <w:rsid w:val="00A86982"/>
    <w:rsid w:val="00A869C9"/>
    <w:rsid w:val="00A87454"/>
    <w:rsid w:val="00A87F62"/>
    <w:rsid w:val="00A90E9D"/>
    <w:rsid w:val="00A91142"/>
    <w:rsid w:val="00A9150E"/>
    <w:rsid w:val="00A91A51"/>
    <w:rsid w:val="00A91DF2"/>
    <w:rsid w:val="00A92EA8"/>
    <w:rsid w:val="00A932EE"/>
    <w:rsid w:val="00A93454"/>
    <w:rsid w:val="00A9389F"/>
    <w:rsid w:val="00A938DC"/>
    <w:rsid w:val="00A93AA7"/>
    <w:rsid w:val="00A93B8B"/>
    <w:rsid w:val="00A93DC1"/>
    <w:rsid w:val="00A93E3D"/>
    <w:rsid w:val="00A9436A"/>
    <w:rsid w:val="00A94A3B"/>
    <w:rsid w:val="00A957D3"/>
    <w:rsid w:val="00A96273"/>
    <w:rsid w:val="00A96320"/>
    <w:rsid w:val="00A96583"/>
    <w:rsid w:val="00A96854"/>
    <w:rsid w:val="00A96945"/>
    <w:rsid w:val="00A96D1A"/>
    <w:rsid w:val="00A97456"/>
    <w:rsid w:val="00A97BF9"/>
    <w:rsid w:val="00A97D6D"/>
    <w:rsid w:val="00AA0501"/>
    <w:rsid w:val="00AA0689"/>
    <w:rsid w:val="00AA0895"/>
    <w:rsid w:val="00AA0A77"/>
    <w:rsid w:val="00AA1414"/>
    <w:rsid w:val="00AA17AE"/>
    <w:rsid w:val="00AA1A2C"/>
    <w:rsid w:val="00AA2B18"/>
    <w:rsid w:val="00AA2CCC"/>
    <w:rsid w:val="00AA34E0"/>
    <w:rsid w:val="00AA3958"/>
    <w:rsid w:val="00AA3BA1"/>
    <w:rsid w:val="00AA40A2"/>
    <w:rsid w:val="00AA4194"/>
    <w:rsid w:val="00AA4470"/>
    <w:rsid w:val="00AA53DE"/>
    <w:rsid w:val="00AA5BCF"/>
    <w:rsid w:val="00AA66EC"/>
    <w:rsid w:val="00AA699F"/>
    <w:rsid w:val="00AA7253"/>
    <w:rsid w:val="00AA76B6"/>
    <w:rsid w:val="00AA7D3D"/>
    <w:rsid w:val="00AB00E2"/>
    <w:rsid w:val="00AB0406"/>
    <w:rsid w:val="00AB1A1D"/>
    <w:rsid w:val="00AB1D27"/>
    <w:rsid w:val="00AB21B9"/>
    <w:rsid w:val="00AB280A"/>
    <w:rsid w:val="00AB28E1"/>
    <w:rsid w:val="00AB3E1D"/>
    <w:rsid w:val="00AB4226"/>
    <w:rsid w:val="00AB47CD"/>
    <w:rsid w:val="00AB5EFC"/>
    <w:rsid w:val="00AB62A3"/>
    <w:rsid w:val="00AB6D00"/>
    <w:rsid w:val="00AB7B20"/>
    <w:rsid w:val="00AB7C1C"/>
    <w:rsid w:val="00AC03CB"/>
    <w:rsid w:val="00AC0424"/>
    <w:rsid w:val="00AC055F"/>
    <w:rsid w:val="00AC06F3"/>
    <w:rsid w:val="00AC0B22"/>
    <w:rsid w:val="00AC0D58"/>
    <w:rsid w:val="00AC10CE"/>
    <w:rsid w:val="00AC126C"/>
    <w:rsid w:val="00AC13DC"/>
    <w:rsid w:val="00AC1A38"/>
    <w:rsid w:val="00AC2211"/>
    <w:rsid w:val="00AC2329"/>
    <w:rsid w:val="00AC232A"/>
    <w:rsid w:val="00AC2381"/>
    <w:rsid w:val="00AC27FF"/>
    <w:rsid w:val="00AC3185"/>
    <w:rsid w:val="00AC3969"/>
    <w:rsid w:val="00AC3F06"/>
    <w:rsid w:val="00AC3FE7"/>
    <w:rsid w:val="00AC42F8"/>
    <w:rsid w:val="00AC46BF"/>
    <w:rsid w:val="00AC4CDA"/>
    <w:rsid w:val="00AC540D"/>
    <w:rsid w:val="00AC56DC"/>
    <w:rsid w:val="00AC5869"/>
    <w:rsid w:val="00AC5BB8"/>
    <w:rsid w:val="00AC5D25"/>
    <w:rsid w:val="00AC619A"/>
    <w:rsid w:val="00AC648C"/>
    <w:rsid w:val="00AC6632"/>
    <w:rsid w:val="00AC66A2"/>
    <w:rsid w:val="00AC7060"/>
    <w:rsid w:val="00AC7334"/>
    <w:rsid w:val="00AC7529"/>
    <w:rsid w:val="00AC765E"/>
    <w:rsid w:val="00AC7EA1"/>
    <w:rsid w:val="00AD0595"/>
    <w:rsid w:val="00AD13DF"/>
    <w:rsid w:val="00AD1793"/>
    <w:rsid w:val="00AD1A4F"/>
    <w:rsid w:val="00AD204B"/>
    <w:rsid w:val="00AD24DB"/>
    <w:rsid w:val="00AD253F"/>
    <w:rsid w:val="00AD288B"/>
    <w:rsid w:val="00AD2A25"/>
    <w:rsid w:val="00AD2C37"/>
    <w:rsid w:val="00AD2DFA"/>
    <w:rsid w:val="00AD303D"/>
    <w:rsid w:val="00AD43DC"/>
    <w:rsid w:val="00AD4E00"/>
    <w:rsid w:val="00AD51BA"/>
    <w:rsid w:val="00AD534E"/>
    <w:rsid w:val="00AD579D"/>
    <w:rsid w:val="00AD5CA9"/>
    <w:rsid w:val="00AD6677"/>
    <w:rsid w:val="00AD674A"/>
    <w:rsid w:val="00AD71B2"/>
    <w:rsid w:val="00AD7DFF"/>
    <w:rsid w:val="00AE094D"/>
    <w:rsid w:val="00AE11E2"/>
    <w:rsid w:val="00AE11FD"/>
    <w:rsid w:val="00AE1652"/>
    <w:rsid w:val="00AE18CC"/>
    <w:rsid w:val="00AE1A46"/>
    <w:rsid w:val="00AE1AC5"/>
    <w:rsid w:val="00AE232C"/>
    <w:rsid w:val="00AE3115"/>
    <w:rsid w:val="00AE35CF"/>
    <w:rsid w:val="00AE385E"/>
    <w:rsid w:val="00AE3ABA"/>
    <w:rsid w:val="00AE3B65"/>
    <w:rsid w:val="00AE464F"/>
    <w:rsid w:val="00AE4651"/>
    <w:rsid w:val="00AE4E74"/>
    <w:rsid w:val="00AE52BA"/>
    <w:rsid w:val="00AE5938"/>
    <w:rsid w:val="00AE5FB3"/>
    <w:rsid w:val="00AE657E"/>
    <w:rsid w:val="00AE7AA8"/>
    <w:rsid w:val="00AF0031"/>
    <w:rsid w:val="00AF0727"/>
    <w:rsid w:val="00AF0A72"/>
    <w:rsid w:val="00AF1192"/>
    <w:rsid w:val="00AF16CA"/>
    <w:rsid w:val="00AF1907"/>
    <w:rsid w:val="00AF1E10"/>
    <w:rsid w:val="00AF205F"/>
    <w:rsid w:val="00AF2186"/>
    <w:rsid w:val="00AF2D92"/>
    <w:rsid w:val="00AF307E"/>
    <w:rsid w:val="00AF3BF5"/>
    <w:rsid w:val="00AF4297"/>
    <w:rsid w:val="00AF4570"/>
    <w:rsid w:val="00AF475B"/>
    <w:rsid w:val="00AF48D0"/>
    <w:rsid w:val="00AF56A7"/>
    <w:rsid w:val="00AF578D"/>
    <w:rsid w:val="00AF61FA"/>
    <w:rsid w:val="00AF66C5"/>
    <w:rsid w:val="00AF6785"/>
    <w:rsid w:val="00AF6FB8"/>
    <w:rsid w:val="00AF7536"/>
    <w:rsid w:val="00AF7773"/>
    <w:rsid w:val="00AF785C"/>
    <w:rsid w:val="00B00260"/>
    <w:rsid w:val="00B0060B"/>
    <w:rsid w:val="00B007A6"/>
    <w:rsid w:val="00B0084C"/>
    <w:rsid w:val="00B00EF4"/>
    <w:rsid w:val="00B01604"/>
    <w:rsid w:val="00B02342"/>
    <w:rsid w:val="00B029B6"/>
    <w:rsid w:val="00B02F5D"/>
    <w:rsid w:val="00B030CA"/>
    <w:rsid w:val="00B03A28"/>
    <w:rsid w:val="00B03B3F"/>
    <w:rsid w:val="00B03E07"/>
    <w:rsid w:val="00B04170"/>
    <w:rsid w:val="00B04499"/>
    <w:rsid w:val="00B04613"/>
    <w:rsid w:val="00B046B2"/>
    <w:rsid w:val="00B04B64"/>
    <w:rsid w:val="00B0510F"/>
    <w:rsid w:val="00B056A8"/>
    <w:rsid w:val="00B05764"/>
    <w:rsid w:val="00B05CD3"/>
    <w:rsid w:val="00B05D5F"/>
    <w:rsid w:val="00B06120"/>
    <w:rsid w:val="00B0626A"/>
    <w:rsid w:val="00B067C6"/>
    <w:rsid w:val="00B06DE1"/>
    <w:rsid w:val="00B072DF"/>
    <w:rsid w:val="00B07742"/>
    <w:rsid w:val="00B07D1C"/>
    <w:rsid w:val="00B10F5B"/>
    <w:rsid w:val="00B114CD"/>
    <w:rsid w:val="00B115B5"/>
    <w:rsid w:val="00B116A4"/>
    <w:rsid w:val="00B11802"/>
    <w:rsid w:val="00B11B03"/>
    <w:rsid w:val="00B11D89"/>
    <w:rsid w:val="00B1220B"/>
    <w:rsid w:val="00B1235E"/>
    <w:rsid w:val="00B12B5B"/>
    <w:rsid w:val="00B132AF"/>
    <w:rsid w:val="00B1346D"/>
    <w:rsid w:val="00B13866"/>
    <w:rsid w:val="00B13F2D"/>
    <w:rsid w:val="00B14709"/>
    <w:rsid w:val="00B14DD4"/>
    <w:rsid w:val="00B14F72"/>
    <w:rsid w:val="00B15032"/>
    <w:rsid w:val="00B156C6"/>
    <w:rsid w:val="00B15B03"/>
    <w:rsid w:val="00B15E01"/>
    <w:rsid w:val="00B15F79"/>
    <w:rsid w:val="00B16245"/>
    <w:rsid w:val="00B165DB"/>
    <w:rsid w:val="00B167BC"/>
    <w:rsid w:val="00B16B75"/>
    <w:rsid w:val="00B16CE7"/>
    <w:rsid w:val="00B16D0F"/>
    <w:rsid w:val="00B176DB"/>
    <w:rsid w:val="00B178C8"/>
    <w:rsid w:val="00B17F73"/>
    <w:rsid w:val="00B205AC"/>
    <w:rsid w:val="00B20B7E"/>
    <w:rsid w:val="00B217B2"/>
    <w:rsid w:val="00B21C03"/>
    <w:rsid w:val="00B21D6F"/>
    <w:rsid w:val="00B221E6"/>
    <w:rsid w:val="00B22489"/>
    <w:rsid w:val="00B22A36"/>
    <w:rsid w:val="00B22B59"/>
    <w:rsid w:val="00B22DD7"/>
    <w:rsid w:val="00B2307E"/>
    <w:rsid w:val="00B24075"/>
    <w:rsid w:val="00B24300"/>
    <w:rsid w:val="00B24586"/>
    <w:rsid w:val="00B24614"/>
    <w:rsid w:val="00B24788"/>
    <w:rsid w:val="00B25729"/>
    <w:rsid w:val="00B2578C"/>
    <w:rsid w:val="00B25F97"/>
    <w:rsid w:val="00B26A4B"/>
    <w:rsid w:val="00B26F80"/>
    <w:rsid w:val="00B27925"/>
    <w:rsid w:val="00B3003A"/>
    <w:rsid w:val="00B30290"/>
    <w:rsid w:val="00B30EB5"/>
    <w:rsid w:val="00B31F45"/>
    <w:rsid w:val="00B329B3"/>
    <w:rsid w:val="00B33513"/>
    <w:rsid w:val="00B3379E"/>
    <w:rsid w:val="00B340E2"/>
    <w:rsid w:val="00B350F8"/>
    <w:rsid w:val="00B353D1"/>
    <w:rsid w:val="00B3628F"/>
    <w:rsid w:val="00B365D3"/>
    <w:rsid w:val="00B37025"/>
    <w:rsid w:val="00B371BE"/>
    <w:rsid w:val="00B3741E"/>
    <w:rsid w:val="00B37871"/>
    <w:rsid w:val="00B37997"/>
    <w:rsid w:val="00B37BB8"/>
    <w:rsid w:val="00B40464"/>
    <w:rsid w:val="00B40475"/>
    <w:rsid w:val="00B4055B"/>
    <w:rsid w:val="00B40D39"/>
    <w:rsid w:val="00B4128B"/>
    <w:rsid w:val="00B41929"/>
    <w:rsid w:val="00B41DBB"/>
    <w:rsid w:val="00B42091"/>
    <w:rsid w:val="00B425FE"/>
    <w:rsid w:val="00B42A8C"/>
    <w:rsid w:val="00B42C67"/>
    <w:rsid w:val="00B43217"/>
    <w:rsid w:val="00B43598"/>
    <w:rsid w:val="00B438BA"/>
    <w:rsid w:val="00B43F38"/>
    <w:rsid w:val="00B44917"/>
    <w:rsid w:val="00B44966"/>
    <w:rsid w:val="00B449D2"/>
    <w:rsid w:val="00B44E94"/>
    <w:rsid w:val="00B45004"/>
    <w:rsid w:val="00B45C0F"/>
    <w:rsid w:val="00B465A4"/>
    <w:rsid w:val="00B46C6A"/>
    <w:rsid w:val="00B46CBE"/>
    <w:rsid w:val="00B474A5"/>
    <w:rsid w:val="00B516D4"/>
    <w:rsid w:val="00B51713"/>
    <w:rsid w:val="00B51866"/>
    <w:rsid w:val="00B51932"/>
    <w:rsid w:val="00B51C73"/>
    <w:rsid w:val="00B5222D"/>
    <w:rsid w:val="00B5282F"/>
    <w:rsid w:val="00B52AA6"/>
    <w:rsid w:val="00B52BF4"/>
    <w:rsid w:val="00B53098"/>
    <w:rsid w:val="00B532BD"/>
    <w:rsid w:val="00B53E95"/>
    <w:rsid w:val="00B5414C"/>
    <w:rsid w:val="00B547D8"/>
    <w:rsid w:val="00B54814"/>
    <w:rsid w:val="00B54B35"/>
    <w:rsid w:val="00B553F3"/>
    <w:rsid w:val="00B55BE4"/>
    <w:rsid w:val="00B55F50"/>
    <w:rsid w:val="00B56339"/>
    <w:rsid w:val="00B563D7"/>
    <w:rsid w:val="00B5648E"/>
    <w:rsid w:val="00B56490"/>
    <w:rsid w:val="00B570C2"/>
    <w:rsid w:val="00B57464"/>
    <w:rsid w:val="00B575B8"/>
    <w:rsid w:val="00B57AE7"/>
    <w:rsid w:val="00B57C2C"/>
    <w:rsid w:val="00B57EDF"/>
    <w:rsid w:val="00B60B8F"/>
    <w:rsid w:val="00B60C70"/>
    <w:rsid w:val="00B60ED1"/>
    <w:rsid w:val="00B61665"/>
    <w:rsid w:val="00B61992"/>
    <w:rsid w:val="00B61C51"/>
    <w:rsid w:val="00B61E02"/>
    <w:rsid w:val="00B63060"/>
    <w:rsid w:val="00B6381E"/>
    <w:rsid w:val="00B63954"/>
    <w:rsid w:val="00B639DD"/>
    <w:rsid w:val="00B646C0"/>
    <w:rsid w:val="00B64A80"/>
    <w:rsid w:val="00B64FEA"/>
    <w:rsid w:val="00B65042"/>
    <w:rsid w:val="00B659FD"/>
    <w:rsid w:val="00B66974"/>
    <w:rsid w:val="00B674B6"/>
    <w:rsid w:val="00B6789D"/>
    <w:rsid w:val="00B70662"/>
    <w:rsid w:val="00B70955"/>
    <w:rsid w:val="00B70AA0"/>
    <w:rsid w:val="00B70ADC"/>
    <w:rsid w:val="00B70BFE"/>
    <w:rsid w:val="00B71881"/>
    <w:rsid w:val="00B7221F"/>
    <w:rsid w:val="00B730C5"/>
    <w:rsid w:val="00B73568"/>
    <w:rsid w:val="00B736FA"/>
    <w:rsid w:val="00B73775"/>
    <w:rsid w:val="00B7388A"/>
    <w:rsid w:val="00B7397F"/>
    <w:rsid w:val="00B73CE6"/>
    <w:rsid w:val="00B73DC4"/>
    <w:rsid w:val="00B74105"/>
    <w:rsid w:val="00B74A71"/>
    <w:rsid w:val="00B758EC"/>
    <w:rsid w:val="00B75D1B"/>
    <w:rsid w:val="00B76A6B"/>
    <w:rsid w:val="00B76BCE"/>
    <w:rsid w:val="00B76F4A"/>
    <w:rsid w:val="00B76FE9"/>
    <w:rsid w:val="00B7710C"/>
    <w:rsid w:val="00B77388"/>
    <w:rsid w:val="00B77CE9"/>
    <w:rsid w:val="00B80250"/>
    <w:rsid w:val="00B80747"/>
    <w:rsid w:val="00B808D8"/>
    <w:rsid w:val="00B8092C"/>
    <w:rsid w:val="00B80C2E"/>
    <w:rsid w:val="00B80D16"/>
    <w:rsid w:val="00B80F36"/>
    <w:rsid w:val="00B81132"/>
    <w:rsid w:val="00B811C9"/>
    <w:rsid w:val="00B81294"/>
    <w:rsid w:val="00B8164C"/>
    <w:rsid w:val="00B81C82"/>
    <w:rsid w:val="00B81EAF"/>
    <w:rsid w:val="00B820D8"/>
    <w:rsid w:val="00B8218C"/>
    <w:rsid w:val="00B82371"/>
    <w:rsid w:val="00B83050"/>
    <w:rsid w:val="00B84795"/>
    <w:rsid w:val="00B84972"/>
    <w:rsid w:val="00B85203"/>
    <w:rsid w:val="00B85739"/>
    <w:rsid w:val="00B86542"/>
    <w:rsid w:val="00B867DC"/>
    <w:rsid w:val="00B86BCF"/>
    <w:rsid w:val="00B86FCC"/>
    <w:rsid w:val="00B871B4"/>
    <w:rsid w:val="00B874EB"/>
    <w:rsid w:val="00B8761B"/>
    <w:rsid w:val="00B879EB"/>
    <w:rsid w:val="00B879FA"/>
    <w:rsid w:val="00B87A7D"/>
    <w:rsid w:val="00B87C85"/>
    <w:rsid w:val="00B87D6C"/>
    <w:rsid w:val="00B903DA"/>
    <w:rsid w:val="00B9096D"/>
    <w:rsid w:val="00B90D1D"/>
    <w:rsid w:val="00B91176"/>
    <w:rsid w:val="00B91409"/>
    <w:rsid w:val="00B9162F"/>
    <w:rsid w:val="00B91713"/>
    <w:rsid w:val="00B917C5"/>
    <w:rsid w:val="00B93223"/>
    <w:rsid w:val="00B9349A"/>
    <w:rsid w:val="00B93E68"/>
    <w:rsid w:val="00B940C7"/>
    <w:rsid w:val="00B9446D"/>
    <w:rsid w:val="00B944F0"/>
    <w:rsid w:val="00B9536C"/>
    <w:rsid w:val="00B954A7"/>
    <w:rsid w:val="00B958CC"/>
    <w:rsid w:val="00B95B3C"/>
    <w:rsid w:val="00B95F60"/>
    <w:rsid w:val="00B95FB7"/>
    <w:rsid w:val="00B97238"/>
    <w:rsid w:val="00B9762E"/>
    <w:rsid w:val="00B976A7"/>
    <w:rsid w:val="00B97B03"/>
    <w:rsid w:val="00B97B81"/>
    <w:rsid w:val="00BA0DEA"/>
    <w:rsid w:val="00BA0FE9"/>
    <w:rsid w:val="00BA10E2"/>
    <w:rsid w:val="00BA1A1C"/>
    <w:rsid w:val="00BA1BF2"/>
    <w:rsid w:val="00BA221B"/>
    <w:rsid w:val="00BA23AB"/>
    <w:rsid w:val="00BA2875"/>
    <w:rsid w:val="00BA28EF"/>
    <w:rsid w:val="00BA3156"/>
    <w:rsid w:val="00BA31CE"/>
    <w:rsid w:val="00BA321D"/>
    <w:rsid w:val="00BA36C4"/>
    <w:rsid w:val="00BA371A"/>
    <w:rsid w:val="00BA3F9E"/>
    <w:rsid w:val="00BA3FB0"/>
    <w:rsid w:val="00BA4A21"/>
    <w:rsid w:val="00BA4DDB"/>
    <w:rsid w:val="00BA502F"/>
    <w:rsid w:val="00BA53B6"/>
    <w:rsid w:val="00BA5764"/>
    <w:rsid w:val="00BA5915"/>
    <w:rsid w:val="00BA5947"/>
    <w:rsid w:val="00BA65E0"/>
    <w:rsid w:val="00BA6F4F"/>
    <w:rsid w:val="00BA7914"/>
    <w:rsid w:val="00BA7FCA"/>
    <w:rsid w:val="00BB0368"/>
    <w:rsid w:val="00BB0918"/>
    <w:rsid w:val="00BB0B7A"/>
    <w:rsid w:val="00BB19AA"/>
    <w:rsid w:val="00BB1A13"/>
    <w:rsid w:val="00BB2084"/>
    <w:rsid w:val="00BB209C"/>
    <w:rsid w:val="00BB26A3"/>
    <w:rsid w:val="00BB29DA"/>
    <w:rsid w:val="00BB2A3B"/>
    <w:rsid w:val="00BB2B48"/>
    <w:rsid w:val="00BB2D12"/>
    <w:rsid w:val="00BB3886"/>
    <w:rsid w:val="00BB3C70"/>
    <w:rsid w:val="00BB3CAA"/>
    <w:rsid w:val="00BB3F39"/>
    <w:rsid w:val="00BB421C"/>
    <w:rsid w:val="00BB4764"/>
    <w:rsid w:val="00BB4D58"/>
    <w:rsid w:val="00BB524D"/>
    <w:rsid w:val="00BB6E46"/>
    <w:rsid w:val="00BB7072"/>
    <w:rsid w:val="00BB7312"/>
    <w:rsid w:val="00BB7419"/>
    <w:rsid w:val="00BB763E"/>
    <w:rsid w:val="00BB7A96"/>
    <w:rsid w:val="00BB7D26"/>
    <w:rsid w:val="00BC0269"/>
    <w:rsid w:val="00BC0283"/>
    <w:rsid w:val="00BC0FD0"/>
    <w:rsid w:val="00BC1195"/>
    <w:rsid w:val="00BC147B"/>
    <w:rsid w:val="00BC162D"/>
    <w:rsid w:val="00BC2017"/>
    <w:rsid w:val="00BC213B"/>
    <w:rsid w:val="00BC279C"/>
    <w:rsid w:val="00BC28A0"/>
    <w:rsid w:val="00BC3610"/>
    <w:rsid w:val="00BC388F"/>
    <w:rsid w:val="00BC43E5"/>
    <w:rsid w:val="00BC4E99"/>
    <w:rsid w:val="00BC4EB1"/>
    <w:rsid w:val="00BC5013"/>
    <w:rsid w:val="00BC5135"/>
    <w:rsid w:val="00BC52CF"/>
    <w:rsid w:val="00BC53BB"/>
    <w:rsid w:val="00BC5A4A"/>
    <w:rsid w:val="00BC666A"/>
    <w:rsid w:val="00BC6AD6"/>
    <w:rsid w:val="00BC7067"/>
    <w:rsid w:val="00BC72F7"/>
    <w:rsid w:val="00BD07A6"/>
    <w:rsid w:val="00BD0BA1"/>
    <w:rsid w:val="00BD1CC1"/>
    <w:rsid w:val="00BD1D72"/>
    <w:rsid w:val="00BD1D77"/>
    <w:rsid w:val="00BD1FA9"/>
    <w:rsid w:val="00BD2A4A"/>
    <w:rsid w:val="00BD35C0"/>
    <w:rsid w:val="00BD3647"/>
    <w:rsid w:val="00BD44C1"/>
    <w:rsid w:val="00BD4993"/>
    <w:rsid w:val="00BD4AF6"/>
    <w:rsid w:val="00BD4E15"/>
    <w:rsid w:val="00BD4F39"/>
    <w:rsid w:val="00BD54FA"/>
    <w:rsid w:val="00BD5658"/>
    <w:rsid w:val="00BD579D"/>
    <w:rsid w:val="00BD62B7"/>
    <w:rsid w:val="00BD62CA"/>
    <w:rsid w:val="00BD681C"/>
    <w:rsid w:val="00BD68F5"/>
    <w:rsid w:val="00BD6905"/>
    <w:rsid w:val="00BD6CD3"/>
    <w:rsid w:val="00BD6CFC"/>
    <w:rsid w:val="00BD773E"/>
    <w:rsid w:val="00BD7750"/>
    <w:rsid w:val="00BD7878"/>
    <w:rsid w:val="00BE0484"/>
    <w:rsid w:val="00BE055C"/>
    <w:rsid w:val="00BE13CA"/>
    <w:rsid w:val="00BE17AB"/>
    <w:rsid w:val="00BE19E8"/>
    <w:rsid w:val="00BE1A5A"/>
    <w:rsid w:val="00BE1C2C"/>
    <w:rsid w:val="00BE1FEE"/>
    <w:rsid w:val="00BE230E"/>
    <w:rsid w:val="00BE2792"/>
    <w:rsid w:val="00BE2FCE"/>
    <w:rsid w:val="00BE39BD"/>
    <w:rsid w:val="00BE4A65"/>
    <w:rsid w:val="00BE4B5B"/>
    <w:rsid w:val="00BE5A14"/>
    <w:rsid w:val="00BE5A44"/>
    <w:rsid w:val="00BE65F3"/>
    <w:rsid w:val="00BE7548"/>
    <w:rsid w:val="00BE7713"/>
    <w:rsid w:val="00BE7DFB"/>
    <w:rsid w:val="00BF0069"/>
    <w:rsid w:val="00BF006C"/>
    <w:rsid w:val="00BF08DC"/>
    <w:rsid w:val="00BF09B4"/>
    <w:rsid w:val="00BF0C08"/>
    <w:rsid w:val="00BF16B7"/>
    <w:rsid w:val="00BF1C4D"/>
    <w:rsid w:val="00BF1DFD"/>
    <w:rsid w:val="00BF1E27"/>
    <w:rsid w:val="00BF2429"/>
    <w:rsid w:val="00BF2ABC"/>
    <w:rsid w:val="00BF30CD"/>
    <w:rsid w:val="00BF32BF"/>
    <w:rsid w:val="00BF3A6C"/>
    <w:rsid w:val="00BF3EE7"/>
    <w:rsid w:val="00BF4122"/>
    <w:rsid w:val="00BF4BB7"/>
    <w:rsid w:val="00BF55BF"/>
    <w:rsid w:val="00BF565F"/>
    <w:rsid w:val="00BF5806"/>
    <w:rsid w:val="00BF5F4D"/>
    <w:rsid w:val="00BF64F8"/>
    <w:rsid w:val="00BF6D05"/>
    <w:rsid w:val="00BF6EB1"/>
    <w:rsid w:val="00BF7163"/>
    <w:rsid w:val="00BF7761"/>
    <w:rsid w:val="00BF7AAD"/>
    <w:rsid w:val="00BF7C2D"/>
    <w:rsid w:val="00C0010D"/>
    <w:rsid w:val="00C00D8C"/>
    <w:rsid w:val="00C01387"/>
    <w:rsid w:val="00C01B63"/>
    <w:rsid w:val="00C01DCE"/>
    <w:rsid w:val="00C01E61"/>
    <w:rsid w:val="00C022E7"/>
    <w:rsid w:val="00C027B1"/>
    <w:rsid w:val="00C02E43"/>
    <w:rsid w:val="00C03139"/>
    <w:rsid w:val="00C03389"/>
    <w:rsid w:val="00C03569"/>
    <w:rsid w:val="00C035FB"/>
    <w:rsid w:val="00C03763"/>
    <w:rsid w:val="00C037BC"/>
    <w:rsid w:val="00C03C58"/>
    <w:rsid w:val="00C0475D"/>
    <w:rsid w:val="00C0558C"/>
    <w:rsid w:val="00C05D3B"/>
    <w:rsid w:val="00C0650B"/>
    <w:rsid w:val="00C06555"/>
    <w:rsid w:val="00C065CF"/>
    <w:rsid w:val="00C06CFE"/>
    <w:rsid w:val="00C077B7"/>
    <w:rsid w:val="00C0782B"/>
    <w:rsid w:val="00C10238"/>
    <w:rsid w:val="00C10317"/>
    <w:rsid w:val="00C104C0"/>
    <w:rsid w:val="00C107BE"/>
    <w:rsid w:val="00C108B2"/>
    <w:rsid w:val="00C12341"/>
    <w:rsid w:val="00C12A6E"/>
    <w:rsid w:val="00C12E83"/>
    <w:rsid w:val="00C146B6"/>
    <w:rsid w:val="00C147E6"/>
    <w:rsid w:val="00C14806"/>
    <w:rsid w:val="00C14B74"/>
    <w:rsid w:val="00C14DC7"/>
    <w:rsid w:val="00C15138"/>
    <w:rsid w:val="00C159A2"/>
    <w:rsid w:val="00C15A44"/>
    <w:rsid w:val="00C16F08"/>
    <w:rsid w:val="00C20330"/>
    <w:rsid w:val="00C2073C"/>
    <w:rsid w:val="00C20A66"/>
    <w:rsid w:val="00C20F1B"/>
    <w:rsid w:val="00C20F6E"/>
    <w:rsid w:val="00C20F8F"/>
    <w:rsid w:val="00C22B58"/>
    <w:rsid w:val="00C22CA9"/>
    <w:rsid w:val="00C23680"/>
    <w:rsid w:val="00C237C7"/>
    <w:rsid w:val="00C23B0A"/>
    <w:rsid w:val="00C23EC3"/>
    <w:rsid w:val="00C24588"/>
    <w:rsid w:val="00C24633"/>
    <w:rsid w:val="00C248BA"/>
    <w:rsid w:val="00C24DA0"/>
    <w:rsid w:val="00C24EEE"/>
    <w:rsid w:val="00C25075"/>
    <w:rsid w:val="00C258AD"/>
    <w:rsid w:val="00C25D42"/>
    <w:rsid w:val="00C26440"/>
    <w:rsid w:val="00C264C8"/>
    <w:rsid w:val="00C268CD"/>
    <w:rsid w:val="00C26CD3"/>
    <w:rsid w:val="00C27142"/>
    <w:rsid w:val="00C27D18"/>
    <w:rsid w:val="00C30110"/>
    <w:rsid w:val="00C301CC"/>
    <w:rsid w:val="00C303F4"/>
    <w:rsid w:val="00C3050E"/>
    <w:rsid w:val="00C30F03"/>
    <w:rsid w:val="00C30F9B"/>
    <w:rsid w:val="00C316D9"/>
    <w:rsid w:val="00C31ADC"/>
    <w:rsid w:val="00C31FB1"/>
    <w:rsid w:val="00C326A1"/>
    <w:rsid w:val="00C32CFD"/>
    <w:rsid w:val="00C336C3"/>
    <w:rsid w:val="00C33708"/>
    <w:rsid w:val="00C33A54"/>
    <w:rsid w:val="00C34C19"/>
    <w:rsid w:val="00C34E18"/>
    <w:rsid w:val="00C34EE3"/>
    <w:rsid w:val="00C350E2"/>
    <w:rsid w:val="00C357BB"/>
    <w:rsid w:val="00C35BB5"/>
    <w:rsid w:val="00C36081"/>
    <w:rsid w:val="00C36D00"/>
    <w:rsid w:val="00C36DC3"/>
    <w:rsid w:val="00C36EF0"/>
    <w:rsid w:val="00C37164"/>
    <w:rsid w:val="00C37251"/>
    <w:rsid w:val="00C37537"/>
    <w:rsid w:val="00C37B52"/>
    <w:rsid w:val="00C37EA0"/>
    <w:rsid w:val="00C40079"/>
    <w:rsid w:val="00C4049A"/>
    <w:rsid w:val="00C4073D"/>
    <w:rsid w:val="00C409DC"/>
    <w:rsid w:val="00C41498"/>
    <w:rsid w:val="00C41751"/>
    <w:rsid w:val="00C4253B"/>
    <w:rsid w:val="00C426D2"/>
    <w:rsid w:val="00C42CA0"/>
    <w:rsid w:val="00C42E1F"/>
    <w:rsid w:val="00C43551"/>
    <w:rsid w:val="00C43ABF"/>
    <w:rsid w:val="00C43D1A"/>
    <w:rsid w:val="00C43FC9"/>
    <w:rsid w:val="00C44918"/>
    <w:rsid w:val="00C45EB5"/>
    <w:rsid w:val="00C467AB"/>
    <w:rsid w:val="00C46957"/>
    <w:rsid w:val="00C46B18"/>
    <w:rsid w:val="00C46D99"/>
    <w:rsid w:val="00C47102"/>
    <w:rsid w:val="00C47256"/>
    <w:rsid w:val="00C474D1"/>
    <w:rsid w:val="00C50803"/>
    <w:rsid w:val="00C50E81"/>
    <w:rsid w:val="00C519B4"/>
    <w:rsid w:val="00C51EC3"/>
    <w:rsid w:val="00C527C3"/>
    <w:rsid w:val="00C52E6B"/>
    <w:rsid w:val="00C53168"/>
    <w:rsid w:val="00C538AB"/>
    <w:rsid w:val="00C53B5B"/>
    <w:rsid w:val="00C53DB7"/>
    <w:rsid w:val="00C5492F"/>
    <w:rsid w:val="00C5498C"/>
    <w:rsid w:val="00C55C68"/>
    <w:rsid w:val="00C55E67"/>
    <w:rsid w:val="00C5699F"/>
    <w:rsid w:val="00C56CF7"/>
    <w:rsid w:val="00C56DB6"/>
    <w:rsid w:val="00C57EED"/>
    <w:rsid w:val="00C606E4"/>
    <w:rsid w:val="00C60E6A"/>
    <w:rsid w:val="00C6105A"/>
    <w:rsid w:val="00C610F5"/>
    <w:rsid w:val="00C618A9"/>
    <w:rsid w:val="00C62778"/>
    <w:rsid w:val="00C62A72"/>
    <w:rsid w:val="00C63288"/>
    <w:rsid w:val="00C6365B"/>
    <w:rsid w:val="00C639A2"/>
    <w:rsid w:val="00C63A26"/>
    <w:rsid w:val="00C63DD7"/>
    <w:rsid w:val="00C63F00"/>
    <w:rsid w:val="00C63F22"/>
    <w:rsid w:val="00C63FB4"/>
    <w:rsid w:val="00C645C2"/>
    <w:rsid w:val="00C645C5"/>
    <w:rsid w:val="00C64816"/>
    <w:rsid w:val="00C64C91"/>
    <w:rsid w:val="00C64EBF"/>
    <w:rsid w:val="00C65339"/>
    <w:rsid w:val="00C6669C"/>
    <w:rsid w:val="00C66B12"/>
    <w:rsid w:val="00C67298"/>
    <w:rsid w:val="00C67825"/>
    <w:rsid w:val="00C67A25"/>
    <w:rsid w:val="00C67B3E"/>
    <w:rsid w:val="00C70351"/>
    <w:rsid w:val="00C70427"/>
    <w:rsid w:val="00C70471"/>
    <w:rsid w:val="00C70989"/>
    <w:rsid w:val="00C714E2"/>
    <w:rsid w:val="00C7165B"/>
    <w:rsid w:val="00C71A30"/>
    <w:rsid w:val="00C71DC5"/>
    <w:rsid w:val="00C7220B"/>
    <w:rsid w:val="00C72955"/>
    <w:rsid w:val="00C73A2D"/>
    <w:rsid w:val="00C746CA"/>
    <w:rsid w:val="00C74805"/>
    <w:rsid w:val="00C7487B"/>
    <w:rsid w:val="00C755C6"/>
    <w:rsid w:val="00C755EA"/>
    <w:rsid w:val="00C75866"/>
    <w:rsid w:val="00C763EC"/>
    <w:rsid w:val="00C76AE2"/>
    <w:rsid w:val="00C76F28"/>
    <w:rsid w:val="00C77861"/>
    <w:rsid w:val="00C77AF9"/>
    <w:rsid w:val="00C8075B"/>
    <w:rsid w:val="00C80BD4"/>
    <w:rsid w:val="00C80C48"/>
    <w:rsid w:val="00C80F26"/>
    <w:rsid w:val="00C81235"/>
    <w:rsid w:val="00C814ED"/>
    <w:rsid w:val="00C8192E"/>
    <w:rsid w:val="00C819B4"/>
    <w:rsid w:val="00C81E4A"/>
    <w:rsid w:val="00C820F2"/>
    <w:rsid w:val="00C8255E"/>
    <w:rsid w:val="00C83083"/>
    <w:rsid w:val="00C8342C"/>
    <w:rsid w:val="00C837A5"/>
    <w:rsid w:val="00C83D81"/>
    <w:rsid w:val="00C840E2"/>
    <w:rsid w:val="00C843CB"/>
    <w:rsid w:val="00C85090"/>
    <w:rsid w:val="00C85FD8"/>
    <w:rsid w:val="00C860AE"/>
    <w:rsid w:val="00C8672C"/>
    <w:rsid w:val="00C86A7A"/>
    <w:rsid w:val="00C872B1"/>
    <w:rsid w:val="00C8743D"/>
    <w:rsid w:val="00C87929"/>
    <w:rsid w:val="00C906F1"/>
    <w:rsid w:val="00C9123B"/>
    <w:rsid w:val="00C91DED"/>
    <w:rsid w:val="00C91F06"/>
    <w:rsid w:val="00C92583"/>
    <w:rsid w:val="00C92ACE"/>
    <w:rsid w:val="00C92C7D"/>
    <w:rsid w:val="00C93A08"/>
    <w:rsid w:val="00C93C15"/>
    <w:rsid w:val="00C94401"/>
    <w:rsid w:val="00C94450"/>
    <w:rsid w:val="00C9501B"/>
    <w:rsid w:val="00C95161"/>
    <w:rsid w:val="00C9747D"/>
    <w:rsid w:val="00C9747E"/>
    <w:rsid w:val="00C97541"/>
    <w:rsid w:val="00C97660"/>
    <w:rsid w:val="00C97906"/>
    <w:rsid w:val="00C979DE"/>
    <w:rsid w:val="00C97BF6"/>
    <w:rsid w:val="00C97D86"/>
    <w:rsid w:val="00CA0225"/>
    <w:rsid w:val="00CA0D11"/>
    <w:rsid w:val="00CA1466"/>
    <w:rsid w:val="00CA187D"/>
    <w:rsid w:val="00CA1A0E"/>
    <w:rsid w:val="00CA20F0"/>
    <w:rsid w:val="00CA23B6"/>
    <w:rsid w:val="00CA2794"/>
    <w:rsid w:val="00CA2910"/>
    <w:rsid w:val="00CA2973"/>
    <w:rsid w:val="00CA2BC9"/>
    <w:rsid w:val="00CA2BDE"/>
    <w:rsid w:val="00CA2C3B"/>
    <w:rsid w:val="00CA2FFD"/>
    <w:rsid w:val="00CA3672"/>
    <w:rsid w:val="00CA3DA1"/>
    <w:rsid w:val="00CA3FE1"/>
    <w:rsid w:val="00CA45EE"/>
    <w:rsid w:val="00CA4D25"/>
    <w:rsid w:val="00CA6E0D"/>
    <w:rsid w:val="00CA7B87"/>
    <w:rsid w:val="00CB0125"/>
    <w:rsid w:val="00CB01A4"/>
    <w:rsid w:val="00CB07DF"/>
    <w:rsid w:val="00CB0AF8"/>
    <w:rsid w:val="00CB0F37"/>
    <w:rsid w:val="00CB1191"/>
    <w:rsid w:val="00CB122B"/>
    <w:rsid w:val="00CB1A88"/>
    <w:rsid w:val="00CB279D"/>
    <w:rsid w:val="00CB284D"/>
    <w:rsid w:val="00CB2AAA"/>
    <w:rsid w:val="00CB3003"/>
    <w:rsid w:val="00CB37F5"/>
    <w:rsid w:val="00CB3FF2"/>
    <w:rsid w:val="00CB4276"/>
    <w:rsid w:val="00CB4427"/>
    <w:rsid w:val="00CB4597"/>
    <w:rsid w:val="00CB4697"/>
    <w:rsid w:val="00CB4803"/>
    <w:rsid w:val="00CB494F"/>
    <w:rsid w:val="00CB4CA2"/>
    <w:rsid w:val="00CB506A"/>
    <w:rsid w:val="00CB51C9"/>
    <w:rsid w:val="00CB59E1"/>
    <w:rsid w:val="00CB5CCB"/>
    <w:rsid w:val="00CB66BE"/>
    <w:rsid w:val="00CB7119"/>
    <w:rsid w:val="00CB76EF"/>
    <w:rsid w:val="00CB7CB8"/>
    <w:rsid w:val="00CC023E"/>
    <w:rsid w:val="00CC0B73"/>
    <w:rsid w:val="00CC0D12"/>
    <w:rsid w:val="00CC0F4C"/>
    <w:rsid w:val="00CC1471"/>
    <w:rsid w:val="00CC1507"/>
    <w:rsid w:val="00CC1528"/>
    <w:rsid w:val="00CC1DC5"/>
    <w:rsid w:val="00CC25B5"/>
    <w:rsid w:val="00CC2CDA"/>
    <w:rsid w:val="00CC2D33"/>
    <w:rsid w:val="00CC3233"/>
    <w:rsid w:val="00CC44D7"/>
    <w:rsid w:val="00CC48C4"/>
    <w:rsid w:val="00CC50D4"/>
    <w:rsid w:val="00CC51F9"/>
    <w:rsid w:val="00CC52C6"/>
    <w:rsid w:val="00CC5443"/>
    <w:rsid w:val="00CC5894"/>
    <w:rsid w:val="00CC5986"/>
    <w:rsid w:val="00CC5DD3"/>
    <w:rsid w:val="00CC61B2"/>
    <w:rsid w:val="00CC67EE"/>
    <w:rsid w:val="00CC6B57"/>
    <w:rsid w:val="00CC70B0"/>
    <w:rsid w:val="00CC7341"/>
    <w:rsid w:val="00CC76C1"/>
    <w:rsid w:val="00CD026F"/>
    <w:rsid w:val="00CD098D"/>
    <w:rsid w:val="00CD0B6D"/>
    <w:rsid w:val="00CD0D06"/>
    <w:rsid w:val="00CD0E18"/>
    <w:rsid w:val="00CD16E6"/>
    <w:rsid w:val="00CD2A83"/>
    <w:rsid w:val="00CD2CB0"/>
    <w:rsid w:val="00CD3825"/>
    <w:rsid w:val="00CD4BD0"/>
    <w:rsid w:val="00CD4E2C"/>
    <w:rsid w:val="00CD52F1"/>
    <w:rsid w:val="00CD539F"/>
    <w:rsid w:val="00CD5D95"/>
    <w:rsid w:val="00CD7324"/>
    <w:rsid w:val="00CD7330"/>
    <w:rsid w:val="00CD7E06"/>
    <w:rsid w:val="00CD7F02"/>
    <w:rsid w:val="00CE1EC5"/>
    <w:rsid w:val="00CE25A4"/>
    <w:rsid w:val="00CE2F9C"/>
    <w:rsid w:val="00CE3BFF"/>
    <w:rsid w:val="00CE3DFD"/>
    <w:rsid w:val="00CE3F6B"/>
    <w:rsid w:val="00CE42A7"/>
    <w:rsid w:val="00CE4C05"/>
    <w:rsid w:val="00CE513F"/>
    <w:rsid w:val="00CE592D"/>
    <w:rsid w:val="00CE5BCF"/>
    <w:rsid w:val="00CE5CC5"/>
    <w:rsid w:val="00CE6C74"/>
    <w:rsid w:val="00CE6E00"/>
    <w:rsid w:val="00CE7317"/>
    <w:rsid w:val="00CE74CF"/>
    <w:rsid w:val="00CE7698"/>
    <w:rsid w:val="00CE77E9"/>
    <w:rsid w:val="00CE78EC"/>
    <w:rsid w:val="00CF0201"/>
    <w:rsid w:val="00CF03AF"/>
    <w:rsid w:val="00CF0402"/>
    <w:rsid w:val="00CF0D15"/>
    <w:rsid w:val="00CF0F58"/>
    <w:rsid w:val="00CF10EB"/>
    <w:rsid w:val="00CF17C2"/>
    <w:rsid w:val="00CF2177"/>
    <w:rsid w:val="00CF2956"/>
    <w:rsid w:val="00CF2A90"/>
    <w:rsid w:val="00CF3102"/>
    <w:rsid w:val="00CF3A2A"/>
    <w:rsid w:val="00CF3D0B"/>
    <w:rsid w:val="00CF4448"/>
    <w:rsid w:val="00CF45BD"/>
    <w:rsid w:val="00CF4F2A"/>
    <w:rsid w:val="00CF51D8"/>
    <w:rsid w:val="00CF54DD"/>
    <w:rsid w:val="00CF5DC1"/>
    <w:rsid w:val="00CF68ED"/>
    <w:rsid w:val="00CF6BCD"/>
    <w:rsid w:val="00CF7318"/>
    <w:rsid w:val="00CF7559"/>
    <w:rsid w:val="00CF75BB"/>
    <w:rsid w:val="00CF7825"/>
    <w:rsid w:val="00D0016D"/>
    <w:rsid w:val="00D0032F"/>
    <w:rsid w:val="00D00C3F"/>
    <w:rsid w:val="00D0190A"/>
    <w:rsid w:val="00D01FDB"/>
    <w:rsid w:val="00D0228D"/>
    <w:rsid w:val="00D02D9A"/>
    <w:rsid w:val="00D038DB"/>
    <w:rsid w:val="00D03AF7"/>
    <w:rsid w:val="00D03C63"/>
    <w:rsid w:val="00D04172"/>
    <w:rsid w:val="00D04722"/>
    <w:rsid w:val="00D04BBA"/>
    <w:rsid w:val="00D04F27"/>
    <w:rsid w:val="00D054CE"/>
    <w:rsid w:val="00D05DE1"/>
    <w:rsid w:val="00D05EAA"/>
    <w:rsid w:val="00D05F3C"/>
    <w:rsid w:val="00D06A28"/>
    <w:rsid w:val="00D06AC6"/>
    <w:rsid w:val="00D07395"/>
    <w:rsid w:val="00D0763C"/>
    <w:rsid w:val="00D07A35"/>
    <w:rsid w:val="00D102D1"/>
    <w:rsid w:val="00D10E5F"/>
    <w:rsid w:val="00D11353"/>
    <w:rsid w:val="00D113E7"/>
    <w:rsid w:val="00D11EC6"/>
    <w:rsid w:val="00D12572"/>
    <w:rsid w:val="00D127C0"/>
    <w:rsid w:val="00D129EE"/>
    <w:rsid w:val="00D12B04"/>
    <w:rsid w:val="00D133B7"/>
    <w:rsid w:val="00D13B74"/>
    <w:rsid w:val="00D13DA0"/>
    <w:rsid w:val="00D14CB5"/>
    <w:rsid w:val="00D1510B"/>
    <w:rsid w:val="00D1559B"/>
    <w:rsid w:val="00D15DC9"/>
    <w:rsid w:val="00D1721B"/>
    <w:rsid w:val="00D21D03"/>
    <w:rsid w:val="00D226E7"/>
    <w:rsid w:val="00D22A93"/>
    <w:rsid w:val="00D22D9B"/>
    <w:rsid w:val="00D23762"/>
    <w:rsid w:val="00D23C32"/>
    <w:rsid w:val="00D23EFC"/>
    <w:rsid w:val="00D24456"/>
    <w:rsid w:val="00D24559"/>
    <w:rsid w:val="00D245D3"/>
    <w:rsid w:val="00D25EFA"/>
    <w:rsid w:val="00D25FDF"/>
    <w:rsid w:val="00D2612A"/>
    <w:rsid w:val="00D26A7F"/>
    <w:rsid w:val="00D27526"/>
    <w:rsid w:val="00D27959"/>
    <w:rsid w:val="00D27AE6"/>
    <w:rsid w:val="00D31382"/>
    <w:rsid w:val="00D31A1C"/>
    <w:rsid w:val="00D31E08"/>
    <w:rsid w:val="00D31F83"/>
    <w:rsid w:val="00D32051"/>
    <w:rsid w:val="00D323DC"/>
    <w:rsid w:val="00D32572"/>
    <w:rsid w:val="00D32AAE"/>
    <w:rsid w:val="00D32E82"/>
    <w:rsid w:val="00D335CA"/>
    <w:rsid w:val="00D340DF"/>
    <w:rsid w:val="00D34CBB"/>
    <w:rsid w:val="00D35750"/>
    <w:rsid w:val="00D35C04"/>
    <w:rsid w:val="00D35D61"/>
    <w:rsid w:val="00D35D83"/>
    <w:rsid w:val="00D36009"/>
    <w:rsid w:val="00D36CF9"/>
    <w:rsid w:val="00D37482"/>
    <w:rsid w:val="00D374DB"/>
    <w:rsid w:val="00D402A8"/>
    <w:rsid w:val="00D407E6"/>
    <w:rsid w:val="00D408D5"/>
    <w:rsid w:val="00D40C91"/>
    <w:rsid w:val="00D40FAC"/>
    <w:rsid w:val="00D4101C"/>
    <w:rsid w:val="00D41053"/>
    <w:rsid w:val="00D41C49"/>
    <w:rsid w:val="00D422E9"/>
    <w:rsid w:val="00D4250C"/>
    <w:rsid w:val="00D42D9A"/>
    <w:rsid w:val="00D43760"/>
    <w:rsid w:val="00D4390E"/>
    <w:rsid w:val="00D43DFD"/>
    <w:rsid w:val="00D45043"/>
    <w:rsid w:val="00D455ED"/>
    <w:rsid w:val="00D459D8"/>
    <w:rsid w:val="00D45CA4"/>
    <w:rsid w:val="00D464F8"/>
    <w:rsid w:val="00D46688"/>
    <w:rsid w:val="00D46D2A"/>
    <w:rsid w:val="00D4756F"/>
    <w:rsid w:val="00D47723"/>
    <w:rsid w:val="00D477E2"/>
    <w:rsid w:val="00D47A0A"/>
    <w:rsid w:val="00D47AC5"/>
    <w:rsid w:val="00D47F62"/>
    <w:rsid w:val="00D50E87"/>
    <w:rsid w:val="00D50EA2"/>
    <w:rsid w:val="00D51519"/>
    <w:rsid w:val="00D519E8"/>
    <w:rsid w:val="00D51C34"/>
    <w:rsid w:val="00D51F0B"/>
    <w:rsid w:val="00D528B3"/>
    <w:rsid w:val="00D52F31"/>
    <w:rsid w:val="00D5342D"/>
    <w:rsid w:val="00D5408B"/>
    <w:rsid w:val="00D540B0"/>
    <w:rsid w:val="00D54B34"/>
    <w:rsid w:val="00D5556F"/>
    <w:rsid w:val="00D55BBC"/>
    <w:rsid w:val="00D55C51"/>
    <w:rsid w:val="00D56D60"/>
    <w:rsid w:val="00D56E83"/>
    <w:rsid w:val="00D56F92"/>
    <w:rsid w:val="00D57119"/>
    <w:rsid w:val="00D57844"/>
    <w:rsid w:val="00D5795B"/>
    <w:rsid w:val="00D57C07"/>
    <w:rsid w:val="00D60070"/>
    <w:rsid w:val="00D60316"/>
    <w:rsid w:val="00D61F6E"/>
    <w:rsid w:val="00D62171"/>
    <w:rsid w:val="00D62E4B"/>
    <w:rsid w:val="00D63131"/>
    <w:rsid w:val="00D6376D"/>
    <w:rsid w:val="00D646EE"/>
    <w:rsid w:val="00D64A72"/>
    <w:rsid w:val="00D651FC"/>
    <w:rsid w:val="00D65583"/>
    <w:rsid w:val="00D657D9"/>
    <w:rsid w:val="00D659C4"/>
    <w:rsid w:val="00D65BE5"/>
    <w:rsid w:val="00D66181"/>
    <w:rsid w:val="00D66328"/>
    <w:rsid w:val="00D667AF"/>
    <w:rsid w:val="00D66AB6"/>
    <w:rsid w:val="00D66E14"/>
    <w:rsid w:val="00D677DF"/>
    <w:rsid w:val="00D679B2"/>
    <w:rsid w:val="00D67D8A"/>
    <w:rsid w:val="00D67F8D"/>
    <w:rsid w:val="00D7010C"/>
    <w:rsid w:val="00D7063C"/>
    <w:rsid w:val="00D71B89"/>
    <w:rsid w:val="00D71D51"/>
    <w:rsid w:val="00D7247B"/>
    <w:rsid w:val="00D72ADD"/>
    <w:rsid w:val="00D72C7C"/>
    <w:rsid w:val="00D7332D"/>
    <w:rsid w:val="00D73333"/>
    <w:rsid w:val="00D7434B"/>
    <w:rsid w:val="00D74815"/>
    <w:rsid w:val="00D75C1F"/>
    <w:rsid w:val="00D75EA9"/>
    <w:rsid w:val="00D760E3"/>
    <w:rsid w:val="00D76390"/>
    <w:rsid w:val="00D766C3"/>
    <w:rsid w:val="00D767AA"/>
    <w:rsid w:val="00D775B7"/>
    <w:rsid w:val="00D7798B"/>
    <w:rsid w:val="00D802E2"/>
    <w:rsid w:val="00D805F4"/>
    <w:rsid w:val="00D80930"/>
    <w:rsid w:val="00D80A9B"/>
    <w:rsid w:val="00D810CB"/>
    <w:rsid w:val="00D8168C"/>
    <w:rsid w:val="00D819C6"/>
    <w:rsid w:val="00D81A68"/>
    <w:rsid w:val="00D81C0B"/>
    <w:rsid w:val="00D82482"/>
    <w:rsid w:val="00D8250F"/>
    <w:rsid w:val="00D825EB"/>
    <w:rsid w:val="00D8316E"/>
    <w:rsid w:val="00D83617"/>
    <w:rsid w:val="00D838CD"/>
    <w:rsid w:val="00D83D1A"/>
    <w:rsid w:val="00D8422B"/>
    <w:rsid w:val="00D84441"/>
    <w:rsid w:val="00D84DCF"/>
    <w:rsid w:val="00D85339"/>
    <w:rsid w:val="00D855FB"/>
    <w:rsid w:val="00D85F07"/>
    <w:rsid w:val="00D861C1"/>
    <w:rsid w:val="00D86431"/>
    <w:rsid w:val="00D869C6"/>
    <w:rsid w:val="00D86B35"/>
    <w:rsid w:val="00D90255"/>
    <w:rsid w:val="00D90B12"/>
    <w:rsid w:val="00D90F22"/>
    <w:rsid w:val="00D916B9"/>
    <w:rsid w:val="00D91F90"/>
    <w:rsid w:val="00D92441"/>
    <w:rsid w:val="00D92A52"/>
    <w:rsid w:val="00D9465A"/>
    <w:rsid w:val="00D9487B"/>
    <w:rsid w:val="00D94DF1"/>
    <w:rsid w:val="00D951DC"/>
    <w:rsid w:val="00D952CD"/>
    <w:rsid w:val="00D955F1"/>
    <w:rsid w:val="00D95C6F"/>
    <w:rsid w:val="00D95DE4"/>
    <w:rsid w:val="00D9617E"/>
    <w:rsid w:val="00D963D9"/>
    <w:rsid w:val="00D965BC"/>
    <w:rsid w:val="00D96A45"/>
    <w:rsid w:val="00D96F1E"/>
    <w:rsid w:val="00D96F25"/>
    <w:rsid w:val="00D97132"/>
    <w:rsid w:val="00D977AE"/>
    <w:rsid w:val="00D979FD"/>
    <w:rsid w:val="00D97C93"/>
    <w:rsid w:val="00DA04B6"/>
    <w:rsid w:val="00DA0572"/>
    <w:rsid w:val="00DA0639"/>
    <w:rsid w:val="00DA064A"/>
    <w:rsid w:val="00DA06E5"/>
    <w:rsid w:val="00DA0720"/>
    <w:rsid w:val="00DA0E78"/>
    <w:rsid w:val="00DA0ED6"/>
    <w:rsid w:val="00DA1151"/>
    <w:rsid w:val="00DA1469"/>
    <w:rsid w:val="00DA1CDD"/>
    <w:rsid w:val="00DA2080"/>
    <w:rsid w:val="00DA20E8"/>
    <w:rsid w:val="00DA273D"/>
    <w:rsid w:val="00DA27F9"/>
    <w:rsid w:val="00DA28F6"/>
    <w:rsid w:val="00DA457B"/>
    <w:rsid w:val="00DA45EF"/>
    <w:rsid w:val="00DA4B3D"/>
    <w:rsid w:val="00DA58B2"/>
    <w:rsid w:val="00DA6B4E"/>
    <w:rsid w:val="00DA7227"/>
    <w:rsid w:val="00DA7465"/>
    <w:rsid w:val="00DA7B05"/>
    <w:rsid w:val="00DA7C0B"/>
    <w:rsid w:val="00DB030B"/>
    <w:rsid w:val="00DB05E9"/>
    <w:rsid w:val="00DB13D4"/>
    <w:rsid w:val="00DB1801"/>
    <w:rsid w:val="00DB22FA"/>
    <w:rsid w:val="00DB237A"/>
    <w:rsid w:val="00DB2B66"/>
    <w:rsid w:val="00DB2FEB"/>
    <w:rsid w:val="00DB317C"/>
    <w:rsid w:val="00DB349A"/>
    <w:rsid w:val="00DB3A80"/>
    <w:rsid w:val="00DB4423"/>
    <w:rsid w:val="00DB4754"/>
    <w:rsid w:val="00DB555C"/>
    <w:rsid w:val="00DB557F"/>
    <w:rsid w:val="00DB5A0F"/>
    <w:rsid w:val="00DB5FAD"/>
    <w:rsid w:val="00DB605C"/>
    <w:rsid w:val="00DB63EF"/>
    <w:rsid w:val="00DB7F15"/>
    <w:rsid w:val="00DC02AB"/>
    <w:rsid w:val="00DC0B02"/>
    <w:rsid w:val="00DC171E"/>
    <w:rsid w:val="00DC25B7"/>
    <w:rsid w:val="00DC2688"/>
    <w:rsid w:val="00DC2B0A"/>
    <w:rsid w:val="00DC2DE8"/>
    <w:rsid w:val="00DC4089"/>
    <w:rsid w:val="00DC46B5"/>
    <w:rsid w:val="00DC4806"/>
    <w:rsid w:val="00DC4AE6"/>
    <w:rsid w:val="00DC566A"/>
    <w:rsid w:val="00DC5A4C"/>
    <w:rsid w:val="00DC6EDA"/>
    <w:rsid w:val="00DC7012"/>
    <w:rsid w:val="00DC7719"/>
    <w:rsid w:val="00DC77B9"/>
    <w:rsid w:val="00DC783F"/>
    <w:rsid w:val="00DC7B90"/>
    <w:rsid w:val="00DC7C24"/>
    <w:rsid w:val="00DC7FA2"/>
    <w:rsid w:val="00DD027F"/>
    <w:rsid w:val="00DD0E83"/>
    <w:rsid w:val="00DD1732"/>
    <w:rsid w:val="00DD1E99"/>
    <w:rsid w:val="00DD2451"/>
    <w:rsid w:val="00DD313E"/>
    <w:rsid w:val="00DD3954"/>
    <w:rsid w:val="00DD3975"/>
    <w:rsid w:val="00DD408A"/>
    <w:rsid w:val="00DD4A5F"/>
    <w:rsid w:val="00DD5257"/>
    <w:rsid w:val="00DD5409"/>
    <w:rsid w:val="00DD6912"/>
    <w:rsid w:val="00DD6EF6"/>
    <w:rsid w:val="00DD7AB4"/>
    <w:rsid w:val="00DE0265"/>
    <w:rsid w:val="00DE0C7C"/>
    <w:rsid w:val="00DE0EDF"/>
    <w:rsid w:val="00DE0EE4"/>
    <w:rsid w:val="00DE180B"/>
    <w:rsid w:val="00DE207E"/>
    <w:rsid w:val="00DE3190"/>
    <w:rsid w:val="00DE3926"/>
    <w:rsid w:val="00DE3A7B"/>
    <w:rsid w:val="00DE4580"/>
    <w:rsid w:val="00DE48DF"/>
    <w:rsid w:val="00DE5249"/>
    <w:rsid w:val="00DE5C91"/>
    <w:rsid w:val="00DE5F72"/>
    <w:rsid w:val="00DE6965"/>
    <w:rsid w:val="00DE6EF1"/>
    <w:rsid w:val="00DE737A"/>
    <w:rsid w:val="00DE77B1"/>
    <w:rsid w:val="00DE7F85"/>
    <w:rsid w:val="00DF09F9"/>
    <w:rsid w:val="00DF0A97"/>
    <w:rsid w:val="00DF131D"/>
    <w:rsid w:val="00DF166B"/>
    <w:rsid w:val="00DF1778"/>
    <w:rsid w:val="00DF1D01"/>
    <w:rsid w:val="00DF1D6C"/>
    <w:rsid w:val="00DF209D"/>
    <w:rsid w:val="00DF268B"/>
    <w:rsid w:val="00DF2B50"/>
    <w:rsid w:val="00DF2F83"/>
    <w:rsid w:val="00DF3760"/>
    <w:rsid w:val="00DF45BB"/>
    <w:rsid w:val="00DF46DF"/>
    <w:rsid w:val="00DF4B25"/>
    <w:rsid w:val="00DF4C1E"/>
    <w:rsid w:val="00DF4F39"/>
    <w:rsid w:val="00DF504D"/>
    <w:rsid w:val="00DF530A"/>
    <w:rsid w:val="00DF5554"/>
    <w:rsid w:val="00DF5BD3"/>
    <w:rsid w:val="00DF613F"/>
    <w:rsid w:val="00DF637B"/>
    <w:rsid w:val="00DF6462"/>
    <w:rsid w:val="00DF67C6"/>
    <w:rsid w:val="00DF6816"/>
    <w:rsid w:val="00DF6859"/>
    <w:rsid w:val="00DF6979"/>
    <w:rsid w:val="00DF737A"/>
    <w:rsid w:val="00DF7E7A"/>
    <w:rsid w:val="00E002CF"/>
    <w:rsid w:val="00E0037E"/>
    <w:rsid w:val="00E004C8"/>
    <w:rsid w:val="00E00502"/>
    <w:rsid w:val="00E00692"/>
    <w:rsid w:val="00E00976"/>
    <w:rsid w:val="00E00B3F"/>
    <w:rsid w:val="00E00CD4"/>
    <w:rsid w:val="00E01B12"/>
    <w:rsid w:val="00E01CB8"/>
    <w:rsid w:val="00E01E12"/>
    <w:rsid w:val="00E02281"/>
    <w:rsid w:val="00E0245C"/>
    <w:rsid w:val="00E0295E"/>
    <w:rsid w:val="00E02B5F"/>
    <w:rsid w:val="00E02FA4"/>
    <w:rsid w:val="00E02FDC"/>
    <w:rsid w:val="00E031EA"/>
    <w:rsid w:val="00E031EB"/>
    <w:rsid w:val="00E0329B"/>
    <w:rsid w:val="00E035F2"/>
    <w:rsid w:val="00E03C7A"/>
    <w:rsid w:val="00E040EF"/>
    <w:rsid w:val="00E0439D"/>
    <w:rsid w:val="00E0474E"/>
    <w:rsid w:val="00E04F8E"/>
    <w:rsid w:val="00E057AC"/>
    <w:rsid w:val="00E05DF7"/>
    <w:rsid w:val="00E0665C"/>
    <w:rsid w:val="00E06825"/>
    <w:rsid w:val="00E06DA4"/>
    <w:rsid w:val="00E076B0"/>
    <w:rsid w:val="00E1047F"/>
    <w:rsid w:val="00E110BD"/>
    <w:rsid w:val="00E111E4"/>
    <w:rsid w:val="00E111F2"/>
    <w:rsid w:val="00E11FA9"/>
    <w:rsid w:val="00E12271"/>
    <w:rsid w:val="00E12D36"/>
    <w:rsid w:val="00E13186"/>
    <w:rsid w:val="00E1338C"/>
    <w:rsid w:val="00E13EC7"/>
    <w:rsid w:val="00E14C13"/>
    <w:rsid w:val="00E14FD3"/>
    <w:rsid w:val="00E15512"/>
    <w:rsid w:val="00E15890"/>
    <w:rsid w:val="00E15B17"/>
    <w:rsid w:val="00E15BB4"/>
    <w:rsid w:val="00E15FA7"/>
    <w:rsid w:val="00E165A2"/>
    <w:rsid w:val="00E16637"/>
    <w:rsid w:val="00E1696D"/>
    <w:rsid w:val="00E1736E"/>
    <w:rsid w:val="00E174CC"/>
    <w:rsid w:val="00E17FF6"/>
    <w:rsid w:val="00E202FD"/>
    <w:rsid w:val="00E2079B"/>
    <w:rsid w:val="00E209A8"/>
    <w:rsid w:val="00E209FD"/>
    <w:rsid w:val="00E20FEC"/>
    <w:rsid w:val="00E21371"/>
    <w:rsid w:val="00E219FD"/>
    <w:rsid w:val="00E222B2"/>
    <w:rsid w:val="00E229B7"/>
    <w:rsid w:val="00E22B51"/>
    <w:rsid w:val="00E23067"/>
    <w:rsid w:val="00E2387A"/>
    <w:rsid w:val="00E23A15"/>
    <w:rsid w:val="00E241BC"/>
    <w:rsid w:val="00E24933"/>
    <w:rsid w:val="00E24A94"/>
    <w:rsid w:val="00E24EA1"/>
    <w:rsid w:val="00E25047"/>
    <w:rsid w:val="00E2519B"/>
    <w:rsid w:val="00E2557B"/>
    <w:rsid w:val="00E25890"/>
    <w:rsid w:val="00E25A07"/>
    <w:rsid w:val="00E2625B"/>
    <w:rsid w:val="00E26C36"/>
    <w:rsid w:val="00E271AE"/>
    <w:rsid w:val="00E30AD0"/>
    <w:rsid w:val="00E30B73"/>
    <w:rsid w:val="00E30D3E"/>
    <w:rsid w:val="00E3131D"/>
    <w:rsid w:val="00E314CC"/>
    <w:rsid w:val="00E31624"/>
    <w:rsid w:val="00E316C4"/>
    <w:rsid w:val="00E31963"/>
    <w:rsid w:val="00E319ED"/>
    <w:rsid w:val="00E31CA2"/>
    <w:rsid w:val="00E31DA2"/>
    <w:rsid w:val="00E32460"/>
    <w:rsid w:val="00E325F6"/>
    <w:rsid w:val="00E32E3E"/>
    <w:rsid w:val="00E3359A"/>
    <w:rsid w:val="00E33760"/>
    <w:rsid w:val="00E337B6"/>
    <w:rsid w:val="00E33A5F"/>
    <w:rsid w:val="00E343EE"/>
    <w:rsid w:val="00E34711"/>
    <w:rsid w:val="00E34907"/>
    <w:rsid w:val="00E34D34"/>
    <w:rsid w:val="00E35054"/>
    <w:rsid w:val="00E35510"/>
    <w:rsid w:val="00E35A6B"/>
    <w:rsid w:val="00E35AE6"/>
    <w:rsid w:val="00E35C8C"/>
    <w:rsid w:val="00E35F3B"/>
    <w:rsid w:val="00E3642F"/>
    <w:rsid w:val="00E36AEE"/>
    <w:rsid w:val="00E36FFE"/>
    <w:rsid w:val="00E37293"/>
    <w:rsid w:val="00E3762B"/>
    <w:rsid w:val="00E3787C"/>
    <w:rsid w:val="00E37EEB"/>
    <w:rsid w:val="00E40334"/>
    <w:rsid w:val="00E4036F"/>
    <w:rsid w:val="00E406BD"/>
    <w:rsid w:val="00E40B32"/>
    <w:rsid w:val="00E40D94"/>
    <w:rsid w:val="00E4128D"/>
    <w:rsid w:val="00E419E6"/>
    <w:rsid w:val="00E41DAA"/>
    <w:rsid w:val="00E42A12"/>
    <w:rsid w:val="00E43016"/>
    <w:rsid w:val="00E434D5"/>
    <w:rsid w:val="00E4386D"/>
    <w:rsid w:val="00E43A41"/>
    <w:rsid w:val="00E44430"/>
    <w:rsid w:val="00E444D2"/>
    <w:rsid w:val="00E45637"/>
    <w:rsid w:val="00E45BCD"/>
    <w:rsid w:val="00E45C38"/>
    <w:rsid w:val="00E46019"/>
    <w:rsid w:val="00E461C9"/>
    <w:rsid w:val="00E46776"/>
    <w:rsid w:val="00E46984"/>
    <w:rsid w:val="00E46A3E"/>
    <w:rsid w:val="00E46ADC"/>
    <w:rsid w:val="00E46B63"/>
    <w:rsid w:val="00E47295"/>
    <w:rsid w:val="00E4754B"/>
    <w:rsid w:val="00E47DB5"/>
    <w:rsid w:val="00E5089C"/>
    <w:rsid w:val="00E50991"/>
    <w:rsid w:val="00E515E1"/>
    <w:rsid w:val="00E51C5B"/>
    <w:rsid w:val="00E51DA4"/>
    <w:rsid w:val="00E51DFF"/>
    <w:rsid w:val="00E51E45"/>
    <w:rsid w:val="00E5250C"/>
    <w:rsid w:val="00E52842"/>
    <w:rsid w:val="00E52CAD"/>
    <w:rsid w:val="00E52F96"/>
    <w:rsid w:val="00E53225"/>
    <w:rsid w:val="00E53E4C"/>
    <w:rsid w:val="00E544ED"/>
    <w:rsid w:val="00E546BA"/>
    <w:rsid w:val="00E550D5"/>
    <w:rsid w:val="00E5514C"/>
    <w:rsid w:val="00E55E7F"/>
    <w:rsid w:val="00E563B0"/>
    <w:rsid w:val="00E56BC9"/>
    <w:rsid w:val="00E56CEF"/>
    <w:rsid w:val="00E56D2E"/>
    <w:rsid w:val="00E5710E"/>
    <w:rsid w:val="00E57812"/>
    <w:rsid w:val="00E601A5"/>
    <w:rsid w:val="00E60BC6"/>
    <w:rsid w:val="00E60F6C"/>
    <w:rsid w:val="00E60FB0"/>
    <w:rsid w:val="00E610C4"/>
    <w:rsid w:val="00E62C38"/>
    <w:rsid w:val="00E631F2"/>
    <w:rsid w:val="00E63810"/>
    <w:rsid w:val="00E6484E"/>
    <w:rsid w:val="00E65429"/>
    <w:rsid w:val="00E65843"/>
    <w:rsid w:val="00E65982"/>
    <w:rsid w:val="00E65C1F"/>
    <w:rsid w:val="00E66327"/>
    <w:rsid w:val="00E664C4"/>
    <w:rsid w:val="00E66937"/>
    <w:rsid w:val="00E66B9F"/>
    <w:rsid w:val="00E67370"/>
    <w:rsid w:val="00E67A99"/>
    <w:rsid w:val="00E67B24"/>
    <w:rsid w:val="00E7077B"/>
    <w:rsid w:val="00E70788"/>
    <w:rsid w:val="00E70A3F"/>
    <w:rsid w:val="00E70A57"/>
    <w:rsid w:val="00E711A5"/>
    <w:rsid w:val="00E71236"/>
    <w:rsid w:val="00E7146B"/>
    <w:rsid w:val="00E7151A"/>
    <w:rsid w:val="00E7156B"/>
    <w:rsid w:val="00E71C0A"/>
    <w:rsid w:val="00E71F13"/>
    <w:rsid w:val="00E723E6"/>
    <w:rsid w:val="00E7247A"/>
    <w:rsid w:val="00E725B5"/>
    <w:rsid w:val="00E72648"/>
    <w:rsid w:val="00E72977"/>
    <w:rsid w:val="00E72E66"/>
    <w:rsid w:val="00E72F9C"/>
    <w:rsid w:val="00E73D49"/>
    <w:rsid w:val="00E73DB1"/>
    <w:rsid w:val="00E74346"/>
    <w:rsid w:val="00E74466"/>
    <w:rsid w:val="00E74710"/>
    <w:rsid w:val="00E74E45"/>
    <w:rsid w:val="00E74F8D"/>
    <w:rsid w:val="00E74FC1"/>
    <w:rsid w:val="00E750E3"/>
    <w:rsid w:val="00E75231"/>
    <w:rsid w:val="00E754C5"/>
    <w:rsid w:val="00E75B10"/>
    <w:rsid w:val="00E75D40"/>
    <w:rsid w:val="00E75E4C"/>
    <w:rsid w:val="00E7663F"/>
    <w:rsid w:val="00E768C2"/>
    <w:rsid w:val="00E76E97"/>
    <w:rsid w:val="00E7713D"/>
    <w:rsid w:val="00E7719F"/>
    <w:rsid w:val="00E77987"/>
    <w:rsid w:val="00E779B1"/>
    <w:rsid w:val="00E77CBA"/>
    <w:rsid w:val="00E821E8"/>
    <w:rsid w:val="00E821EF"/>
    <w:rsid w:val="00E827D1"/>
    <w:rsid w:val="00E8297A"/>
    <w:rsid w:val="00E82A72"/>
    <w:rsid w:val="00E8394C"/>
    <w:rsid w:val="00E8432D"/>
    <w:rsid w:val="00E84E3E"/>
    <w:rsid w:val="00E8528F"/>
    <w:rsid w:val="00E85500"/>
    <w:rsid w:val="00E8552E"/>
    <w:rsid w:val="00E85856"/>
    <w:rsid w:val="00E859AC"/>
    <w:rsid w:val="00E85C5E"/>
    <w:rsid w:val="00E85EB8"/>
    <w:rsid w:val="00E85FEA"/>
    <w:rsid w:val="00E86907"/>
    <w:rsid w:val="00E86B93"/>
    <w:rsid w:val="00E86E97"/>
    <w:rsid w:val="00E870C5"/>
    <w:rsid w:val="00E8720A"/>
    <w:rsid w:val="00E874DE"/>
    <w:rsid w:val="00E87912"/>
    <w:rsid w:val="00E90B42"/>
    <w:rsid w:val="00E90C25"/>
    <w:rsid w:val="00E90E3C"/>
    <w:rsid w:val="00E90FD7"/>
    <w:rsid w:val="00E91FEF"/>
    <w:rsid w:val="00E93214"/>
    <w:rsid w:val="00E9341F"/>
    <w:rsid w:val="00E93606"/>
    <w:rsid w:val="00E94191"/>
    <w:rsid w:val="00E942CB"/>
    <w:rsid w:val="00E94443"/>
    <w:rsid w:val="00E950D3"/>
    <w:rsid w:val="00E95899"/>
    <w:rsid w:val="00E95CE4"/>
    <w:rsid w:val="00E95DB8"/>
    <w:rsid w:val="00EA0383"/>
    <w:rsid w:val="00EA0A28"/>
    <w:rsid w:val="00EA0EF5"/>
    <w:rsid w:val="00EA10BC"/>
    <w:rsid w:val="00EA1D36"/>
    <w:rsid w:val="00EA1EFA"/>
    <w:rsid w:val="00EA1F2A"/>
    <w:rsid w:val="00EA2BC4"/>
    <w:rsid w:val="00EA2E85"/>
    <w:rsid w:val="00EA3FB0"/>
    <w:rsid w:val="00EA434E"/>
    <w:rsid w:val="00EA472C"/>
    <w:rsid w:val="00EA49D0"/>
    <w:rsid w:val="00EA4CBA"/>
    <w:rsid w:val="00EA4F9B"/>
    <w:rsid w:val="00EA54AC"/>
    <w:rsid w:val="00EA57D1"/>
    <w:rsid w:val="00EA5893"/>
    <w:rsid w:val="00EA5EDA"/>
    <w:rsid w:val="00EA6A6E"/>
    <w:rsid w:val="00EA7A32"/>
    <w:rsid w:val="00EA7B10"/>
    <w:rsid w:val="00EA7C9C"/>
    <w:rsid w:val="00EB03C7"/>
    <w:rsid w:val="00EB059A"/>
    <w:rsid w:val="00EB1D3D"/>
    <w:rsid w:val="00EB24EF"/>
    <w:rsid w:val="00EB26E5"/>
    <w:rsid w:val="00EB290F"/>
    <w:rsid w:val="00EB2D35"/>
    <w:rsid w:val="00EB31DE"/>
    <w:rsid w:val="00EB34B5"/>
    <w:rsid w:val="00EB38FA"/>
    <w:rsid w:val="00EB46BA"/>
    <w:rsid w:val="00EB4C87"/>
    <w:rsid w:val="00EB4D88"/>
    <w:rsid w:val="00EB5262"/>
    <w:rsid w:val="00EB54DA"/>
    <w:rsid w:val="00EB5AB4"/>
    <w:rsid w:val="00EB5CF4"/>
    <w:rsid w:val="00EB63C8"/>
    <w:rsid w:val="00EB6503"/>
    <w:rsid w:val="00EB6652"/>
    <w:rsid w:val="00EB6F39"/>
    <w:rsid w:val="00EB717E"/>
    <w:rsid w:val="00EB7418"/>
    <w:rsid w:val="00EB7588"/>
    <w:rsid w:val="00EB7699"/>
    <w:rsid w:val="00EB7836"/>
    <w:rsid w:val="00EB7CF1"/>
    <w:rsid w:val="00EB7D99"/>
    <w:rsid w:val="00EC0A09"/>
    <w:rsid w:val="00EC0D7E"/>
    <w:rsid w:val="00EC0FCA"/>
    <w:rsid w:val="00EC1504"/>
    <w:rsid w:val="00EC15B7"/>
    <w:rsid w:val="00EC1A20"/>
    <w:rsid w:val="00EC27AF"/>
    <w:rsid w:val="00EC27BC"/>
    <w:rsid w:val="00EC28D5"/>
    <w:rsid w:val="00EC29E9"/>
    <w:rsid w:val="00EC2A79"/>
    <w:rsid w:val="00EC2B25"/>
    <w:rsid w:val="00EC3E89"/>
    <w:rsid w:val="00EC433F"/>
    <w:rsid w:val="00EC48AC"/>
    <w:rsid w:val="00EC4ED1"/>
    <w:rsid w:val="00EC508F"/>
    <w:rsid w:val="00EC51DC"/>
    <w:rsid w:val="00EC523D"/>
    <w:rsid w:val="00EC55AD"/>
    <w:rsid w:val="00EC5BAD"/>
    <w:rsid w:val="00EC5F63"/>
    <w:rsid w:val="00EC62E8"/>
    <w:rsid w:val="00EC63B1"/>
    <w:rsid w:val="00EC6818"/>
    <w:rsid w:val="00EC6C30"/>
    <w:rsid w:val="00EC7474"/>
    <w:rsid w:val="00EC76F5"/>
    <w:rsid w:val="00EC7C8E"/>
    <w:rsid w:val="00ED0EA4"/>
    <w:rsid w:val="00ED12C6"/>
    <w:rsid w:val="00ED161A"/>
    <w:rsid w:val="00ED19AD"/>
    <w:rsid w:val="00ED1A3B"/>
    <w:rsid w:val="00ED21F1"/>
    <w:rsid w:val="00ED2C6D"/>
    <w:rsid w:val="00ED2E08"/>
    <w:rsid w:val="00ED35E1"/>
    <w:rsid w:val="00ED457E"/>
    <w:rsid w:val="00ED5019"/>
    <w:rsid w:val="00ED53D0"/>
    <w:rsid w:val="00ED5775"/>
    <w:rsid w:val="00ED577E"/>
    <w:rsid w:val="00ED7000"/>
    <w:rsid w:val="00ED7083"/>
    <w:rsid w:val="00ED7185"/>
    <w:rsid w:val="00ED71A9"/>
    <w:rsid w:val="00ED75E3"/>
    <w:rsid w:val="00EE007D"/>
    <w:rsid w:val="00EE04A3"/>
    <w:rsid w:val="00EE0884"/>
    <w:rsid w:val="00EE0A89"/>
    <w:rsid w:val="00EE103F"/>
    <w:rsid w:val="00EE127E"/>
    <w:rsid w:val="00EE138D"/>
    <w:rsid w:val="00EE142C"/>
    <w:rsid w:val="00EE14FD"/>
    <w:rsid w:val="00EE1A2B"/>
    <w:rsid w:val="00EE1C2E"/>
    <w:rsid w:val="00EE2298"/>
    <w:rsid w:val="00EE2747"/>
    <w:rsid w:val="00EE28E0"/>
    <w:rsid w:val="00EE291E"/>
    <w:rsid w:val="00EE2A68"/>
    <w:rsid w:val="00EE2C5D"/>
    <w:rsid w:val="00EE3138"/>
    <w:rsid w:val="00EE3D74"/>
    <w:rsid w:val="00EE3E58"/>
    <w:rsid w:val="00EE4917"/>
    <w:rsid w:val="00EE4AD5"/>
    <w:rsid w:val="00EE4B1B"/>
    <w:rsid w:val="00EE5295"/>
    <w:rsid w:val="00EE52F2"/>
    <w:rsid w:val="00EE55FA"/>
    <w:rsid w:val="00EE5732"/>
    <w:rsid w:val="00EE57EB"/>
    <w:rsid w:val="00EE5F75"/>
    <w:rsid w:val="00EE6B84"/>
    <w:rsid w:val="00EE7139"/>
    <w:rsid w:val="00EE72D3"/>
    <w:rsid w:val="00EE7571"/>
    <w:rsid w:val="00EF06D5"/>
    <w:rsid w:val="00EF08B3"/>
    <w:rsid w:val="00EF0BE7"/>
    <w:rsid w:val="00EF0E26"/>
    <w:rsid w:val="00EF0E93"/>
    <w:rsid w:val="00EF1645"/>
    <w:rsid w:val="00EF1870"/>
    <w:rsid w:val="00EF20B8"/>
    <w:rsid w:val="00EF32EA"/>
    <w:rsid w:val="00EF4BBE"/>
    <w:rsid w:val="00EF4C94"/>
    <w:rsid w:val="00EF50F2"/>
    <w:rsid w:val="00EF51CF"/>
    <w:rsid w:val="00EF5297"/>
    <w:rsid w:val="00EF5B40"/>
    <w:rsid w:val="00EF5C44"/>
    <w:rsid w:val="00EF6A4B"/>
    <w:rsid w:val="00EF6E80"/>
    <w:rsid w:val="00EF741E"/>
    <w:rsid w:val="00EF7537"/>
    <w:rsid w:val="00EF7D00"/>
    <w:rsid w:val="00EF7E34"/>
    <w:rsid w:val="00F0061D"/>
    <w:rsid w:val="00F0098B"/>
    <w:rsid w:val="00F01031"/>
    <w:rsid w:val="00F02074"/>
    <w:rsid w:val="00F026FF"/>
    <w:rsid w:val="00F02969"/>
    <w:rsid w:val="00F02D02"/>
    <w:rsid w:val="00F03B11"/>
    <w:rsid w:val="00F04276"/>
    <w:rsid w:val="00F042CD"/>
    <w:rsid w:val="00F042DD"/>
    <w:rsid w:val="00F04C0B"/>
    <w:rsid w:val="00F05076"/>
    <w:rsid w:val="00F05363"/>
    <w:rsid w:val="00F05C06"/>
    <w:rsid w:val="00F05FF4"/>
    <w:rsid w:val="00F0625F"/>
    <w:rsid w:val="00F06E49"/>
    <w:rsid w:val="00F074FE"/>
    <w:rsid w:val="00F07554"/>
    <w:rsid w:val="00F1028D"/>
    <w:rsid w:val="00F10F4A"/>
    <w:rsid w:val="00F10FB6"/>
    <w:rsid w:val="00F1149E"/>
    <w:rsid w:val="00F11873"/>
    <w:rsid w:val="00F11BAB"/>
    <w:rsid w:val="00F11D15"/>
    <w:rsid w:val="00F124FA"/>
    <w:rsid w:val="00F12672"/>
    <w:rsid w:val="00F12C4C"/>
    <w:rsid w:val="00F12CD3"/>
    <w:rsid w:val="00F12D82"/>
    <w:rsid w:val="00F130E8"/>
    <w:rsid w:val="00F13357"/>
    <w:rsid w:val="00F1343A"/>
    <w:rsid w:val="00F139F7"/>
    <w:rsid w:val="00F14459"/>
    <w:rsid w:val="00F14677"/>
    <w:rsid w:val="00F148F3"/>
    <w:rsid w:val="00F1495A"/>
    <w:rsid w:val="00F14A9B"/>
    <w:rsid w:val="00F14D0E"/>
    <w:rsid w:val="00F154DF"/>
    <w:rsid w:val="00F1620E"/>
    <w:rsid w:val="00F1688F"/>
    <w:rsid w:val="00F16B5C"/>
    <w:rsid w:val="00F16D90"/>
    <w:rsid w:val="00F16F1F"/>
    <w:rsid w:val="00F1706D"/>
    <w:rsid w:val="00F17B9C"/>
    <w:rsid w:val="00F2046E"/>
    <w:rsid w:val="00F20AFC"/>
    <w:rsid w:val="00F2103D"/>
    <w:rsid w:val="00F218EE"/>
    <w:rsid w:val="00F21D27"/>
    <w:rsid w:val="00F21D30"/>
    <w:rsid w:val="00F22B91"/>
    <w:rsid w:val="00F22DEC"/>
    <w:rsid w:val="00F22EA6"/>
    <w:rsid w:val="00F247F2"/>
    <w:rsid w:val="00F24A17"/>
    <w:rsid w:val="00F24A4D"/>
    <w:rsid w:val="00F24D37"/>
    <w:rsid w:val="00F24D9C"/>
    <w:rsid w:val="00F2540D"/>
    <w:rsid w:val="00F25848"/>
    <w:rsid w:val="00F259D0"/>
    <w:rsid w:val="00F25A17"/>
    <w:rsid w:val="00F25B08"/>
    <w:rsid w:val="00F25ED0"/>
    <w:rsid w:val="00F260F9"/>
    <w:rsid w:val="00F26416"/>
    <w:rsid w:val="00F2707B"/>
    <w:rsid w:val="00F274B0"/>
    <w:rsid w:val="00F27932"/>
    <w:rsid w:val="00F27C45"/>
    <w:rsid w:val="00F304C7"/>
    <w:rsid w:val="00F30743"/>
    <w:rsid w:val="00F30BE2"/>
    <w:rsid w:val="00F30F3A"/>
    <w:rsid w:val="00F311DC"/>
    <w:rsid w:val="00F319A6"/>
    <w:rsid w:val="00F31D7A"/>
    <w:rsid w:val="00F31E17"/>
    <w:rsid w:val="00F31ECE"/>
    <w:rsid w:val="00F3210B"/>
    <w:rsid w:val="00F32548"/>
    <w:rsid w:val="00F32BE7"/>
    <w:rsid w:val="00F32DD7"/>
    <w:rsid w:val="00F32E3B"/>
    <w:rsid w:val="00F33ADD"/>
    <w:rsid w:val="00F33B7C"/>
    <w:rsid w:val="00F33BCA"/>
    <w:rsid w:val="00F33C5C"/>
    <w:rsid w:val="00F3592D"/>
    <w:rsid w:val="00F35B47"/>
    <w:rsid w:val="00F35CD0"/>
    <w:rsid w:val="00F36166"/>
    <w:rsid w:val="00F3680C"/>
    <w:rsid w:val="00F36F3F"/>
    <w:rsid w:val="00F37331"/>
    <w:rsid w:val="00F377DD"/>
    <w:rsid w:val="00F37871"/>
    <w:rsid w:val="00F37D8A"/>
    <w:rsid w:val="00F4037E"/>
    <w:rsid w:val="00F407B4"/>
    <w:rsid w:val="00F4090C"/>
    <w:rsid w:val="00F40D15"/>
    <w:rsid w:val="00F40D50"/>
    <w:rsid w:val="00F40F01"/>
    <w:rsid w:val="00F4113F"/>
    <w:rsid w:val="00F41824"/>
    <w:rsid w:val="00F41A0A"/>
    <w:rsid w:val="00F41CE1"/>
    <w:rsid w:val="00F41FCE"/>
    <w:rsid w:val="00F422A4"/>
    <w:rsid w:val="00F4249D"/>
    <w:rsid w:val="00F42540"/>
    <w:rsid w:val="00F42E52"/>
    <w:rsid w:val="00F43D34"/>
    <w:rsid w:val="00F43F0C"/>
    <w:rsid w:val="00F4449C"/>
    <w:rsid w:val="00F4459C"/>
    <w:rsid w:val="00F4485C"/>
    <w:rsid w:val="00F44D45"/>
    <w:rsid w:val="00F4514B"/>
    <w:rsid w:val="00F458ED"/>
    <w:rsid w:val="00F46B16"/>
    <w:rsid w:val="00F46C54"/>
    <w:rsid w:val="00F46CA4"/>
    <w:rsid w:val="00F4714F"/>
    <w:rsid w:val="00F47AE6"/>
    <w:rsid w:val="00F47E05"/>
    <w:rsid w:val="00F501C6"/>
    <w:rsid w:val="00F50C41"/>
    <w:rsid w:val="00F50D6C"/>
    <w:rsid w:val="00F51C38"/>
    <w:rsid w:val="00F5203D"/>
    <w:rsid w:val="00F5221E"/>
    <w:rsid w:val="00F52B75"/>
    <w:rsid w:val="00F52FD6"/>
    <w:rsid w:val="00F53542"/>
    <w:rsid w:val="00F53BBC"/>
    <w:rsid w:val="00F54260"/>
    <w:rsid w:val="00F544B9"/>
    <w:rsid w:val="00F54F7C"/>
    <w:rsid w:val="00F54FF5"/>
    <w:rsid w:val="00F55A2D"/>
    <w:rsid w:val="00F55B04"/>
    <w:rsid w:val="00F55CF8"/>
    <w:rsid w:val="00F56903"/>
    <w:rsid w:val="00F56D55"/>
    <w:rsid w:val="00F56E99"/>
    <w:rsid w:val="00F57486"/>
    <w:rsid w:val="00F5748F"/>
    <w:rsid w:val="00F5763D"/>
    <w:rsid w:val="00F57A76"/>
    <w:rsid w:val="00F60652"/>
    <w:rsid w:val="00F60C2F"/>
    <w:rsid w:val="00F60E24"/>
    <w:rsid w:val="00F61EFA"/>
    <w:rsid w:val="00F625BB"/>
    <w:rsid w:val="00F633CD"/>
    <w:rsid w:val="00F633F2"/>
    <w:rsid w:val="00F63768"/>
    <w:rsid w:val="00F63BC4"/>
    <w:rsid w:val="00F64344"/>
    <w:rsid w:val="00F6441A"/>
    <w:rsid w:val="00F646A3"/>
    <w:rsid w:val="00F6545D"/>
    <w:rsid w:val="00F657F9"/>
    <w:rsid w:val="00F65C3B"/>
    <w:rsid w:val="00F65C91"/>
    <w:rsid w:val="00F66135"/>
    <w:rsid w:val="00F6641A"/>
    <w:rsid w:val="00F66647"/>
    <w:rsid w:val="00F666B2"/>
    <w:rsid w:val="00F66A89"/>
    <w:rsid w:val="00F66F4D"/>
    <w:rsid w:val="00F67454"/>
    <w:rsid w:val="00F675FE"/>
    <w:rsid w:val="00F6783E"/>
    <w:rsid w:val="00F67AD5"/>
    <w:rsid w:val="00F700D1"/>
    <w:rsid w:val="00F70460"/>
    <w:rsid w:val="00F70A51"/>
    <w:rsid w:val="00F70C18"/>
    <w:rsid w:val="00F70CBD"/>
    <w:rsid w:val="00F70DEB"/>
    <w:rsid w:val="00F7114B"/>
    <w:rsid w:val="00F713EA"/>
    <w:rsid w:val="00F719D2"/>
    <w:rsid w:val="00F71FA1"/>
    <w:rsid w:val="00F72211"/>
    <w:rsid w:val="00F7231A"/>
    <w:rsid w:val="00F726B1"/>
    <w:rsid w:val="00F7296A"/>
    <w:rsid w:val="00F73F52"/>
    <w:rsid w:val="00F7435F"/>
    <w:rsid w:val="00F751DB"/>
    <w:rsid w:val="00F76B92"/>
    <w:rsid w:val="00F76E9E"/>
    <w:rsid w:val="00F77066"/>
    <w:rsid w:val="00F77172"/>
    <w:rsid w:val="00F77900"/>
    <w:rsid w:val="00F779CA"/>
    <w:rsid w:val="00F8041B"/>
    <w:rsid w:val="00F8055B"/>
    <w:rsid w:val="00F8067E"/>
    <w:rsid w:val="00F80809"/>
    <w:rsid w:val="00F8094D"/>
    <w:rsid w:val="00F80A74"/>
    <w:rsid w:val="00F80C35"/>
    <w:rsid w:val="00F80F8E"/>
    <w:rsid w:val="00F81E9B"/>
    <w:rsid w:val="00F824EE"/>
    <w:rsid w:val="00F82A51"/>
    <w:rsid w:val="00F82AE6"/>
    <w:rsid w:val="00F82CAE"/>
    <w:rsid w:val="00F82DF6"/>
    <w:rsid w:val="00F83583"/>
    <w:rsid w:val="00F83ACF"/>
    <w:rsid w:val="00F83BE9"/>
    <w:rsid w:val="00F83DF6"/>
    <w:rsid w:val="00F8454A"/>
    <w:rsid w:val="00F8473B"/>
    <w:rsid w:val="00F847C3"/>
    <w:rsid w:val="00F848CB"/>
    <w:rsid w:val="00F84A52"/>
    <w:rsid w:val="00F84A6A"/>
    <w:rsid w:val="00F8599E"/>
    <w:rsid w:val="00F859F4"/>
    <w:rsid w:val="00F8636C"/>
    <w:rsid w:val="00F86381"/>
    <w:rsid w:val="00F86666"/>
    <w:rsid w:val="00F8677C"/>
    <w:rsid w:val="00F86AFF"/>
    <w:rsid w:val="00F86C7C"/>
    <w:rsid w:val="00F86D1F"/>
    <w:rsid w:val="00F87543"/>
    <w:rsid w:val="00F87675"/>
    <w:rsid w:val="00F877BA"/>
    <w:rsid w:val="00F8787D"/>
    <w:rsid w:val="00F87A3A"/>
    <w:rsid w:val="00F90550"/>
    <w:rsid w:val="00F90664"/>
    <w:rsid w:val="00F9098E"/>
    <w:rsid w:val="00F91208"/>
    <w:rsid w:val="00F91A30"/>
    <w:rsid w:val="00F92282"/>
    <w:rsid w:val="00F9228A"/>
    <w:rsid w:val="00F9245B"/>
    <w:rsid w:val="00F92E10"/>
    <w:rsid w:val="00F92F98"/>
    <w:rsid w:val="00F93332"/>
    <w:rsid w:val="00F93669"/>
    <w:rsid w:val="00F93DBC"/>
    <w:rsid w:val="00F94605"/>
    <w:rsid w:val="00F94D7C"/>
    <w:rsid w:val="00F94E93"/>
    <w:rsid w:val="00F95A2B"/>
    <w:rsid w:val="00F95B8A"/>
    <w:rsid w:val="00F9659F"/>
    <w:rsid w:val="00F96885"/>
    <w:rsid w:val="00F968EA"/>
    <w:rsid w:val="00F96DFD"/>
    <w:rsid w:val="00F975F3"/>
    <w:rsid w:val="00F97C6F"/>
    <w:rsid w:val="00FA09D7"/>
    <w:rsid w:val="00FA2452"/>
    <w:rsid w:val="00FA27BA"/>
    <w:rsid w:val="00FA32FE"/>
    <w:rsid w:val="00FA3641"/>
    <w:rsid w:val="00FA43BC"/>
    <w:rsid w:val="00FA45A7"/>
    <w:rsid w:val="00FA5B12"/>
    <w:rsid w:val="00FA5D3E"/>
    <w:rsid w:val="00FA5E7C"/>
    <w:rsid w:val="00FA68D1"/>
    <w:rsid w:val="00FA6C83"/>
    <w:rsid w:val="00FA717B"/>
    <w:rsid w:val="00FA72C4"/>
    <w:rsid w:val="00FA77BF"/>
    <w:rsid w:val="00FA7A20"/>
    <w:rsid w:val="00FA7E74"/>
    <w:rsid w:val="00FB0265"/>
    <w:rsid w:val="00FB0B88"/>
    <w:rsid w:val="00FB0E1C"/>
    <w:rsid w:val="00FB10D4"/>
    <w:rsid w:val="00FB1771"/>
    <w:rsid w:val="00FB1CAD"/>
    <w:rsid w:val="00FB1E9A"/>
    <w:rsid w:val="00FB2859"/>
    <w:rsid w:val="00FB2D61"/>
    <w:rsid w:val="00FB34E5"/>
    <w:rsid w:val="00FB47DE"/>
    <w:rsid w:val="00FB4CE6"/>
    <w:rsid w:val="00FB4D4A"/>
    <w:rsid w:val="00FB5744"/>
    <w:rsid w:val="00FB5BC1"/>
    <w:rsid w:val="00FB60A6"/>
    <w:rsid w:val="00FB6633"/>
    <w:rsid w:val="00FB6B52"/>
    <w:rsid w:val="00FC0337"/>
    <w:rsid w:val="00FC0D2F"/>
    <w:rsid w:val="00FC0EBE"/>
    <w:rsid w:val="00FC1752"/>
    <w:rsid w:val="00FC17DD"/>
    <w:rsid w:val="00FC1827"/>
    <w:rsid w:val="00FC1CFF"/>
    <w:rsid w:val="00FC290F"/>
    <w:rsid w:val="00FC2AF7"/>
    <w:rsid w:val="00FC2B49"/>
    <w:rsid w:val="00FC3500"/>
    <w:rsid w:val="00FC3530"/>
    <w:rsid w:val="00FC36B2"/>
    <w:rsid w:val="00FC371E"/>
    <w:rsid w:val="00FC3D14"/>
    <w:rsid w:val="00FC3D18"/>
    <w:rsid w:val="00FC44E5"/>
    <w:rsid w:val="00FC44F4"/>
    <w:rsid w:val="00FC4AF3"/>
    <w:rsid w:val="00FC4D9C"/>
    <w:rsid w:val="00FC5229"/>
    <w:rsid w:val="00FC5397"/>
    <w:rsid w:val="00FC57EF"/>
    <w:rsid w:val="00FC58AB"/>
    <w:rsid w:val="00FC61D8"/>
    <w:rsid w:val="00FC68BF"/>
    <w:rsid w:val="00FC7E13"/>
    <w:rsid w:val="00FD0727"/>
    <w:rsid w:val="00FD0979"/>
    <w:rsid w:val="00FD0B6D"/>
    <w:rsid w:val="00FD0D3B"/>
    <w:rsid w:val="00FD1D18"/>
    <w:rsid w:val="00FD239E"/>
    <w:rsid w:val="00FD2B91"/>
    <w:rsid w:val="00FD2FED"/>
    <w:rsid w:val="00FD311D"/>
    <w:rsid w:val="00FD3F76"/>
    <w:rsid w:val="00FD4478"/>
    <w:rsid w:val="00FD4894"/>
    <w:rsid w:val="00FD4AA0"/>
    <w:rsid w:val="00FD4F1B"/>
    <w:rsid w:val="00FD5116"/>
    <w:rsid w:val="00FD541B"/>
    <w:rsid w:val="00FD5652"/>
    <w:rsid w:val="00FD56E6"/>
    <w:rsid w:val="00FD59F2"/>
    <w:rsid w:val="00FD65D9"/>
    <w:rsid w:val="00FD66F7"/>
    <w:rsid w:val="00FD682F"/>
    <w:rsid w:val="00FD6C5C"/>
    <w:rsid w:val="00FD716C"/>
    <w:rsid w:val="00FD73EF"/>
    <w:rsid w:val="00FD75CC"/>
    <w:rsid w:val="00FE0425"/>
    <w:rsid w:val="00FE145A"/>
    <w:rsid w:val="00FE176A"/>
    <w:rsid w:val="00FE1C41"/>
    <w:rsid w:val="00FE1EEA"/>
    <w:rsid w:val="00FE2237"/>
    <w:rsid w:val="00FE2418"/>
    <w:rsid w:val="00FE2429"/>
    <w:rsid w:val="00FE2A59"/>
    <w:rsid w:val="00FE2EA8"/>
    <w:rsid w:val="00FE32D7"/>
    <w:rsid w:val="00FE3721"/>
    <w:rsid w:val="00FE37FA"/>
    <w:rsid w:val="00FE4473"/>
    <w:rsid w:val="00FE46E3"/>
    <w:rsid w:val="00FE4AA1"/>
    <w:rsid w:val="00FE4EEF"/>
    <w:rsid w:val="00FE528C"/>
    <w:rsid w:val="00FE5550"/>
    <w:rsid w:val="00FE57F5"/>
    <w:rsid w:val="00FE599E"/>
    <w:rsid w:val="00FE7570"/>
    <w:rsid w:val="00FF00BB"/>
    <w:rsid w:val="00FF17BF"/>
    <w:rsid w:val="00FF193A"/>
    <w:rsid w:val="00FF1F1E"/>
    <w:rsid w:val="00FF22FB"/>
    <w:rsid w:val="00FF28BF"/>
    <w:rsid w:val="00FF2A0B"/>
    <w:rsid w:val="00FF2D24"/>
    <w:rsid w:val="00FF2EB2"/>
    <w:rsid w:val="00FF36FC"/>
    <w:rsid w:val="00FF3A63"/>
    <w:rsid w:val="00FF547C"/>
    <w:rsid w:val="00FF665C"/>
    <w:rsid w:val="00FF6B73"/>
    <w:rsid w:val="00FF6C37"/>
    <w:rsid w:val="00FF6D40"/>
    <w:rsid w:val="00FF7EF8"/>
    <w:rsid w:val="01063038"/>
    <w:rsid w:val="01136C6D"/>
    <w:rsid w:val="01401846"/>
    <w:rsid w:val="017C17DC"/>
    <w:rsid w:val="017E5F74"/>
    <w:rsid w:val="01927600"/>
    <w:rsid w:val="019471C1"/>
    <w:rsid w:val="019D5393"/>
    <w:rsid w:val="01DA3AEE"/>
    <w:rsid w:val="02432CB3"/>
    <w:rsid w:val="025C61BD"/>
    <w:rsid w:val="026F5082"/>
    <w:rsid w:val="02843265"/>
    <w:rsid w:val="02B17B0C"/>
    <w:rsid w:val="02D32C98"/>
    <w:rsid w:val="02F050A0"/>
    <w:rsid w:val="034E5101"/>
    <w:rsid w:val="038A48C4"/>
    <w:rsid w:val="039D434D"/>
    <w:rsid w:val="03AC2819"/>
    <w:rsid w:val="03BC634D"/>
    <w:rsid w:val="03C93A84"/>
    <w:rsid w:val="040B7F1C"/>
    <w:rsid w:val="044A0302"/>
    <w:rsid w:val="047F35E3"/>
    <w:rsid w:val="04876C62"/>
    <w:rsid w:val="048E68BC"/>
    <w:rsid w:val="04E969F8"/>
    <w:rsid w:val="050B31A9"/>
    <w:rsid w:val="052D5413"/>
    <w:rsid w:val="052F09B8"/>
    <w:rsid w:val="05327772"/>
    <w:rsid w:val="05367C2D"/>
    <w:rsid w:val="0541619A"/>
    <w:rsid w:val="054407DC"/>
    <w:rsid w:val="057A1AE8"/>
    <w:rsid w:val="05CC1A0A"/>
    <w:rsid w:val="05E247B5"/>
    <w:rsid w:val="06070DEB"/>
    <w:rsid w:val="06752CEB"/>
    <w:rsid w:val="06B243DC"/>
    <w:rsid w:val="06B9162D"/>
    <w:rsid w:val="06BC58E5"/>
    <w:rsid w:val="06CE0E7B"/>
    <w:rsid w:val="06EF1F55"/>
    <w:rsid w:val="070F0B40"/>
    <w:rsid w:val="07216796"/>
    <w:rsid w:val="074D33F4"/>
    <w:rsid w:val="07984152"/>
    <w:rsid w:val="07A55D55"/>
    <w:rsid w:val="07C527CA"/>
    <w:rsid w:val="07C70B7E"/>
    <w:rsid w:val="07DC424A"/>
    <w:rsid w:val="07EA6A0B"/>
    <w:rsid w:val="07F01F7D"/>
    <w:rsid w:val="07FB1491"/>
    <w:rsid w:val="08282C50"/>
    <w:rsid w:val="084F1F89"/>
    <w:rsid w:val="086D7426"/>
    <w:rsid w:val="0878105A"/>
    <w:rsid w:val="087F52E8"/>
    <w:rsid w:val="089322D6"/>
    <w:rsid w:val="091D48A6"/>
    <w:rsid w:val="09564701"/>
    <w:rsid w:val="09AB2E6D"/>
    <w:rsid w:val="09B34B7B"/>
    <w:rsid w:val="09C37825"/>
    <w:rsid w:val="09CA163A"/>
    <w:rsid w:val="09E057A3"/>
    <w:rsid w:val="0A062C3B"/>
    <w:rsid w:val="0A703ED9"/>
    <w:rsid w:val="0A8E0A71"/>
    <w:rsid w:val="0AB91F01"/>
    <w:rsid w:val="0B0C69BB"/>
    <w:rsid w:val="0B374539"/>
    <w:rsid w:val="0B3D34E2"/>
    <w:rsid w:val="0B4E3C0A"/>
    <w:rsid w:val="0B6A1335"/>
    <w:rsid w:val="0B8E54F7"/>
    <w:rsid w:val="0B9C1C5F"/>
    <w:rsid w:val="0BC20491"/>
    <w:rsid w:val="0C130DCA"/>
    <w:rsid w:val="0C4B3BFD"/>
    <w:rsid w:val="0C6D0406"/>
    <w:rsid w:val="0C802F4F"/>
    <w:rsid w:val="0C9A091F"/>
    <w:rsid w:val="0CBE3AA1"/>
    <w:rsid w:val="0D29667F"/>
    <w:rsid w:val="0D2D58FB"/>
    <w:rsid w:val="0D3A0CF0"/>
    <w:rsid w:val="0D3B48BC"/>
    <w:rsid w:val="0D527D09"/>
    <w:rsid w:val="0D6860FF"/>
    <w:rsid w:val="0DA012B2"/>
    <w:rsid w:val="0DCA7754"/>
    <w:rsid w:val="0DCC2CE2"/>
    <w:rsid w:val="0DCC4DDF"/>
    <w:rsid w:val="0DEB4037"/>
    <w:rsid w:val="0E2037D2"/>
    <w:rsid w:val="0E2B2586"/>
    <w:rsid w:val="0E572AD9"/>
    <w:rsid w:val="0E5F0B0E"/>
    <w:rsid w:val="0E872F63"/>
    <w:rsid w:val="0E884F40"/>
    <w:rsid w:val="0EA9049C"/>
    <w:rsid w:val="0F0A671C"/>
    <w:rsid w:val="0F397214"/>
    <w:rsid w:val="0F4A2BF1"/>
    <w:rsid w:val="0F5B4A89"/>
    <w:rsid w:val="0F5F785D"/>
    <w:rsid w:val="0FB028F4"/>
    <w:rsid w:val="0FBB211F"/>
    <w:rsid w:val="10255737"/>
    <w:rsid w:val="102C45EE"/>
    <w:rsid w:val="104C6C51"/>
    <w:rsid w:val="104E1CA7"/>
    <w:rsid w:val="10812B4E"/>
    <w:rsid w:val="108509BB"/>
    <w:rsid w:val="10CE2715"/>
    <w:rsid w:val="10F66827"/>
    <w:rsid w:val="10FF7CA3"/>
    <w:rsid w:val="11070D34"/>
    <w:rsid w:val="111B55CA"/>
    <w:rsid w:val="11213F5C"/>
    <w:rsid w:val="1131018A"/>
    <w:rsid w:val="11694CC5"/>
    <w:rsid w:val="11E255F9"/>
    <w:rsid w:val="11E624FA"/>
    <w:rsid w:val="121C0D71"/>
    <w:rsid w:val="125B2D22"/>
    <w:rsid w:val="126A77BC"/>
    <w:rsid w:val="12824ADD"/>
    <w:rsid w:val="1284411F"/>
    <w:rsid w:val="128B4FFF"/>
    <w:rsid w:val="12A0709F"/>
    <w:rsid w:val="13076B59"/>
    <w:rsid w:val="132F29AD"/>
    <w:rsid w:val="134A7D3F"/>
    <w:rsid w:val="134B7BE9"/>
    <w:rsid w:val="136F78CC"/>
    <w:rsid w:val="13AC46F3"/>
    <w:rsid w:val="13D015A2"/>
    <w:rsid w:val="13D422D4"/>
    <w:rsid w:val="13E35292"/>
    <w:rsid w:val="143308E5"/>
    <w:rsid w:val="145C422A"/>
    <w:rsid w:val="146D6816"/>
    <w:rsid w:val="14786215"/>
    <w:rsid w:val="14BE16FB"/>
    <w:rsid w:val="14C17128"/>
    <w:rsid w:val="14D714EC"/>
    <w:rsid w:val="14E247B3"/>
    <w:rsid w:val="1508028E"/>
    <w:rsid w:val="15274088"/>
    <w:rsid w:val="1529196F"/>
    <w:rsid w:val="156813EF"/>
    <w:rsid w:val="158E0267"/>
    <w:rsid w:val="15A532B7"/>
    <w:rsid w:val="15D3371D"/>
    <w:rsid w:val="15F95003"/>
    <w:rsid w:val="165014C8"/>
    <w:rsid w:val="165276D8"/>
    <w:rsid w:val="166B30F5"/>
    <w:rsid w:val="16BF6521"/>
    <w:rsid w:val="16C71469"/>
    <w:rsid w:val="16E001E5"/>
    <w:rsid w:val="16E73DA3"/>
    <w:rsid w:val="171A047F"/>
    <w:rsid w:val="171C0855"/>
    <w:rsid w:val="17525F23"/>
    <w:rsid w:val="176346C8"/>
    <w:rsid w:val="176C7DE5"/>
    <w:rsid w:val="17806FFA"/>
    <w:rsid w:val="17A57C09"/>
    <w:rsid w:val="17B5696E"/>
    <w:rsid w:val="17BA4E1F"/>
    <w:rsid w:val="17D16259"/>
    <w:rsid w:val="17D4386A"/>
    <w:rsid w:val="18091E39"/>
    <w:rsid w:val="180969AE"/>
    <w:rsid w:val="183A4446"/>
    <w:rsid w:val="18442ACF"/>
    <w:rsid w:val="18482C69"/>
    <w:rsid w:val="18572C26"/>
    <w:rsid w:val="18856299"/>
    <w:rsid w:val="18A67014"/>
    <w:rsid w:val="18DA2A4D"/>
    <w:rsid w:val="18F646AD"/>
    <w:rsid w:val="191F1123"/>
    <w:rsid w:val="19A85985"/>
    <w:rsid w:val="19C13A0A"/>
    <w:rsid w:val="19D5104E"/>
    <w:rsid w:val="1A2B43DE"/>
    <w:rsid w:val="1A483E9D"/>
    <w:rsid w:val="1A7519F7"/>
    <w:rsid w:val="1A8957EA"/>
    <w:rsid w:val="1A9C29B5"/>
    <w:rsid w:val="1AAE5F6E"/>
    <w:rsid w:val="1AE80E82"/>
    <w:rsid w:val="1B1D2BED"/>
    <w:rsid w:val="1B34527D"/>
    <w:rsid w:val="1B3A1115"/>
    <w:rsid w:val="1B731E88"/>
    <w:rsid w:val="1B8B4CEB"/>
    <w:rsid w:val="1B93411B"/>
    <w:rsid w:val="1BA73EEF"/>
    <w:rsid w:val="1BB55A27"/>
    <w:rsid w:val="1BE07239"/>
    <w:rsid w:val="1BEB0C75"/>
    <w:rsid w:val="1C206E5F"/>
    <w:rsid w:val="1C246B0B"/>
    <w:rsid w:val="1C710564"/>
    <w:rsid w:val="1C870DF4"/>
    <w:rsid w:val="1CB750E0"/>
    <w:rsid w:val="1CC64075"/>
    <w:rsid w:val="1CCB4AFC"/>
    <w:rsid w:val="1CE23DA8"/>
    <w:rsid w:val="1CF9545E"/>
    <w:rsid w:val="1D020BB5"/>
    <w:rsid w:val="1D276497"/>
    <w:rsid w:val="1D443099"/>
    <w:rsid w:val="1D4C4104"/>
    <w:rsid w:val="1D757EF6"/>
    <w:rsid w:val="1D8B5B16"/>
    <w:rsid w:val="1D915375"/>
    <w:rsid w:val="1DBD1E90"/>
    <w:rsid w:val="1DC0796D"/>
    <w:rsid w:val="1DE127ED"/>
    <w:rsid w:val="1E184529"/>
    <w:rsid w:val="1E2412CE"/>
    <w:rsid w:val="1E950F96"/>
    <w:rsid w:val="1EC06501"/>
    <w:rsid w:val="1F07360D"/>
    <w:rsid w:val="1F506376"/>
    <w:rsid w:val="1F8011E1"/>
    <w:rsid w:val="1F8B14AA"/>
    <w:rsid w:val="1FC4211C"/>
    <w:rsid w:val="1FCC072E"/>
    <w:rsid w:val="1FE214CF"/>
    <w:rsid w:val="1FE968C0"/>
    <w:rsid w:val="203F7F7A"/>
    <w:rsid w:val="2075339F"/>
    <w:rsid w:val="209436FE"/>
    <w:rsid w:val="20C70631"/>
    <w:rsid w:val="20FE7CCE"/>
    <w:rsid w:val="210F147E"/>
    <w:rsid w:val="21FF3E73"/>
    <w:rsid w:val="22776A01"/>
    <w:rsid w:val="228D7642"/>
    <w:rsid w:val="22A76CB6"/>
    <w:rsid w:val="22C4176B"/>
    <w:rsid w:val="22E5394B"/>
    <w:rsid w:val="230F463E"/>
    <w:rsid w:val="2322314D"/>
    <w:rsid w:val="233471BB"/>
    <w:rsid w:val="233E4A49"/>
    <w:rsid w:val="238C653F"/>
    <w:rsid w:val="238F04F3"/>
    <w:rsid w:val="23B72AC9"/>
    <w:rsid w:val="23F058F5"/>
    <w:rsid w:val="243272D3"/>
    <w:rsid w:val="247C7970"/>
    <w:rsid w:val="248660ED"/>
    <w:rsid w:val="251F0EC3"/>
    <w:rsid w:val="252F0DDF"/>
    <w:rsid w:val="259154A4"/>
    <w:rsid w:val="25CD1E2E"/>
    <w:rsid w:val="260321A7"/>
    <w:rsid w:val="26101FFB"/>
    <w:rsid w:val="26BB1CAD"/>
    <w:rsid w:val="27017BA3"/>
    <w:rsid w:val="271C3E12"/>
    <w:rsid w:val="27526C4A"/>
    <w:rsid w:val="278A7D9B"/>
    <w:rsid w:val="278D1738"/>
    <w:rsid w:val="27965F0D"/>
    <w:rsid w:val="27A86F3F"/>
    <w:rsid w:val="27B11950"/>
    <w:rsid w:val="27C6070D"/>
    <w:rsid w:val="27D063DE"/>
    <w:rsid w:val="280C3371"/>
    <w:rsid w:val="28345975"/>
    <w:rsid w:val="28353AB0"/>
    <w:rsid w:val="28465586"/>
    <w:rsid w:val="285D1C27"/>
    <w:rsid w:val="286B2491"/>
    <w:rsid w:val="289B6538"/>
    <w:rsid w:val="28FC224A"/>
    <w:rsid w:val="293F10A9"/>
    <w:rsid w:val="29620E3C"/>
    <w:rsid w:val="29C55126"/>
    <w:rsid w:val="29D64FAB"/>
    <w:rsid w:val="2A1A098F"/>
    <w:rsid w:val="2A666797"/>
    <w:rsid w:val="2A94362E"/>
    <w:rsid w:val="2AC70AF5"/>
    <w:rsid w:val="2ACF09E3"/>
    <w:rsid w:val="2AD950E0"/>
    <w:rsid w:val="2AEF5FDE"/>
    <w:rsid w:val="2AF74503"/>
    <w:rsid w:val="2AFD2A6B"/>
    <w:rsid w:val="2B22325F"/>
    <w:rsid w:val="2B464EF9"/>
    <w:rsid w:val="2B4A15F9"/>
    <w:rsid w:val="2B4D6793"/>
    <w:rsid w:val="2B565F27"/>
    <w:rsid w:val="2B626910"/>
    <w:rsid w:val="2B770F44"/>
    <w:rsid w:val="2B7C2A05"/>
    <w:rsid w:val="2C0C310F"/>
    <w:rsid w:val="2C123167"/>
    <w:rsid w:val="2C307416"/>
    <w:rsid w:val="2CCF3C37"/>
    <w:rsid w:val="2CF9372C"/>
    <w:rsid w:val="2D3F1D00"/>
    <w:rsid w:val="2D5A0264"/>
    <w:rsid w:val="2D7E3E86"/>
    <w:rsid w:val="2DA136BD"/>
    <w:rsid w:val="2DB8696F"/>
    <w:rsid w:val="2E07322B"/>
    <w:rsid w:val="2E330841"/>
    <w:rsid w:val="2E33680B"/>
    <w:rsid w:val="2E742ED5"/>
    <w:rsid w:val="2E9B73F9"/>
    <w:rsid w:val="2EA81859"/>
    <w:rsid w:val="2ECF5B72"/>
    <w:rsid w:val="2EDF74BF"/>
    <w:rsid w:val="2EFE33FF"/>
    <w:rsid w:val="2F3A3F06"/>
    <w:rsid w:val="2F492612"/>
    <w:rsid w:val="2F587C89"/>
    <w:rsid w:val="2F681523"/>
    <w:rsid w:val="2F902F9E"/>
    <w:rsid w:val="3023373B"/>
    <w:rsid w:val="302A6F11"/>
    <w:rsid w:val="30445008"/>
    <w:rsid w:val="30CC4AC8"/>
    <w:rsid w:val="30D52DEC"/>
    <w:rsid w:val="30F03A7B"/>
    <w:rsid w:val="312B4FE7"/>
    <w:rsid w:val="31671B7C"/>
    <w:rsid w:val="318E1B60"/>
    <w:rsid w:val="31EB7793"/>
    <w:rsid w:val="320B040B"/>
    <w:rsid w:val="32366E89"/>
    <w:rsid w:val="327F1618"/>
    <w:rsid w:val="32B56802"/>
    <w:rsid w:val="32BF6CAA"/>
    <w:rsid w:val="32ED40AD"/>
    <w:rsid w:val="333762E9"/>
    <w:rsid w:val="333A7F4C"/>
    <w:rsid w:val="334B6FBB"/>
    <w:rsid w:val="336E72DC"/>
    <w:rsid w:val="33C60D78"/>
    <w:rsid w:val="33E705FA"/>
    <w:rsid w:val="33EE6027"/>
    <w:rsid w:val="3415376D"/>
    <w:rsid w:val="34311DA2"/>
    <w:rsid w:val="343F1A8A"/>
    <w:rsid w:val="34FF0F8F"/>
    <w:rsid w:val="350137AB"/>
    <w:rsid w:val="351F1FB9"/>
    <w:rsid w:val="354C5F65"/>
    <w:rsid w:val="356A4E92"/>
    <w:rsid w:val="35FC48CB"/>
    <w:rsid w:val="35FD2848"/>
    <w:rsid w:val="363A2EB3"/>
    <w:rsid w:val="366F15CE"/>
    <w:rsid w:val="36943F62"/>
    <w:rsid w:val="36943F71"/>
    <w:rsid w:val="36E631F6"/>
    <w:rsid w:val="36EE7B6E"/>
    <w:rsid w:val="3714674C"/>
    <w:rsid w:val="37185D64"/>
    <w:rsid w:val="372C4C9A"/>
    <w:rsid w:val="372F7FE4"/>
    <w:rsid w:val="373F4589"/>
    <w:rsid w:val="375A0B7F"/>
    <w:rsid w:val="376D5C1A"/>
    <w:rsid w:val="37B5205E"/>
    <w:rsid w:val="38010506"/>
    <w:rsid w:val="383E2EE0"/>
    <w:rsid w:val="386F3902"/>
    <w:rsid w:val="387367EB"/>
    <w:rsid w:val="387F7C2E"/>
    <w:rsid w:val="38B70B26"/>
    <w:rsid w:val="39004451"/>
    <w:rsid w:val="394744BB"/>
    <w:rsid w:val="39634D86"/>
    <w:rsid w:val="398A74B1"/>
    <w:rsid w:val="39C56CED"/>
    <w:rsid w:val="39D22C91"/>
    <w:rsid w:val="3A051D39"/>
    <w:rsid w:val="3A0D641E"/>
    <w:rsid w:val="3A462921"/>
    <w:rsid w:val="3B11102B"/>
    <w:rsid w:val="3B1459DF"/>
    <w:rsid w:val="3B2D1AF4"/>
    <w:rsid w:val="3B7A3481"/>
    <w:rsid w:val="3B847376"/>
    <w:rsid w:val="3B91005A"/>
    <w:rsid w:val="3B9E599D"/>
    <w:rsid w:val="3BA96B9F"/>
    <w:rsid w:val="3BB448FC"/>
    <w:rsid w:val="3BBD30D6"/>
    <w:rsid w:val="3BD47BAC"/>
    <w:rsid w:val="3C010052"/>
    <w:rsid w:val="3C3266B0"/>
    <w:rsid w:val="3C5761B9"/>
    <w:rsid w:val="3CA37684"/>
    <w:rsid w:val="3CE63FF6"/>
    <w:rsid w:val="3D172ACB"/>
    <w:rsid w:val="3D29798B"/>
    <w:rsid w:val="3D3E05ED"/>
    <w:rsid w:val="3D6A7333"/>
    <w:rsid w:val="3D7D5C9B"/>
    <w:rsid w:val="3E210596"/>
    <w:rsid w:val="3E2F04FF"/>
    <w:rsid w:val="3E3C1553"/>
    <w:rsid w:val="3E674205"/>
    <w:rsid w:val="3E690F29"/>
    <w:rsid w:val="3E7D4DC3"/>
    <w:rsid w:val="3EE00D6B"/>
    <w:rsid w:val="3F2803B7"/>
    <w:rsid w:val="3F2F2863"/>
    <w:rsid w:val="3F3E4986"/>
    <w:rsid w:val="3F4F07DB"/>
    <w:rsid w:val="3F596E1D"/>
    <w:rsid w:val="3F663A28"/>
    <w:rsid w:val="3FCD7EEB"/>
    <w:rsid w:val="40146203"/>
    <w:rsid w:val="404668A2"/>
    <w:rsid w:val="406A776C"/>
    <w:rsid w:val="406C39F6"/>
    <w:rsid w:val="409962AF"/>
    <w:rsid w:val="40C95534"/>
    <w:rsid w:val="40E652D8"/>
    <w:rsid w:val="412C3ACC"/>
    <w:rsid w:val="415D3E37"/>
    <w:rsid w:val="416D09B3"/>
    <w:rsid w:val="417E5FE2"/>
    <w:rsid w:val="41B0508B"/>
    <w:rsid w:val="41CB01CC"/>
    <w:rsid w:val="41EE2D3B"/>
    <w:rsid w:val="420E0BBE"/>
    <w:rsid w:val="42365C09"/>
    <w:rsid w:val="427958E3"/>
    <w:rsid w:val="428F02E8"/>
    <w:rsid w:val="429C5A1C"/>
    <w:rsid w:val="42D6731B"/>
    <w:rsid w:val="42D9688B"/>
    <w:rsid w:val="42EA7825"/>
    <w:rsid w:val="42EC6FA1"/>
    <w:rsid w:val="434D3A87"/>
    <w:rsid w:val="437904AB"/>
    <w:rsid w:val="43BB385B"/>
    <w:rsid w:val="43DE7009"/>
    <w:rsid w:val="440F7949"/>
    <w:rsid w:val="4412289F"/>
    <w:rsid w:val="442C6742"/>
    <w:rsid w:val="44457194"/>
    <w:rsid w:val="44B606E1"/>
    <w:rsid w:val="44B955A0"/>
    <w:rsid w:val="44D7085B"/>
    <w:rsid w:val="44DD7EF9"/>
    <w:rsid w:val="45077CDF"/>
    <w:rsid w:val="45230FBE"/>
    <w:rsid w:val="4565330A"/>
    <w:rsid w:val="45C06792"/>
    <w:rsid w:val="45DA5119"/>
    <w:rsid w:val="460C5318"/>
    <w:rsid w:val="46222FA9"/>
    <w:rsid w:val="46372BC7"/>
    <w:rsid w:val="463F2996"/>
    <w:rsid w:val="465678FE"/>
    <w:rsid w:val="46692122"/>
    <w:rsid w:val="469764FD"/>
    <w:rsid w:val="469A3062"/>
    <w:rsid w:val="46BB3260"/>
    <w:rsid w:val="477B383C"/>
    <w:rsid w:val="47922300"/>
    <w:rsid w:val="47AB53A5"/>
    <w:rsid w:val="47C8054B"/>
    <w:rsid w:val="483C445F"/>
    <w:rsid w:val="48634790"/>
    <w:rsid w:val="486952B3"/>
    <w:rsid w:val="48780586"/>
    <w:rsid w:val="48E416F1"/>
    <w:rsid w:val="49434102"/>
    <w:rsid w:val="49974743"/>
    <w:rsid w:val="49B86B7B"/>
    <w:rsid w:val="49FC17F1"/>
    <w:rsid w:val="4A38667E"/>
    <w:rsid w:val="4A3A490C"/>
    <w:rsid w:val="4A5711E7"/>
    <w:rsid w:val="4A665E5F"/>
    <w:rsid w:val="4ABE0BC4"/>
    <w:rsid w:val="4AF633EE"/>
    <w:rsid w:val="4B1A2A23"/>
    <w:rsid w:val="4B3D7F0A"/>
    <w:rsid w:val="4B505478"/>
    <w:rsid w:val="4B5E2E45"/>
    <w:rsid w:val="4B8B5712"/>
    <w:rsid w:val="4BE451C3"/>
    <w:rsid w:val="4BED787B"/>
    <w:rsid w:val="4C0C4201"/>
    <w:rsid w:val="4C217A0D"/>
    <w:rsid w:val="4C383661"/>
    <w:rsid w:val="4C605FA0"/>
    <w:rsid w:val="4C94689F"/>
    <w:rsid w:val="4CBA5E50"/>
    <w:rsid w:val="4CE5738F"/>
    <w:rsid w:val="4D081C4E"/>
    <w:rsid w:val="4D2C0592"/>
    <w:rsid w:val="4D750DD8"/>
    <w:rsid w:val="4DAE6B42"/>
    <w:rsid w:val="4E067A35"/>
    <w:rsid w:val="4E511110"/>
    <w:rsid w:val="4E707C06"/>
    <w:rsid w:val="4EBA68A6"/>
    <w:rsid w:val="4ED565FD"/>
    <w:rsid w:val="4F262BD6"/>
    <w:rsid w:val="4F857791"/>
    <w:rsid w:val="4FAD7032"/>
    <w:rsid w:val="4FB22F45"/>
    <w:rsid w:val="4FBD7D5C"/>
    <w:rsid w:val="50CC09BA"/>
    <w:rsid w:val="50EC3EE5"/>
    <w:rsid w:val="50FD3857"/>
    <w:rsid w:val="51484BDA"/>
    <w:rsid w:val="514C06D8"/>
    <w:rsid w:val="518A4E47"/>
    <w:rsid w:val="51977D33"/>
    <w:rsid w:val="51FB089A"/>
    <w:rsid w:val="51FD764E"/>
    <w:rsid w:val="52085E07"/>
    <w:rsid w:val="52144CDC"/>
    <w:rsid w:val="526756C3"/>
    <w:rsid w:val="526828D5"/>
    <w:rsid w:val="52BC3937"/>
    <w:rsid w:val="52DE5DF2"/>
    <w:rsid w:val="53040D3D"/>
    <w:rsid w:val="53461839"/>
    <w:rsid w:val="534E68DB"/>
    <w:rsid w:val="537C47E3"/>
    <w:rsid w:val="539B3325"/>
    <w:rsid w:val="53E13A6F"/>
    <w:rsid w:val="5430783C"/>
    <w:rsid w:val="54505185"/>
    <w:rsid w:val="549D5EC1"/>
    <w:rsid w:val="54A25B6B"/>
    <w:rsid w:val="54B81381"/>
    <w:rsid w:val="54EC75A4"/>
    <w:rsid w:val="54F368F0"/>
    <w:rsid w:val="550D302C"/>
    <w:rsid w:val="552002FF"/>
    <w:rsid w:val="5520724E"/>
    <w:rsid w:val="552374E5"/>
    <w:rsid w:val="5541369C"/>
    <w:rsid w:val="55440D6F"/>
    <w:rsid w:val="555A08F7"/>
    <w:rsid w:val="55881546"/>
    <w:rsid w:val="558E1079"/>
    <w:rsid w:val="55C612E4"/>
    <w:rsid w:val="55D50097"/>
    <w:rsid w:val="56013DBF"/>
    <w:rsid w:val="565F4449"/>
    <w:rsid w:val="569513B9"/>
    <w:rsid w:val="56A84DFD"/>
    <w:rsid w:val="56B924B7"/>
    <w:rsid w:val="56D076F9"/>
    <w:rsid w:val="56DD5751"/>
    <w:rsid w:val="572841C2"/>
    <w:rsid w:val="57EE02F3"/>
    <w:rsid w:val="57F82EC8"/>
    <w:rsid w:val="58180BA5"/>
    <w:rsid w:val="58CD0394"/>
    <w:rsid w:val="591A510F"/>
    <w:rsid w:val="59631D88"/>
    <w:rsid w:val="597F015D"/>
    <w:rsid w:val="59842D5C"/>
    <w:rsid w:val="599643F5"/>
    <w:rsid w:val="59974191"/>
    <w:rsid w:val="59A75862"/>
    <w:rsid w:val="59A919AD"/>
    <w:rsid w:val="59B34A74"/>
    <w:rsid w:val="59B768CA"/>
    <w:rsid w:val="5A105259"/>
    <w:rsid w:val="5A8753AD"/>
    <w:rsid w:val="5A934FEE"/>
    <w:rsid w:val="5AC40EAC"/>
    <w:rsid w:val="5AE45E3B"/>
    <w:rsid w:val="5B7756EE"/>
    <w:rsid w:val="5B7B12F1"/>
    <w:rsid w:val="5B7E57D9"/>
    <w:rsid w:val="5B8118C0"/>
    <w:rsid w:val="5B8E24BC"/>
    <w:rsid w:val="5B941CEC"/>
    <w:rsid w:val="5BAA25CB"/>
    <w:rsid w:val="5BBC1C48"/>
    <w:rsid w:val="5BE72064"/>
    <w:rsid w:val="5BF0758B"/>
    <w:rsid w:val="5C3061BE"/>
    <w:rsid w:val="5C314C9C"/>
    <w:rsid w:val="5C666FF4"/>
    <w:rsid w:val="5C687665"/>
    <w:rsid w:val="5CBA6CDE"/>
    <w:rsid w:val="5CF1465E"/>
    <w:rsid w:val="5D016158"/>
    <w:rsid w:val="5D1B0BDF"/>
    <w:rsid w:val="5D1B2F0E"/>
    <w:rsid w:val="5D1E4E09"/>
    <w:rsid w:val="5D4B0531"/>
    <w:rsid w:val="5D582F65"/>
    <w:rsid w:val="5D591019"/>
    <w:rsid w:val="5D69289B"/>
    <w:rsid w:val="5D9D22D5"/>
    <w:rsid w:val="5DB45ED2"/>
    <w:rsid w:val="5DE87D6B"/>
    <w:rsid w:val="5DEE3636"/>
    <w:rsid w:val="5DFB575A"/>
    <w:rsid w:val="5E775EDC"/>
    <w:rsid w:val="5EEF5034"/>
    <w:rsid w:val="5EF52EEF"/>
    <w:rsid w:val="5F1F564E"/>
    <w:rsid w:val="5F372193"/>
    <w:rsid w:val="5F3B069F"/>
    <w:rsid w:val="5F7D423B"/>
    <w:rsid w:val="5FBA4655"/>
    <w:rsid w:val="5FC075BA"/>
    <w:rsid w:val="60192F41"/>
    <w:rsid w:val="60343B9C"/>
    <w:rsid w:val="604162CA"/>
    <w:rsid w:val="60625EF2"/>
    <w:rsid w:val="60E4081F"/>
    <w:rsid w:val="61487FD7"/>
    <w:rsid w:val="61585BEC"/>
    <w:rsid w:val="617C24AD"/>
    <w:rsid w:val="618011FD"/>
    <w:rsid w:val="61894FF8"/>
    <w:rsid w:val="619553CD"/>
    <w:rsid w:val="61957957"/>
    <w:rsid w:val="61A739F1"/>
    <w:rsid w:val="61AB589D"/>
    <w:rsid w:val="623F146C"/>
    <w:rsid w:val="62431899"/>
    <w:rsid w:val="624F257E"/>
    <w:rsid w:val="62861FEC"/>
    <w:rsid w:val="6290071C"/>
    <w:rsid w:val="62B5090F"/>
    <w:rsid w:val="63027BFF"/>
    <w:rsid w:val="63232220"/>
    <w:rsid w:val="6360055C"/>
    <w:rsid w:val="637B2759"/>
    <w:rsid w:val="6387276B"/>
    <w:rsid w:val="64446E69"/>
    <w:rsid w:val="64535DFA"/>
    <w:rsid w:val="6466500F"/>
    <w:rsid w:val="647B66A3"/>
    <w:rsid w:val="64884149"/>
    <w:rsid w:val="64EB51AF"/>
    <w:rsid w:val="64F42DDF"/>
    <w:rsid w:val="64F951CE"/>
    <w:rsid w:val="65105662"/>
    <w:rsid w:val="652C5E68"/>
    <w:rsid w:val="656236B6"/>
    <w:rsid w:val="65AA6973"/>
    <w:rsid w:val="65B869A5"/>
    <w:rsid w:val="66332866"/>
    <w:rsid w:val="6655099B"/>
    <w:rsid w:val="6694706E"/>
    <w:rsid w:val="66A9184D"/>
    <w:rsid w:val="66BE4026"/>
    <w:rsid w:val="66E9741C"/>
    <w:rsid w:val="67522914"/>
    <w:rsid w:val="676870E5"/>
    <w:rsid w:val="677C2850"/>
    <w:rsid w:val="67F46606"/>
    <w:rsid w:val="680C5667"/>
    <w:rsid w:val="686B2676"/>
    <w:rsid w:val="686F3128"/>
    <w:rsid w:val="688646BE"/>
    <w:rsid w:val="68962385"/>
    <w:rsid w:val="68EA6894"/>
    <w:rsid w:val="68F03D60"/>
    <w:rsid w:val="68F17B4F"/>
    <w:rsid w:val="69123AA6"/>
    <w:rsid w:val="69347570"/>
    <w:rsid w:val="693833C3"/>
    <w:rsid w:val="695B72D9"/>
    <w:rsid w:val="69953160"/>
    <w:rsid w:val="69F061AA"/>
    <w:rsid w:val="69FA2ED0"/>
    <w:rsid w:val="6A067B6C"/>
    <w:rsid w:val="6A7748F7"/>
    <w:rsid w:val="6A827A23"/>
    <w:rsid w:val="6ADC3D30"/>
    <w:rsid w:val="6AE9295F"/>
    <w:rsid w:val="6AFB7C79"/>
    <w:rsid w:val="6AFF60EC"/>
    <w:rsid w:val="6B193A93"/>
    <w:rsid w:val="6B307B5B"/>
    <w:rsid w:val="6B5414A1"/>
    <w:rsid w:val="6BCE0449"/>
    <w:rsid w:val="6BD95B9E"/>
    <w:rsid w:val="6C4E4ABB"/>
    <w:rsid w:val="6C600A79"/>
    <w:rsid w:val="6CA65ED1"/>
    <w:rsid w:val="6D0B6EEC"/>
    <w:rsid w:val="6D2936EC"/>
    <w:rsid w:val="6D295C4A"/>
    <w:rsid w:val="6D3D3C78"/>
    <w:rsid w:val="6D443763"/>
    <w:rsid w:val="6DD1011C"/>
    <w:rsid w:val="6DF40DE0"/>
    <w:rsid w:val="6E287F35"/>
    <w:rsid w:val="6EEB432C"/>
    <w:rsid w:val="6F097AF3"/>
    <w:rsid w:val="6F2C04BF"/>
    <w:rsid w:val="6F8074E6"/>
    <w:rsid w:val="6F875705"/>
    <w:rsid w:val="6FD3672A"/>
    <w:rsid w:val="700329D1"/>
    <w:rsid w:val="702E45E1"/>
    <w:rsid w:val="705E0D61"/>
    <w:rsid w:val="706526AE"/>
    <w:rsid w:val="70664919"/>
    <w:rsid w:val="706F29D8"/>
    <w:rsid w:val="7082659E"/>
    <w:rsid w:val="70C20D67"/>
    <w:rsid w:val="70DF6A44"/>
    <w:rsid w:val="70E91138"/>
    <w:rsid w:val="711A620B"/>
    <w:rsid w:val="71291691"/>
    <w:rsid w:val="713505CF"/>
    <w:rsid w:val="715224D0"/>
    <w:rsid w:val="7153779F"/>
    <w:rsid w:val="71591FF4"/>
    <w:rsid w:val="71770ED1"/>
    <w:rsid w:val="719D62C8"/>
    <w:rsid w:val="71A80FED"/>
    <w:rsid w:val="71C209E1"/>
    <w:rsid w:val="71C27EB0"/>
    <w:rsid w:val="71D5281A"/>
    <w:rsid w:val="722C4233"/>
    <w:rsid w:val="725637C4"/>
    <w:rsid w:val="7289591C"/>
    <w:rsid w:val="72A82982"/>
    <w:rsid w:val="72C4455E"/>
    <w:rsid w:val="73061702"/>
    <w:rsid w:val="73147065"/>
    <w:rsid w:val="73206D14"/>
    <w:rsid w:val="73383A24"/>
    <w:rsid w:val="7344125C"/>
    <w:rsid w:val="73457DE6"/>
    <w:rsid w:val="734C0764"/>
    <w:rsid w:val="73813468"/>
    <w:rsid w:val="73910333"/>
    <w:rsid w:val="73C03F50"/>
    <w:rsid w:val="73C44CED"/>
    <w:rsid w:val="74103AB7"/>
    <w:rsid w:val="742B148A"/>
    <w:rsid w:val="742C3196"/>
    <w:rsid w:val="743B5C12"/>
    <w:rsid w:val="74471506"/>
    <w:rsid w:val="7474144A"/>
    <w:rsid w:val="74954DF3"/>
    <w:rsid w:val="749F177B"/>
    <w:rsid w:val="74E16E02"/>
    <w:rsid w:val="750E700E"/>
    <w:rsid w:val="75425B57"/>
    <w:rsid w:val="755B11BC"/>
    <w:rsid w:val="75AF0860"/>
    <w:rsid w:val="75B954D0"/>
    <w:rsid w:val="761144D3"/>
    <w:rsid w:val="761402B1"/>
    <w:rsid w:val="76373766"/>
    <w:rsid w:val="763E7E83"/>
    <w:rsid w:val="764D4C19"/>
    <w:rsid w:val="766B4C39"/>
    <w:rsid w:val="770567DF"/>
    <w:rsid w:val="776311EF"/>
    <w:rsid w:val="778704BE"/>
    <w:rsid w:val="77931C97"/>
    <w:rsid w:val="779D7D11"/>
    <w:rsid w:val="77B4528F"/>
    <w:rsid w:val="780800A8"/>
    <w:rsid w:val="78326989"/>
    <w:rsid w:val="78372A30"/>
    <w:rsid w:val="7845393E"/>
    <w:rsid w:val="784A077E"/>
    <w:rsid w:val="787A5883"/>
    <w:rsid w:val="78855ED9"/>
    <w:rsid w:val="789B24E3"/>
    <w:rsid w:val="78AD0ACD"/>
    <w:rsid w:val="79341AEB"/>
    <w:rsid w:val="79612734"/>
    <w:rsid w:val="798C77C2"/>
    <w:rsid w:val="79D02741"/>
    <w:rsid w:val="79D33DC3"/>
    <w:rsid w:val="7A2860D7"/>
    <w:rsid w:val="7A374C0C"/>
    <w:rsid w:val="7A4A67F9"/>
    <w:rsid w:val="7A4D3F8B"/>
    <w:rsid w:val="7ABC5B02"/>
    <w:rsid w:val="7ACA058E"/>
    <w:rsid w:val="7AF272FC"/>
    <w:rsid w:val="7B220EF6"/>
    <w:rsid w:val="7B69292E"/>
    <w:rsid w:val="7B6F4FCF"/>
    <w:rsid w:val="7B873606"/>
    <w:rsid w:val="7BA86842"/>
    <w:rsid w:val="7BB34DD5"/>
    <w:rsid w:val="7BB7235B"/>
    <w:rsid w:val="7BD85617"/>
    <w:rsid w:val="7C0A3837"/>
    <w:rsid w:val="7C1D4C9E"/>
    <w:rsid w:val="7C201D13"/>
    <w:rsid w:val="7C371C6E"/>
    <w:rsid w:val="7CC925B3"/>
    <w:rsid w:val="7D0A7E5C"/>
    <w:rsid w:val="7D485A6F"/>
    <w:rsid w:val="7D696DE8"/>
    <w:rsid w:val="7D8B7AD0"/>
    <w:rsid w:val="7DCA5BFC"/>
    <w:rsid w:val="7E1803F3"/>
    <w:rsid w:val="7E4F21A1"/>
    <w:rsid w:val="7E7E67CC"/>
    <w:rsid w:val="7EAA512E"/>
    <w:rsid w:val="7EE713D0"/>
    <w:rsid w:val="7F365E04"/>
    <w:rsid w:val="7F472B1E"/>
    <w:rsid w:val="7F7019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0" w:semiHidden="0" w:name="caption"/>
    <w:lsdException w:uiPriority="99" w:name="table of figures" w:locked="1"/>
    <w:lsdException w:qFormat="1" w:unhideWhenUsed="0" w:uiPriority="99" w:name="envelope address"/>
    <w:lsdException w:qFormat="1" w:unhideWhenUsed="0" w:uiPriority="99" w:name="envelope return"/>
    <w:lsdException w:qFormat="1" w:unhideWhenUsed="0" w:uiPriority="0" w:name="footnote reference" w:locked="1"/>
    <w:lsdException w:qFormat="1" w:unhideWhenUsed="0" w:uiPriority="99" w:semiHidden="0" w:name="annotation reference"/>
    <w:lsdException w:qFormat="1" w:unhideWhenUsed="0" w:uiPriority="99" w:semiHidden="0" w:name="line number"/>
    <w:lsdException w:qFormat="1" w:unhideWhenUsed="0" w:uiPriority="0" w:semiHidden="0" w:name="page number"/>
    <w:lsdException w:uiPriority="99" w:name="endnote reference" w:locked="1"/>
    <w:lsdException w:uiPriority="99" w:name="endnote text" w:locked="1"/>
    <w:lsdException w:qFormat="1" w:unhideWhenUsed="0" w:uiPriority="99" w:name="table of authorities"/>
    <w:lsdException w:uiPriority="99" w:name="macro" w:locked="1"/>
    <w:lsdException w:qFormat="1" w:unhideWhenUsed="0" w:uiPriority="0" w:semiHidden="0" w:name="toa heading"/>
    <w:lsdException w:qFormat="1" w:unhideWhenUsed="0" w:uiPriority="0" w:semiHidden="0" w:name="List"/>
    <w:lsdException w:qFormat="1" w:unhideWhenUsed="0" w:uiPriority="99" w:name="List Bullet"/>
    <w:lsdException w:qFormat="1" w:unhideWhenUsed="0"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0" w:semiHidden="0" w:name="List Bullet 2"/>
    <w:lsdException w:qFormat="1" w:unhideWhenUsed="0" w:uiPriority="99" w:name="List Bullet 3"/>
    <w:lsdException w:qFormat="1" w:unhideWhenUsed="0" w:uiPriority="99" w:name="List Bullet 4"/>
    <w:lsdException w:qFormat="1" w:unhideWhenUsed="0" w:uiPriority="99" w:name="List Bullet 5"/>
    <w:lsdException w:qFormat="1" w:unhideWhenUsed="0" w:uiPriority="99" w:name="List Number 2"/>
    <w:lsdException w:qFormat="1" w:unhideWhenUsed="0" w:uiPriority="99" w:name="List Number 3"/>
    <w:lsdException w:qFormat="1" w:unhideWhenUsed="0" w:uiPriority="99" w:name="List Number 4"/>
    <w:lsdException w:qFormat="1" w:unhideWhenUsed="0" w:uiPriority="99" w:name="List Number 5"/>
    <w:lsdException w:qFormat="1" w:unhideWhenUsed="0" w:uiPriority="0" w:semiHidden="0" w:name="Title"/>
    <w:lsdException w:qFormat="1" w:unhideWhenUsed="0" w:uiPriority="99" w:name="Closing"/>
    <w:lsdException w:qFormat="1" w:unhideWhenUsed="0" w:uiPriority="99"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name="List Continue 5"/>
    <w:lsdException w:qFormat="1" w:unhideWhenUsed="0" w:uiPriority="99" w:name="Message Header"/>
    <w:lsdException w:qFormat="1" w:unhideWhenUsed="0" w:uiPriority="99"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name="Body Text First Indent 2"/>
    <w:lsdException w:qFormat="1" w:unhideWhenUsed="0"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qFormat="1" w:unhideWhenUsed="0" w:uiPriority="99" w:name="E-mail Signature"/>
    <w:lsdException w:qFormat="1" w:unhideWhenUsed="0" w:uiPriority="99" w:semiHidden="0" w:name="Normal (Web)"/>
    <w:lsdException w:qFormat="1" w:unhideWhenUsed="0" w:uiPriority="99" w:name="HTML Acronym"/>
    <w:lsdException w:qFormat="1" w:unhideWhenUsed="0" w:uiPriority="99" w:name="HTML Address"/>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99" w:name="HTML Preformatted"/>
    <w:lsdException w:qFormat="1" w:unhideWhenUsed="0" w:uiPriority="99" w:name="HTML Sample"/>
    <w:lsdException w:qFormat="1" w:unhideWhenUsed="0" w:uiPriority="99" w:name="HTML Typewriter"/>
    <w:lsdException w:qFormat="1" w:unhideWhenUsed="0" w:uiPriority="99" w:name="HTML Variable"/>
    <w:lsdException w:qFormat="1" w:uiPriority="99" w:semiHidden="0" w:name="Normal Table"/>
    <w:lsdException w:qFormat="1" w:unhideWhenUsed="0" w:uiPriority="99" w:name="annotation subject"/>
    <w:lsdException w:qFormat="1" w:unhideWhenUsed="0" w:uiPriority="99" w:name="Table Simple 1"/>
    <w:lsdException w:qFormat="1" w:unhideWhenUsed="0" w:uiPriority="99" w:name="Table Simple 2"/>
    <w:lsdException w:qFormat="1" w:unhideWhenUsed="0" w:uiPriority="99" w:name="Table Simple 3"/>
    <w:lsdException w:qFormat="1" w:unhideWhenUsed="0" w:uiPriority="99" w:name="Table Classic 1"/>
    <w:lsdException w:qFormat="1" w:unhideWhenUsed="0" w:uiPriority="99" w:name="Table Classic 2"/>
    <w:lsdException w:qFormat="1" w:unhideWhenUsed="0" w:uiPriority="99" w:name="Table Classic 3"/>
    <w:lsdException w:qFormat="1" w:unhideWhenUsed="0" w:uiPriority="99" w:name="Table Classic 4"/>
    <w:lsdException w:qFormat="1" w:unhideWhenUsed="0" w:uiPriority="99" w:name="Table Colorful 1"/>
    <w:lsdException w:qFormat="1" w:unhideWhenUsed="0" w:uiPriority="99" w:name="Table Colorful 2"/>
    <w:lsdException w:qFormat="1" w:unhideWhenUsed="0" w:uiPriority="99" w:name="Table Colorful 3"/>
    <w:lsdException w:qFormat="1" w:unhideWhenUsed="0" w:uiPriority="99" w:name="Table Columns 1"/>
    <w:lsdException w:qFormat="1" w:unhideWhenUsed="0" w:uiPriority="99" w:name="Table Columns 2"/>
    <w:lsdException w:qFormat="1" w:unhideWhenUsed="0" w:uiPriority="99" w:name="Table Columns 3"/>
    <w:lsdException w:qFormat="1" w:unhideWhenUsed="0" w:uiPriority="99" w:name="Table Columns 4"/>
    <w:lsdException w:qFormat="1" w:unhideWhenUsed="0" w:uiPriority="99" w:name="Table Columns 5"/>
    <w:lsdException w:qFormat="1" w:unhideWhenUsed="0" w:uiPriority="99" w:name="Table Grid 1"/>
    <w:lsdException w:qFormat="1" w:unhideWhenUsed="0" w:uiPriority="99" w:name="Table Grid 2"/>
    <w:lsdException w:qFormat="1" w:unhideWhenUsed="0" w:uiPriority="99" w:name="Table Grid 3"/>
    <w:lsdException w:qFormat="1" w:unhideWhenUsed="0" w:uiPriority="99" w:name="Table Grid 4"/>
    <w:lsdException w:qFormat="1" w:unhideWhenUsed="0" w:uiPriority="99" w:name="Table Grid 5"/>
    <w:lsdException w:qFormat="1" w:unhideWhenUsed="0" w:uiPriority="99" w:name="Table Grid 6"/>
    <w:lsdException w:qFormat="1" w:unhideWhenUsed="0" w:uiPriority="99" w:name="Table Grid 7"/>
    <w:lsdException w:qFormat="1" w:unhideWhenUsed="0" w:uiPriority="99" w:name="Table Grid 8"/>
    <w:lsdException w:qFormat="1" w:unhideWhenUsed="0" w:uiPriority="99" w:name="Table List 1"/>
    <w:lsdException w:qFormat="1" w:unhideWhenUsed="0" w:uiPriority="99" w:name="Table List 2"/>
    <w:lsdException w:qFormat="1" w:unhideWhenUsed="0" w:uiPriority="99" w:name="Table List 3"/>
    <w:lsdException w:qFormat="1" w:unhideWhenUsed="0" w:uiPriority="99" w:name="Table List 4"/>
    <w:lsdException w:qFormat="1" w:unhideWhenUsed="0" w:uiPriority="99" w:name="Table List 5"/>
    <w:lsdException w:qFormat="1" w:unhideWhenUsed="0" w:uiPriority="99" w:name="Table List 6"/>
    <w:lsdException w:qFormat="1" w:unhideWhenUsed="0" w:uiPriority="99" w:name="Table List 7"/>
    <w:lsdException w:qFormat="1" w:unhideWhenUsed="0" w:uiPriority="99" w:name="Table List 8"/>
    <w:lsdException w:qFormat="1" w:unhideWhenUsed="0" w:uiPriority="99" w:name="Table 3D effects 1"/>
    <w:lsdException w:qFormat="1" w:unhideWhenUsed="0" w:uiPriority="99" w:name="Table 3D effects 2"/>
    <w:lsdException w:qFormat="1" w:unhideWhenUsed="0" w:uiPriority="99" w:name="Table 3D effects 3"/>
    <w:lsdException w:qFormat="1" w:unhideWhenUsed="0" w:uiPriority="99" w:name="Table Contemporary"/>
    <w:lsdException w:qFormat="1" w:unhideWhenUsed="0" w:uiPriority="99" w:name="Table Elegant"/>
    <w:lsdException w:qFormat="1" w:unhideWhenUsed="0" w:uiPriority="99" w:name="Table Professional"/>
    <w:lsdException w:qFormat="1" w:unhideWhenUsed="0" w:uiPriority="99" w:name="Table Subtle 1"/>
    <w:lsdException w:qFormat="1" w:unhideWhenUsed="0" w:uiPriority="99" w:name="Table Subtle 2"/>
    <w:lsdException w:qFormat="1" w:unhideWhenUsed="0" w:uiPriority="99" w:name="Table Web 1"/>
    <w:lsdException w:qFormat="1" w:unhideWhenUsed="0" w:uiPriority="99" w:name="Table Web 2"/>
    <w:lsdException w:qFormat="1" w:unhideWhenUsed="0" w:uiPriority="99" w:name="Table Web 3"/>
    <w:lsdException w:qFormat="1" w:unhideWhenUsed="0" w:uiPriority="99" w:semiHidden="0" w:name="Balloon Text"/>
    <w:lsdException w:qFormat="1" w:unhideWhenUsed="0" w:uiPriority="59" w:semiHidden="0" w:name="Table Grid"/>
    <w:lsdException w:qFormat="1" w:unhideWhenUsed="0"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41"/>
    <w:qFormat/>
    <w:uiPriority w:val="99"/>
    <w:pPr>
      <w:numPr>
        <w:ilvl w:val="0"/>
        <w:numId w:val="1"/>
      </w:numPr>
      <w:tabs>
        <w:tab w:val="right" w:leader="dot" w:pos="9061"/>
      </w:tabs>
      <w:spacing w:line="360" w:lineRule="auto"/>
      <w:jc w:val="center"/>
      <w:outlineLvl w:val="0"/>
    </w:pPr>
    <w:rPr>
      <w:b/>
      <w:iCs/>
      <w:sz w:val="36"/>
      <w:szCs w:val="20"/>
    </w:rPr>
  </w:style>
  <w:style w:type="paragraph" w:styleId="4">
    <w:name w:val="heading 2"/>
    <w:basedOn w:val="5"/>
    <w:next w:val="1"/>
    <w:link w:val="145"/>
    <w:qFormat/>
    <w:uiPriority w:val="0"/>
    <w:pPr>
      <w:numPr>
        <w:ilvl w:val="1"/>
        <w:numId w:val="1"/>
      </w:numPr>
      <w:spacing w:before="50" w:beforeLines="50"/>
      <w:ind w:left="0" w:firstLine="200"/>
      <w:outlineLvl w:val="1"/>
    </w:pPr>
    <w:rPr>
      <w:b/>
      <w:bCs w:val="0"/>
    </w:rPr>
  </w:style>
  <w:style w:type="paragraph" w:styleId="6">
    <w:name w:val="heading 3"/>
    <w:basedOn w:val="1"/>
    <w:next w:val="1"/>
    <w:link w:val="142"/>
    <w:qFormat/>
    <w:uiPriority w:val="99"/>
    <w:pPr>
      <w:keepNext/>
      <w:keepLines/>
      <w:numPr>
        <w:ilvl w:val="2"/>
        <w:numId w:val="1"/>
      </w:numPr>
      <w:spacing w:line="360" w:lineRule="auto"/>
      <w:ind w:left="0" w:firstLine="200" w:firstLineChars="200"/>
      <w:jc w:val="left"/>
      <w:outlineLvl w:val="2"/>
    </w:pPr>
    <w:rPr>
      <w:bCs/>
      <w:kern w:val="0"/>
      <w:sz w:val="24"/>
      <w:szCs w:val="32"/>
    </w:rPr>
  </w:style>
  <w:style w:type="paragraph" w:styleId="8">
    <w:name w:val="heading 4"/>
    <w:basedOn w:val="1"/>
    <w:next w:val="1"/>
    <w:link w:val="146"/>
    <w:qFormat/>
    <w:uiPriority w:val="99"/>
    <w:pPr>
      <w:keepNext/>
      <w:keepLines/>
      <w:numPr>
        <w:ilvl w:val="3"/>
        <w:numId w:val="1"/>
      </w:numPr>
      <w:spacing w:before="280" w:after="290" w:line="376" w:lineRule="auto"/>
      <w:outlineLvl w:val="3"/>
    </w:pPr>
    <w:rPr>
      <w:rFonts w:ascii="Arial" w:hAnsi="Arial" w:eastAsia="黑体"/>
      <w:b/>
      <w:bCs/>
      <w:kern w:val="0"/>
      <w:sz w:val="28"/>
      <w:szCs w:val="28"/>
    </w:rPr>
  </w:style>
  <w:style w:type="paragraph" w:styleId="9">
    <w:name w:val="heading 5"/>
    <w:basedOn w:val="1"/>
    <w:next w:val="1"/>
    <w:link w:val="147"/>
    <w:qFormat/>
    <w:uiPriority w:val="99"/>
    <w:pPr>
      <w:keepNext/>
      <w:keepLines/>
      <w:numPr>
        <w:ilvl w:val="4"/>
        <w:numId w:val="1"/>
      </w:numPr>
      <w:spacing w:before="280" w:after="290" w:line="376" w:lineRule="auto"/>
      <w:outlineLvl w:val="4"/>
    </w:pPr>
    <w:rPr>
      <w:b/>
      <w:bCs/>
      <w:kern w:val="0"/>
      <w:sz w:val="28"/>
      <w:szCs w:val="28"/>
    </w:rPr>
  </w:style>
  <w:style w:type="paragraph" w:styleId="10">
    <w:name w:val="heading 6"/>
    <w:basedOn w:val="1"/>
    <w:next w:val="1"/>
    <w:link w:val="148"/>
    <w:qFormat/>
    <w:uiPriority w:val="99"/>
    <w:pPr>
      <w:keepNext/>
      <w:keepLines/>
      <w:numPr>
        <w:ilvl w:val="5"/>
        <w:numId w:val="1"/>
      </w:numPr>
      <w:spacing w:before="240" w:after="64" w:line="320" w:lineRule="auto"/>
      <w:outlineLvl w:val="5"/>
    </w:pPr>
    <w:rPr>
      <w:rFonts w:ascii="Arial" w:hAnsi="Arial" w:eastAsia="黑体"/>
      <w:b/>
      <w:bCs/>
      <w:kern w:val="0"/>
      <w:sz w:val="20"/>
      <w:szCs w:val="20"/>
    </w:rPr>
  </w:style>
  <w:style w:type="paragraph" w:styleId="11">
    <w:name w:val="heading 7"/>
    <w:basedOn w:val="1"/>
    <w:next w:val="1"/>
    <w:link w:val="149"/>
    <w:qFormat/>
    <w:uiPriority w:val="99"/>
    <w:pPr>
      <w:keepNext/>
      <w:keepLines/>
      <w:numPr>
        <w:ilvl w:val="6"/>
        <w:numId w:val="1"/>
      </w:numPr>
      <w:spacing w:before="240" w:after="64" w:line="320" w:lineRule="auto"/>
      <w:jc w:val="left"/>
      <w:outlineLvl w:val="6"/>
    </w:pPr>
    <w:rPr>
      <w:b/>
      <w:bCs/>
      <w:kern w:val="0"/>
      <w:sz w:val="24"/>
      <w:szCs w:val="24"/>
    </w:rPr>
  </w:style>
  <w:style w:type="paragraph" w:styleId="12">
    <w:name w:val="heading 8"/>
    <w:basedOn w:val="1"/>
    <w:next w:val="1"/>
    <w:link w:val="150"/>
    <w:qFormat/>
    <w:uiPriority w:val="99"/>
    <w:pPr>
      <w:keepNext/>
      <w:keepLines/>
      <w:numPr>
        <w:ilvl w:val="7"/>
        <w:numId w:val="1"/>
      </w:numPr>
      <w:tabs>
        <w:tab w:val="left" w:pos="1440"/>
      </w:tabs>
      <w:adjustRightInd w:val="0"/>
      <w:spacing w:line="360" w:lineRule="atLeast"/>
      <w:outlineLvl w:val="7"/>
    </w:pPr>
    <w:rPr>
      <w:rFonts w:ascii="Cambria" w:hAnsi="Cambria"/>
      <w:kern w:val="0"/>
      <w:sz w:val="24"/>
      <w:szCs w:val="24"/>
    </w:rPr>
  </w:style>
  <w:style w:type="paragraph" w:styleId="13">
    <w:name w:val="heading 9"/>
    <w:basedOn w:val="1"/>
    <w:next w:val="1"/>
    <w:link w:val="151"/>
    <w:qFormat/>
    <w:uiPriority w:val="99"/>
    <w:pPr>
      <w:keepNext/>
      <w:keepLines/>
      <w:numPr>
        <w:ilvl w:val="8"/>
        <w:numId w:val="1"/>
      </w:numPr>
      <w:tabs>
        <w:tab w:val="left" w:pos="1584"/>
      </w:tabs>
      <w:adjustRightInd w:val="0"/>
      <w:spacing w:line="360" w:lineRule="atLeast"/>
      <w:outlineLvl w:val="8"/>
    </w:pPr>
    <w:rPr>
      <w:rFonts w:ascii="Cambria" w:hAnsi="Cambria"/>
      <w:kern w:val="0"/>
    </w:rPr>
  </w:style>
  <w:style w:type="character" w:default="1" w:styleId="123">
    <w:name w:val="Default Paragraph Font"/>
    <w:unhideWhenUsed/>
    <w:qFormat/>
    <w:uiPriority w:val="1"/>
  </w:style>
  <w:style w:type="table" w:default="1" w:styleId="78">
    <w:name w:val="Normal Table"/>
    <w:unhideWhenUsed/>
    <w:qFormat/>
    <w:uiPriority w:val="99"/>
    <w:tblPr>
      <w:tblCellMar>
        <w:top w:w="0" w:type="dxa"/>
        <w:left w:w="108" w:type="dxa"/>
        <w:bottom w:w="0" w:type="dxa"/>
        <w:right w:w="108" w:type="dxa"/>
      </w:tblCellMar>
    </w:tblPr>
  </w:style>
  <w:style w:type="paragraph" w:customStyle="1" w:styleId="2">
    <w:name w:val="Default"/>
    <w:link w:val="140"/>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
    <w:name w:val="标题2"/>
    <w:basedOn w:val="6"/>
    <w:next w:val="7"/>
    <w:link w:val="143"/>
    <w:qFormat/>
    <w:uiPriority w:val="0"/>
    <w:pPr>
      <w:ind w:left="720" w:hanging="720" w:firstLineChars="0"/>
      <w:outlineLvl w:val="1"/>
    </w:pPr>
  </w:style>
  <w:style w:type="paragraph" w:styleId="7">
    <w:name w:val="Body Text"/>
    <w:basedOn w:val="1"/>
    <w:link w:val="144"/>
    <w:qFormat/>
    <w:uiPriority w:val="99"/>
    <w:pPr>
      <w:spacing w:after="120"/>
    </w:pPr>
    <w:rPr>
      <w:kern w:val="0"/>
    </w:rPr>
  </w:style>
  <w:style w:type="paragraph" w:styleId="14">
    <w:name w:val="List 3"/>
    <w:basedOn w:val="1"/>
    <w:qFormat/>
    <w:uiPriority w:val="99"/>
    <w:pPr>
      <w:ind w:left="100" w:leftChars="400" w:hanging="200" w:hangingChars="200"/>
    </w:pPr>
  </w:style>
  <w:style w:type="paragraph" w:styleId="15">
    <w:name w:val="toc 7"/>
    <w:basedOn w:val="1"/>
    <w:next w:val="1"/>
    <w:qFormat/>
    <w:uiPriority w:val="39"/>
    <w:pPr>
      <w:ind w:left="1260"/>
      <w:jc w:val="left"/>
    </w:pPr>
    <w:rPr>
      <w:sz w:val="18"/>
      <w:szCs w:val="18"/>
    </w:rPr>
  </w:style>
  <w:style w:type="paragraph" w:styleId="16">
    <w:name w:val="List Number 2"/>
    <w:basedOn w:val="1"/>
    <w:semiHidden/>
    <w:qFormat/>
    <w:uiPriority w:val="99"/>
    <w:pPr>
      <w:tabs>
        <w:tab w:val="left" w:pos="780"/>
      </w:tabs>
      <w:spacing w:after="200" w:line="276" w:lineRule="auto"/>
      <w:ind w:left="780" w:leftChars="200" w:hanging="360" w:hangingChars="200"/>
      <w:jc w:val="left"/>
    </w:pPr>
    <w:rPr>
      <w:rFonts w:ascii="Calibri" w:hAnsi="Calibri" w:cs="Calibri"/>
      <w:kern w:val="0"/>
      <w:sz w:val="22"/>
      <w:szCs w:val="22"/>
      <w:lang w:eastAsia="en-US"/>
    </w:rPr>
  </w:style>
  <w:style w:type="paragraph" w:styleId="17">
    <w:name w:val="table of authorities"/>
    <w:basedOn w:val="1"/>
    <w:next w:val="1"/>
    <w:semiHidden/>
    <w:qFormat/>
    <w:uiPriority w:val="99"/>
    <w:pPr>
      <w:spacing w:after="200" w:line="276" w:lineRule="auto"/>
      <w:ind w:left="420" w:leftChars="200"/>
      <w:jc w:val="left"/>
    </w:pPr>
    <w:rPr>
      <w:rFonts w:ascii="Calibri" w:hAnsi="Calibri" w:cs="Calibri"/>
      <w:kern w:val="0"/>
      <w:sz w:val="22"/>
      <w:szCs w:val="22"/>
      <w:lang w:eastAsia="en-US"/>
    </w:rPr>
  </w:style>
  <w:style w:type="paragraph" w:styleId="18">
    <w:name w:val="Note Heading"/>
    <w:basedOn w:val="1"/>
    <w:next w:val="1"/>
    <w:link w:val="152"/>
    <w:semiHidden/>
    <w:qFormat/>
    <w:uiPriority w:val="99"/>
    <w:pPr>
      <w:spacing w:after="200" w:line="276" w:lineRule="auto"/>
      <w:jc w:val="center"/>
    </w:pPr>
    <w:rPr>
      <w:kern w:val="0"/>
    </w:rPr>
  </w:style>
  <w:style w:type="paragraph" w:styleId="19">
    <w:name w:val="List Bullet 4"/>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20">
    <w:name w:val="E-mail Signature"/>
    <w:basedOn w:val="1"/>
    <w:link w:val="153"/>
    <w:semiHidden/>
    <w:qFormat/>
    <w:uiPriority w:val="99"/>
    <w:pPr>
      <w:spacing w:after="200" w:line="276" w:lineRule="auto"/>
      <w:jc w:val="left"/>
    </w:pPr>
    <w:rPr>
      <w:kern w:val="0"/>
    </w:rPr>
  </w:style>
  <w:style w:type="paragraph" w:styleId="21">
    <w:name w:val="List Number"/>
    <w:basedOn w:val="1"/>
    <w:semiHidden/>
    <w:qFormat/>
    <w:uiPriority w:val="99"/>
    <w:pPr>
      <w:tabs>
        <w:tab w:val="left" w:pos="360"/>
      </w:tabs>
      <w:spacing w:after="200" w:line="276" w:lineRule="auto"/>
      <w:ind w:left="360" w:hanging="360" w:hangingChars="200"/>
      <w:jc w:val="left"/>
    </w:pPr>
    <w:rPr>
      <w:rFonts w:ascii="Calibri" w:hAnsi="Calibri" w:cs="Calibri"/>
      <w:kern w:val="0"/>
      <w:sz w:val="22"/>
      <w:szCs w:val="22"/>
      <w:lang w:eastAsia="en-US"/>
    </w:rPr>
  </w:style>
  <w:style w:type="paragraph" w:styleId="22">
    <w:name w:val="Normal Indent"/>
    <w:basedOn w:val="1"/>
    <w:next w:val="1"/>
    <w:link w:val="154"/>
    <w:qFormat/>
    <w:uiPriority w:val="99"/>
    <w:pPr>
      <w:ind w:firstLine="420" w:firstLineChars="200"/>
    </w:pPr>
    <w:rPr>
      <w:kern w:val="0"/>
    </w:rPr>
  </w:style>
  <w:style w:type="paragraph" w:styleId="23">
    <w:name w:val="caption"/>
    <w:basedOn w:val="1"/>
    <w:next w:val="1"/>
    <w:qFormat/>
    <w:uiPriority w:val="0"/>
    <w:pPr>
      <w:spacing w:before="152" w:after="160"/>
    </w:pPr>
    <w:rPr>
      <w:rFonts w:ascii="Arial" w:hAnsi="Arial" w:eastAsia="黑体" w:cs="Arial"/>
      <w:sz w:val="20"/>
      <w:szCs w:val="20"/>
    </w:rPr>
  </w:style>
  <w:style w:type="paragraph" w:styleId="24">
    <w:name w:val="List Bullet"/>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25">
    <w:name w:val="envelope address"/>
    <w:basedOn w:val="1"/>
    <w:semiHidden/>
    <w:qFormat/>
    <w:uiPriority w:val="99"/>
    <w:pPr>
      <w:framePr w:w="7920" w:h="1980" w:hRule="exact" w:hSpace="180" w:wrap="around" w:vAnchor="margin" w:hAnchor="page" w:xAlign="center" w:yAlign="bottom"/>
      <w:snapToGrid w:val="0"/>
      <w:spacing w:after="200" w:line="276" w:lineRule="auto"/>
      <w:ind w:left="100" w:leftChars="1400"/>
      <w:jc w:val="left"/>
    </w:pPr>
    <w:rPr>
      <w:rFonts w:ascii="Arial" w:hAnsi="Arial" w:cs="Arial"/>
      <w:kern w:val="0"/>
      <w:sz w:val="24"/>
      <w:szCs w:val="24"/>
      <w:lang w:eastAsia="en-US"/>
    </w:rPr>
  </w:style>
  <w:style w:type="paragraph" w:styleId="26">
    <w:name w:val="Document Map"/>
    <w:basedOn w:val="1"/>
    <w:link w:val="155"/>
    <w:qFormat/>
    <w:uiPriority w:val="0"/>
    <w:pPr>
      <w:shd w:val="clear" w:color="auto" w:fill="000080"/>
    </w:pPr>
    <w:rPr>
      <w:kern w:val="0"/>
      <w:sz w:val="2"/>
      <w:szCs w:val="2"/>
    </w:rPr>
  </w:style>
  <w:style w:type="paragraph" w:styleId="27">
    <w:name w:val="toa heading"/>
    <w:basedOn w:val="1"/>
    <w:next w:val="1"/>
    <w:qFormat/>
    <w:uiPriority w:val="0"/>
    <w:pPr>
      <w:spacing w:before="120"/>
    </w:pPr>
    <w:rPr>
      <w:rFonts w:ascii="Arial" w:hAnsi="Arial" w:cs="Arial"/>
      <w:sz w:val="24"/>
      <w:szCs w:val="24"/>
    </w:rPr>
  </w:style>
  <w:style w:type="paragraph" w:styleId="28">
    <w:name w:val="annotation text"/>
    <w:basedOn w:val="1"/>
    <w:link w:val="156"/>
    <w:qFormat/>
    <w:uiPriority w:val="99"/>
    <w:pPr>
      <w:spacing w:after="200" w:line="276" w:lineRule="auto"/>
      <w:jc w:val="left"/>
    </w:pPr>
    <w:rPr>
      <w:kern w:val="0"/>
    </w:rPr>
  </w:style>
  <w:style w:type="paragraph" w:styleId="29">
    <w:name w:val="Salutation"/>
    <w:basedOn w:val="1"/>
    <w:next w:val="1"/>
    <w:link w:val="157"/>
    <w:qFormat/>
    <w:uiPriority w:val="99"/>
    <w:pPr>
      <w:spacing w:after="200" w:line="276" w:lineRule="auto"/>
      <w:jc w:val="left"/>
    </w:pPr>
    <w:rPr>
      <w:kern w:val="0"/>
    </w:rPr>
  </w:style>
  <w:style w:type="paragraph" w:styleId="30">
    <w:name w:val="Body Text 3"/>
    <w:basedOn w:val="1"/>
    <w:link w:val="158"/>
    <w:qFormat/>
    <w:uiPriority w:val="99"/>
    <w:rPr>
      <w:kern w:val="0"/>
      <w:sz w:val="16"/>
      <w:szCs w:val="16"/>
    </w:rPr>
  </w:style>
  <w:style w:type="paragraph" w:styleId="31">
    <w:name w:val="Closing"/>
    <w:basedOn w:val="1"/>
    <w:link w:val="159"/>
    <w:semiHidden/>
    <w:qFormat/>
    <w:uiPriority w:val="99"/>
    <w:pPr>
      <w:spacing w:after="200" w:line="276" w:lineRule="auto"/>
      <w:ind w:left="100" w:leftChars="2100"/>
      <w:jc w:val="left"/>
    </w:pPr>
    <w:rPr>
      <w:kern w:val="0"/>
    </w:rPr>
  </w:style>
  <w:style w:type="paragraph" w:styleId="32">
    <w:name w:val="List Bullet 3"/>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33">
    <w:name w:val="Body Text Indent"/>
    <w:basedOn w:val="1"/>
    <w:link w:val="160"/>
    <w:qFormat/>
    <w:uiPriority w:val="0"/>
    <w:pPr>
      <w:spacing w:line="500" w:lineRule="exact"/>
      <w:ind w:left="1588" w:leftChars="832" w:firstLine="433" w:firstLineChars="196"/>
    </w:pPr>
    <w:rPr>
      <w:kern w:val="0"/>
    </w:rPr>
  </w:style>
  <w:style w:type="paragraph" w:styleId="34">
    <w:name w:val="List Number 3"/>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35">
    <w:name w:val="List 2"/>
    <w:basedOn w:val="1"/>
    <w:qFormat/>
    <w:uiPriority w:val="99"/>
    <w:pPr>
      <w:ind w:left="100" w:leftChars="200" w:hanging="200" w:hangingChars="200"/>
    </w:pPr>
  </w:style>
  <w:style w:type="paragraph" w:styleId="36">
    <w:name w:val="List Continue"/>
    <w:basedOn w:val="1"/>
    <w:qFormat/>
    <w:uiPriority w:val="99"/>
    <w:pPr>
      <w:spacing w:after="120"/>
      <w:ind w:left="420" w:leftChars="200"/>
    </w:pPr>
  </w:style>
  <w:style w:type="paragraph" w:styleId="37">
    <w:name w:val="Block Text"/>
    <w:basedOn w:val="1"/>
    <w:semiHidden/>
    <w:qFormat/>
    <w:uiPriority w:val="99"/>
    <w:pPr>
      <w:spacing w:after="120" w:line="276" w:lineRule="auto"/>
      <w:ind w:left="1440" w:leftChars="700" w:right="1440" w:rightChars="700"/>
      <w:jc w:val="left"/>
    </w:pPr>
    <w:rPr>
      <w:rFonts w:ascii="Calibri" w:hAnsi="Calibri" w:cs="Calibri"/>
      <w:kern w:val="0"/>
      <w:sz w:val="22"/>
      <w:szCs w:val="22"/>
      <w:lang w:eastAsia="en-US"/>
    </w:rPr>
  </w:style>
  <w:style w:type="paragraph" w:styleId="38">
    <w:name w:val="List Bullet 2"/>
    <w:basedOn w:val="1"/>
    <w:qFormat/>
    <w:uiPriority w:val="0"/>
    <w:pPr>
      <w:tabs>
        <w:tab w:val="left" w:pos="360"/>
      </w:tabs>
      <w:spacing w:after="200" w:line="276" w:lineRule="auto"/>
      <w:ind w:left="360" w:hanging="360"/>
      <w:jc w:val="left"/>
    </w:pPr>
    <w:rPr>
      <w:rFonts w:ascii="Calibri" w:hAnsi="Calibri" w:cs="Calibri"/>
      <w:kern w:val="0"/>
      <w:sz w:val="22"/>
      <w:szCs w:val="22"/>
      <w:lang w:eastAsia="en-US"/>
    </w:rPr>
  </w:style>
  <w:style w:type="paragraph" w:styleId="39">
    <w:name w:val="HTML Address"/>
    <w:basedOn w:val="1"/>
    <w:link w:val="161"/>
    <w:semiHidden/>
    <w:qFormat/>
    <w:uiPriority w:val="99"/>
    <w:pPr>
      <w:spacing w:after="200" w:line="276" w:lineRule="auto"/>
      <w:jc w:val="left"/>
    </w:pPr>
    <w:rPr>
      <w:i/>
      <w:iCs/>
      <w:kern w:val="0"/>
    </w:rPr>
  </w:style>
  <w:style w:type="paragraph" w:styleId="40">
    <w:name w:val="toc 5"/>
    <w:basedOn w:val="1"/>
    <w:next w:val="1"/>
    <w:qFormat/>
    <w:uiPriority w:val="39"/>
    <w:pPr>
      <w:ind w:left="840"/>
      <w:jc w:val="left"/>
    </w:pPr>
    <w:rPr>
      <w:sz w:val="18"/>
      <w:szCs w:val="18"/>
    </w:rPr>
  </w:style>
  <w:style w:type="paragraph" w:styleId="41">
    <w:name w:val="toc 3"/>
    <w:basedOn w:val="1"/>
    <w:next w:val="1"/>
    <w:qFormat/>
    <w:uiPriority w:val="39"/>
    <w:pPr>
      <w:spacing w:line="360" w:lineRule="auto"/>
      <w:ind w:left="420"/>
      <w:jc w:val="left"/>
    </w:pPr>
    <w:rPr>
      <w:iCs/>
      <w:sz w:val="24"/>
      <w:szCs w:val="20"/>
    </w:rPr>
  </w:style>
  <w:style w:type="paragraph" w:styleId="42">
    <w:name w:val="Plain Text"/>
    <w:basedOn w:val="1"/>
    <w:link w:val="162"/>
    <w:qFormat/>
    <w:uiPriority w:val="0"/>
    <w:rPr>
      <w:rFonts w:ascii="宋体" w:hAnsi="Courier New"/>
      <w:kern w:val="0"/>
    </w:rPr>
  </w:style>
  <w:style w:type="paragraph" w:styleId="43">
    <w:name w:val="List Bullet 5"/>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44">
    <w:name w:val="List Number 4"/>
    <w:basedOn w:val="1"/>
    <w:semiHidden/>
    <w:qFormat/>
    <w:uiPriority w:val="99"/>
    <w:pPr>
      <w:numPr>
        <w:ilvl w:val="0"/>
        <w:numId w:val="2"/>
      </w:numPr>
      <w:spacing w:after="200" w:line="276" w:lineRule="auto"/>
      <w:jc w:val="left"/>
    </w:pPr>
    <w:rPr>
      <w:rFonts w:ascii="Calibri" w:hAnsi="Calibri" w:cs="Calibri"/>
      <w:kern w:val="0"/>
      <w:sz w:val="22"/>
      <w:szCs w:val="22"/>
      <w:lang w:eastAsia="en-US"/>
    </w:rPr>
  </w:style>
  <w:style w:type="paragraph" w:styleId="45">
    <w:name w:val="toc 8"/>
    <w:basedOn w:val="1"/>
    <w:next w:val="1"/>
    <w:qFormat/>
    <w:uiPriority w:val="39"/>
    <w:pPr>
      <w:ind w:left="1470"/>
      <w:jc w:val="left"/>
    </w:pPr>
    <w:rPr>
      <w:sz w:val="18"/>
      <w:szCs w:val="18"/>
    </w:rPr>
  </w:style>
  <w:style w:type="paragraph" w:styleId="46">
    <w:name w:val="Date"/>
    <w:basedOn w:val="1"/>
    <w:next w:val="1"/>
    <w:link w:val="163"/>
    <w:qFormat/>
    <w:uiPriority w:val="0"/>
    <w:pPr>
      <w:ind w:left="100" w:leftChars="2500"/>
    </w:pPr>
    <w:rPr>
      <w:kern w:val="0"/>
    </w:rPr>
  </w:style>
  <w:style w:type="paragraph" w:styleId="47">
    <w:name w:val="Body Text Indent 2"/>
    <w:basedOn w:val="1"/>
    <w:link w:val="164"/>
    <w:qFormat/>
    <w:uiPriority w:val="0"/>
    <w:pPr>
      <w:spacing w:line="500" w:lineRule="exact"/>
      <w:ind w:firstLine="442" w:firstLineChars="200"/>
    </w:pPr>
    <w:rPr>
      <w:kern w:val="0"/>
    </w:rPr>
  </w:style>
  <w:style w:type="paragraph" w:styleId="48">
    <w:name w:val="List Continue 5"/>
    <w:basedOn w:val="1"/>
    <w:semiHidden/>
    <w:qFormat/>
    <w:uiPriority w:val="99"/>
    <w:pPr>
      <w:spacing w:after="120" w:line="276" w:lineRule="auto"/>
      <w:ind w:left="2100" w:leftChars="1000"/>
      <w:jc w:val="left"/>
    </w:pPr>
    <w:rPr>
      <w:rFonts w:ascii="Calibri" w:hAnsi="Calibri" w:cs="Calibri"/>
      <w:kern w:val="0"/>
      <w:sz w:val="22"/>
      <w:szCs w:val="22"/>
      <w:lang w:eastAsia="en-US"/>
    </w:rPr>
  </w:style>
  <w:style w:type="paragraph" w:styleId="49">
    <w:name w:val="Balloon Text"/>
    <w:basedOn w:val="1"/>
    <w:link w:val="165"/>
    <w:qFormat/>
    <w:uiPriority w:val="99"/>
    <w:rPr>
      <w:sz w:val="18"/>
      <w:szCs w:val="18"/>
    </w:rPr>
  </w:style>
  <w:style w:type="paragraph" w:styleId="50">
    <w:name w:val="footer"/>
    <w:basedOn w:val="1"/>
    <w:link w:val="166"/>
    <w:qFormat/>
    <w:uiPriority w:val="99"/>
    <w:pPr>
      <w:tabs>
        <w:tab w:val="center" w:pos="4153"/>
        <w:tab w:val="right" w:pos="8306"/>
      </w:tabs>
      <w:snapToGrid w:val="0"/>
      <w:jc w:val="left"/>
    </w:pPr>
    <w:rPr>
      <w:kern w:val="0"/>
      <w:sz w:val="18"/>
      <w:szCs w:val="18"/>
    </w:rPr>
  </w:style>
  <w:style w:type="paragraph" w:styleId="51">
    <w:name w:val="envelope return"/>
    <w:basedOn w:val="1"/>
    <w:semiHidden/>
    <w:qFormat/>
    <w:uiPriority w:val="99"/>
    <w:pPr>
      <w:snapToGrid w:val="0"/>
      <w:spacing w:after="200" w:line="276" w:lineRule="auto"/>
      <w:jc w:val="left"/>
    </w:pPr>
    <w:rPr>
      <w:rFonts w:ascii="Arial" w:hAnsi="Arial" w:cs="Arial"/>
      <w:kern w:val="0"/>
      <w:sz w:val="22"/>
      <w:szCs w:val="22"/>
      <w:lang w:eastAsia="en-US"/>
    </w:rPr>
  </w:style>
  <w:style w:type="paragraph" w:styleId="52">
    <w:name w:val="header"/>
    <w:basedOn w:val="1"/>
    <w:link w:val="167"/>
    <w:qFormat/>
    <w:uiPriority w:val="99"/>
    <w:pPr>
      <w:pBdr>
        <w:bottom w:val="single" w:color="auto" w:sz="6" w:space="1"/>
      </w:pBdr>
      <w:tabs>
        <w:tab w:val="center" w:pos="4153"/>
        <w:tab w:val="right" w:pos="8306"/>
      </w:tabs>
      <w:snapToGrid w:val="0"/>
      <w:jc w:val="center"/>
    </w:pPr>
    <w:rPr>
      <w:kern w:val="0"/>
      <w:sz w:val="18"/>
      <w:szCs w:val="18"/>
    </w:rPr>
  </w:style>
  <w:style w:type="paragraph" w:styleId="53">
    <w:name w:val="Signature"/>
    <w:basedOn w:val="1"/>
    <w:link w:val="168"/>
    <w:qFormat/>
    <w:uiPriority w:val="99"/>
    <w:pPr>
      <w:ind w:left="100" w:leftChars="2100"/>
    </w:pPr>
    <w:rPr>
      <w:kern w:val="0"/>
    </w:rPr>
  </w:style>
  <w:style w:type="paragraph" w:styleId="54">
    <w:name w:val="toc 1"/>
    <w:basedOn w:val="1"/>
    <w:next w:val="1"/>
    <w:qFormat/>
    <w:uiPriority w:val="39"/>
    <w:pPr>
      <w:spacing w:before="120" w:after="120"/>
      <w:jc w:val="left"/>
    </w:pPr>
    <w:rPr>
      <w:b/>
      <w:bCs/>
      <w:caps/>
      <w:sz w:val="24"/>
      <w:szCs w:val="20"/>
    </w:rPr>
  </w:style>
  <w:style w:type="paragraph" w:styleId="55">
    <w:name w:val="List Continue 4"/>
    <w:basedOn w:val="1"/>
    <w:qFormat/>
    <w:uiPriority w:val="99"/>
    <w:pPr>
      <w:spacing w:after="120"/>
      <w:ind w:left="1680" w:leftChars="800"/>
    </w:pPr>
  </w:style>
  <w:style w:type="paragraph" w:styleId="56">
    <w:name w:val="toc 4"/>
    <w:basedOn w:val="1"/>
    <w:next w:val="1"/>
    <w:qFormat/>
    <w:uiPriority w:val="39"/>
    <w:pPr>
      <w:ind w:left="630"/>
      <w:jc w:val="left"/>
    </w:pPr>
    <w:rPr>
      <w:sz w:val="18"/>
      <w:szCs w:val="18"/>
    </w:rPr>
  </w:style>
  <w:style w:type="paragraph" w:styleId="57">
    <w:name w:val="Subtitle"/>
    <w:basedOn w:val="1"/>
    <w:link w:val="169"/>
    <w:qFormat/>
    <w:uiPriority w:val="99"/>
    <w:pPr>
      <w:spacing w:before="240" w:after="60" w:line="312" w:lineRule="auto"/>
      <w:jc w:val="center"/>
      <w:outlineLvl w:val="1"/>
    </w:pPr>
    <w:rPr>
      <w:rFonts w:ascii="Cambria" w:hAnsi="Cambria"/>
      <w:b/>
      <w:bCs/>
      <w:kern w:val="28"/>
      <w:sz w:val="32"/>
      <w:szCs w:val="32"/>
    </w:rPr>
  </w:style>
  <w:style w:type="paragraph" w:styleId="58">
    <w:name w:val="List Number 5"/>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59">
    <w:name w:val="List"/>
    <w:basedOn w:val="1"/>
    <w:qFormat/>
    <w:uiPriority w:val="0"/>
    <w:pPr>
      <w:ind w:left="200" w:hanging="200" w:hangingChars="200"/>
    </w:pPr>
  </w:style>
  <w:style w:type="paragraph" w:styleId="60">
    <w:name w:val="footnote text"/>
    <w:basedOn w:val="1"/>
    <w:semiHidden/>
    <w:qFormat/>
    <w:locked/>
    <w:uiPriority w:val="0"/>
    <w:pPr>
      <w:snapToGrid w:val="0"/>
      <w:jc w:val="left"/>
    </w:pPr>
    <w:rPr>
      <w:sz w:val="18"/>
      <w:szCs w:val="18"/>
    </w:rPr>
  </w:style>
  <w:style w:type="paragraph" w:styleId="61">
    <w:name w:val="toc 6"/>
    <w:basedOn w:val="1"/>
    <w:next w:val="1"/>
    <w:qFormat/>
    <w:uiPriority w:val="39"/>
    <w:pPr>
      <w:ind w:left="1050"/>
      <w:jc w:val="left"/>
    </w:pPr>
    <w:rPr>
      <w:sz w:val="18"/>
      <w:szCs w:val="18"/>
    </w:rPr>
  </w:style>
  <w:style w:type="paragraph" w:styleId="62">
    <w:name w:val="List 5"/>
    <w:basedOn w:val="1"/>
    <w:qFormat/>
    <w:uiPriority w:val="99"/>
    <w:pPr>
      <w:ind w:left="100" w:leftChars="800" w:hanging="200" w:hangingChars="200"/>
    </w:pPr>
  </w:style>
  <w:style w:type="paragraph" w:styleId="63">
    <w:name w:val="Body Text Indent 3"/>
    <w:basedOn w:val="1"/>
    <w:link w:val="170"/>
    <w:qFormat/>
    <w:uiPriority w:val="0"/>
    <w:pPr>
      <w:tabs>
        <w:tab w:val="left" w:pos="1134"/>
        <w:tab w:val="left" w:pos="5481"/>
        <w:tab w:val="left" w:pos="5859"/>
      </w:tabs>
      <w:spacing w:line="500" w:lineRule="exact"/>
      <w:ind w:firstLine="8275" w:firstLineChars="1200"/>
    </w:pPr>
    <w:rPr>
      <w:kern w:val="0"/>
      <w:sz w:val="16"/>
      <w:szCs w:val="16"/>
    </w:rPr>
  </w:style>
  <w:style w:type="paragraph" w:styleId="64">
    <w:name w:val="toc 2"/>
    <w:basedOn w:val="1"/>
    <w:next w:val="1"/>
    <w:qFormat/>
    <w:uiPriority w:val="39"/>
    <w:pPr>
      <w:spacing w:line="360" w:lineRule="auto"/>
      <w:ind w:left="210"/>
      <w:jc w:val="left"/>
    </w:pPr>
    <w:rPr>
      <w:smallCaps/>
      <w:sz w:val="24"/>
      <w:szCs w:val="20"/>
    </w:rPr>
  </w:style>
  <w:style w:type="paragraph" w:styleId="65">
    <w:name w:val="toc 9"/>
    <w:basedOn w:val="1"/>
    <w:next w:val="1"/>
    <w:qFormat/>
    <w:uiPriority w:val="39"/>
    <w:pPr>
      <w:ind w:left="1680"/>
      <w:jc w:val="left"/>
    </w:pPr>
    <w:rPr>
      <w:sz w:val="18"/>
      <w:szCs w:val="18"/>
    </w:rPr>
  </w:style>
  <w:style w:type="paragraph" w:styleId="66">
    <w:name w:val="Body Text 2"/>
    <w:basedOn w:val="1"/>
    <w:link w:val="171"/>
    <w:qFormat/>
    <w:uiPriority w:val="99"/>
    <w:rPr>
      <w:kern w:val="0"/>
    </w:rPr>
  </w:style>
  <w:style w:type="paragraph" w:styleId="67">
    <w:name w:val="List 4"/>
    <w:basedOn w:val="1"/>
    <w:qFormat/>
    <w:uiPriority w:val="99"/>
    <w:pPr>
      <w:ind w:left="100" w:leftChars="600" w:hanging="200" w:hangingChars="200"/>
    </w:pPr>
  </w:style>
  <w:style w:type="paragraph" w:styleId="68">
    <w:name w:val="List Continue 2"/>
    <w:basedOn w:val="1"/>
    <w:qFormat/>
    <w:uiPriority w:val="99"/>
    <w:pPr>
      <w:spacing w:after="120"/>
      <w:ind w:left="840" w:leftChars="400"/>
    </w:pPr>
  </w:style>
  <w:style w:type="paragraph" w:styleId="69">
    <w:name w:val="Message Header"/>
    <w:basedOn w:val="1"/>
    <w:link w:val="172"/>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kern w:val="0"/>
      <w:sz w:val="24"/>
      <w:szCs w:val="24"/>
    </w:rPr>
  </w:style>
  <w:style w:type="paragraph" w:styleId="70">
    <w:name w:val="HTML Preformatted"/>
    <w:basedOn w:val="1"/>
    <w:link w:val="173"/>
    <w:semiHidden/>
    <w:qFormat/>
    <w:uiPriority w:val="99"/>
    <w:pPr>
      <w:spacing w:after="200" w:line="276" w:lineRule="auto"/>
      <w:jc w:val="left"/>
    </w:pPr>
    <w:rPr>
      <w:rFonts w:ascii="Courier New" w:hAnsi="Courier New"/>
      <w:kern w:val="0"/>
      <w:sz w:val="20"/>
      <w:szCs w:val="20"/>
    </w:rPr>
  </w:style>
  <w:style w:type="paragraph" w:styleId="7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2">
    <w:name w:val="List Continue 3"/>
    <w:basedOn w:val="1"/>
    <w:qFormat/>
    <w:uiPriority w:val="99"/>
    <w:pPr>
      <w:spacing w:after="120"/>
      <w:ind w:left="1260" w:leftChars="600"/>
    </w:pPr>
  </w:style>
  <w:style w:type="paragraph" w:styleId="73">
    <w:name w:val="index 1"/>
    <w:basedOn w:val="1"/>
    <w:next w:val="1"/>
    <w:qFormat/>
    <w:locked/>
    <w:uiPriority w:val="0"/>
    <w:rPr>
      <w:sz w:val="24"/>
      <w:szCs w:val="24"/>
    </w:rPr>
  </w:style>
  <w:style w:type="paragraph" w:styleId="74">
    <w:name w:val="Title"/>
    <w:basedOn w:val="1"/>
    <w:next w:val="1"/>
    <w:link w:val="174"/>
    <w:qFormat/>
    <w:uiPriority w:val="0"/>
    <w:pPr>
      <w:numPr>
        <w:ilvl w:val="0"/>
        <w:numId w:val="3"/>
      </w:numPr>
      <w:spacing w:before="240" w:after="60" w:line="276" w:lineRule="auto"/>
      <w:jc w:val="center"/>
      <w:outlineLvl w:val="0"/>
    </w:pPr>
    <w:rPr>
      <w:b/>
      <w:bCs/>
      <w:kern w:val="0"/>
      <w:sz w:val="32"/>
      <w:szCs w:val="32"/>
    </w:rPr>
  </w:style>
  <w:style w:type="paragraph" w:styleId="75">
    <w:name w:val="annotation subject"/>
    <w:basedOn w:val="28"/>
    <w:next w:val="28"/>
    <w:link w:val="175"/>
    <w:semiHidden/>
    <w:qFormat/>
    <w:uiPriority w:val="99"/>
    <w:pPr>
      <w:spacing w:after="0" w:line="240" w:lineRule="auto"/>
    </w:pPr>
    <w:rPr>
      <w:rFonts w:ascii="Calibri" w:hAnsi="Calibri"/>
      <w:b/>
      <w:bCs/>
      <w:lang w:eastAsia="en-US"/>
    </w:rPr>
  </w:style>
  <w:style w:type="paragraph" w:styleId="76">
    <w:name w:val="Body Text First Indent"/>
    <w:basedOn w:val="7"/>
    <w:link w:val="176"/>
    <w:qFormat/>
    <w:uiPriority w:val="99"/>
    <w:pPr>
      <w:spacing w:line="400" w:lineRule="exact"/>
      <w:ind w:firstLine="200" w:firstLineChars="200"/>
    </w:pPr>
  </w:style>
  <w:style w:type="paragraph" w:styleId="77">
    <w:name w:val="Body Text First Indent 2"/>
    <w:basedOn w:val="33"/>
    <w:link w:val="177"/>
    <w:semiHidden/>
    <w:qFormat/>
    <w:uiPriority w:val="99"/>
    <w:pPr>
      <w:spacing w:after="120" w:line="276" w:lineRule="auto"/>
      <w:ind w:left="420" w:leftChars="200" w:firstLine="420" w:firstLineChars="200"/>
      <w:jc w:val="left"/>
    </w:pPr>
  </w:style>
  <w:style w:type="table" w:styleId="79">
    <w:name w:val="Table Grid"/>
    <w:basedOn w:val="78"/>
    <w:qFormat/>
    <w:uiPriority w:val="59"/>
    <w:pPr>
      <w:widowControl w:val="0"/>
      <w:spacing w:after="200" w:line="276" w:lineRule="auto"/>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0">
    <w:name w:val="Table Theme"/>
    <w:basedOn w:val="78"/>
    <w:semiHidden/>
    <w:qFormat/>
    <w:uiPriority w:val="99"/>
    <w:pPr>
      <w:widowControl w:val="0"/>
      <w:spacing w:after="200" w:line="276" w:lineRule="auto"/>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1">
    <w:name w:val="Table Colorful 1"/>
    <w:basedOn w:val="78"/>
    <w:semiHidden/>
    <w:qFormat/>
    <w:uiPriority w:val="99"/>
    <w:pPr>
      <w:widowControl w:val="0"/>
      <w:spacing w:after="200" w:line="276" w:lineRule="auto"/>
    </w:pPr>
    <w:rPr>
      <w:rFonts w:ascii="Calibri" w:hAnsi="Calibri" w:cs="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rFonts w:cs="等线"/>
        <w:b/>
        <w:bCs/>
        <w:i/>
        <w:iCs/>
      </w:rPr>
      <w:tblPr/>
      <w:tcPr>
        <w:tcBorders>
          <w:top w:val="nil"/>
          <w:left w:val="nil"/>
          <w:bottom w:val="nil"/>
          <w:right w:val="nil"/>
          <w:insideH w:val="nil"/>
          <w:insideV w:val="nil"/>
          <w:tl2br w:val="nil"/>
          <w:tr2bl w:val="nil"/>
        </w:tcBorders>
        <w:shd w:val="solid" w:color="000000" w:fill="FFFFFF"/>
      </w:tcPr>
    </w:tblStylePr>
    <w:tblStylePr w:type="firstCol">
      <w:rPr>
        <w:rFonts w:cs="等线"/>
        <w:b/>
        <w:bCs/>
        <w:i/>
        <w:iCs/>
      </w:rPr>
      <w:tblPr/>
      <w:tcPr>
        <w:tcBorders>
          <w:top w:val="nil"/>
          <w:left w:val="nil"/>
          <w:bottom w:val="nil"/>
          <w:right w:val="nil"/>
          <w:insideH w:val="nil"/>
          <w:insideV w:val="nil"/>
          <w:tl2br w:val="nil"/>
          <w:tr2bl w:val="nil"/>
        </w:tcBorders>
        <w:shd w:val="solid" w:color="000080" w:fill="FFFFFF"/>
      </w:tcPr>
    </w:tblStylePr>
    <w:tblStylePr w:type="nwCell">
      <w:rPr>
        <w:rFonts w:cs="等线"/>
      </w:rPr>
      <w:tblPr/>
      <w:tcPr>
        <w:tcBorders>
          <w:top w:val="nil"/>
          <w:left w:val="nil"/>
          <w:bottom w:val="nil"/>
          <w:right w:val="nil"/>
          <w:insideH w:val="nil"/>
          <w:insideV w:val="nil"/>
          <w:tl2br w:val="nil"/>
          <w:tr2bl w:val="nil"/>
        </w:tcBorders>
        <w:shd w:val="solid" w:color="000000" w:fill="FFFFFF"/>
      </w:tcPr>
    </w:tblStylePr>
    <w:tblStylePr w:type="swCell">
      <w:rPr>
        <w:rFonts w:cs="等线"/>
        <w:b/>
        <w:bCs/>
        <w:i w:val="0"/>
        <w:iCs w:val="0"/>
      </w:rPr>
      <w:tblPr/>
      <w:tcPr>
        <w:tcBorders>
          <w:top w:val="nil"/>
          <w:left w:val="nil"/>
          <w:bottom w:val="nil"/>
          <w:right w:val="nil"/>
          <w:insideH w:val="nil"/>
          <w:insideV w:val="nil"/>
          <w:tl2br w:val="nil"/>
          <w:tr2bl w:val="nil"/>
        </w:tcBorders>
      </w:tcPr>
    </w:tblStylePr>
  </w:style>
  <w:style w:type="table" w:styleId="82">
    <w:name w:val="Table Colorful 2"/>
    <w:basedOn w:val="78"/>
    <w:semiHidden/>
    <w:qFormat/>
    <w:uiPriority w:val="99"/>
    <w:pPr>
      <w:widowControl w:val="0"/>
      <w:spacing w:after="200" w:line="276" w:lineRule="auto"/>
    </w:pPr>
    <w:rPr>
      <w:rFonts w:ascii="Calibri" w:hAnsi="Calibri" w:cs="Calibri"/>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rFonts w:cs="等线"/>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rFonts w:cs="等线"/>
        <w:b/>
        <w:bCs/>
        <w:i/>
        <w:iCs/>
      </w:rPr>
      <w:tblPr/>
      <w:tcPr>
        <w:tcBorders>
          <w:top w:val="nil"/>
          <w:left w:val="nil"/>
          <w:bottom w:val="nil"/>
          <w:right w:val="nil"/>
          <w:insideH w:val="nil"/>
          <w:insideV w:val="nil"/>
          <w:tl2br w:val="nil"/>
          <w:tr2bl w:val="nil"/>
        </w:tcBorders>
      </w:tcPr>
    </w:tblStylePr>
    <w:tblStylePr w:type="lastCol">
      <w:rPr>
        <w:rFonts w:cs="等线"/>
      </w:rPr>
      <w:tblPr/>
      <w:tcPr>
        <w:tcBorders>
          <w:top w:val="nil"/>
          <w:left w:val="nil"/>
          <w:bottom w:val="nil"/>
          <w:right w:val="nil"/>
          <w:insideH w:val="nil"/>
          <w:insideV w:val="nil"/>
          <w:tl2br w:val="nil"/>
          <w:tr2bl w:val="nil"/>
        </w:tcBorders>
        <w:shd w:val="solid" w:color="C0C0C0" w:fill="FFFFFF"/>
      </w:tcPr>
    </w:tblStylePr>
    <w:tblStylePr w:type="swCell">
      <w:rPr>
        <w:rFonts w:cs="等线"/>
        <w:b/>
        <w:bCs/>
        <w:i w:val="0"/>
        <w:iCs w:val="0"/>
      </w:rPr>
      <w:tblPr/>
      <w:tcPr>
        <w:tcBorders>
          <w:top w:val="nil"/>
          <w:left w:val="nil"/>
          <w:bottom w:val="nil"/>
          <w:right w:val="nil"/>
          <w:insideH w:val="nil"/>
          <w:insideV w:val="nil"/>
          <w:tl2br w:val="nil"/>
          <w:tr2bl w:val="nil"/>
        </w:tcBorders>
      </w:tcPr>
    </w:tblStylePr>
  </w:style>
  <w:style w:type="table" w:styleId="83">
    <w:name w:val="Table Colorful 3"/>
    <w:basedOn w:val="78"/>
    <w:semiHidden/>
    <w:qFormat/>
    <w:uiPriority w:val="99"/>
    <w:pPr>
      <w:widowControl w:val="0"/>
      <w:spacing w:after="200" w:line="276" w:lineRule="auto"/>
    </w:pPr>
    <w:rPr>
      <w:rFonts w:ascii="Calibri" w:hAnsi="Calibri" w:cs="Calibri"/>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rPr>
        <w:rFonts w:cs="等线"/>
      </w:rPr>
      <w:tblPr/>
      <w:tcPr>
        <w:tcBorders>
          <w:top w:val="nil"/>
          <w:left w:val="nil"/>
          <w:bottom w:val="single" w:color="000000" w:sz="6" w:space="0"/>
          <w:right w:val="nil"/>
          <w:insideH w:val="nil"/>
          <w:insideV w:val="nil"/>
          <w:tl2br w:val="nil"/>
          <w:tr2bl w:val="nil"/>
        </w:tcBorders>
        <w:shd w:val="solid" w:color="008080" w:fill="FFFFFF"/>
      </w:tcPr>
    </w:tblStylePr>
    <w:tblStylePr w:type="firstCol">
      <w:rPr>
        <w:rFonts w:cs="等线"/>
      </w:rPr>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rFonts w:cs="等线"/>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4">
    <w:name w:val="Table Elegant"/>
    <w:basedOn w:val="78"/>
    <w:semiHidden/>
    <w:qFormat/>
    <w:uiPriority w:val="99"/>
    <w:pPr>
      <w:widowControl w:val="0"/>
      <w:spacing w:after="200" w:line="276" w:lineRule="auto"/>
    </w:pPr>
    <w:rPr>
      <w:rFonts w:ascii="Calibri" w:hAnsi="Calibri" w:cs="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等线"/>
        <w:caps/>
        <w:color w:val="auto"/>
      </w:rPr>
      <w:tblPr/>
      <w:tcPr>
        <w:tcBorders>
          <w:top w:val="nil"/>
          <w:left w:val="nil"/>
          <w:bottom w:val="nil"/>
          <w:right w:val="nil"/>
          <w:insideH w:val="nil"/>
          <w:insideV w:val="nil"/>
          <w:tl2br w:val="nil"/>
          <w:tr2bl w:val="nil"/>
        </w:tcBorders>
      </w:tcPr>
    </w:tblStylePr>
  </w:style>
  <w:style w:type="table" w:styleId="85">
    <w:name w:val="Table Classic 1"/>
    <w:basedOn w:val="78"/>
    <w:semiHidden/>
    <w:qFormat/>
    <w:uiPriority w:val="99"/>
    <w:pPr>
      <w:widowControl w:val="0"/>
      <w:spacing w:after="200" w:line="276" w:lineRule="auto"/>
    </w:pPr>
    <w:rPr>
      <w:rFonts w:ascii="Calibri" w:hAnsi="Calibri" w:cs="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等线"/>
        <w:i/>
        <w:iCs/>
      </w:rPr>
      <w:tblPr/>
      <w:tcPr>
        <w:tcBorders>
          <w:top w:val="nil"/>
          <w:left w:val="nil"/>
          <w:bottom w:val="single" w:color="000000" w:sz="6" w:space="0"/>
          <w:right w:val="nil"/>
          <w:insideH w:val="nil"/>
          <w:insideV w:val="nil"/>
          <w:tl2br w:val="nil"/>
          <w:tr2bl w:val="nil"/>
        </w:tcBorders>
      </w:tcPr>
    </w:tblStylePr>
    <w:tblStylePr w:type="lastRow">
      <w:rPr>
        <w:rFonts w:cs="等线"/>
        <w:color w:val="auto"/>
      </w:rPr>
      <w:tblPr/>
      <w:tcPr>
        <w:tcBorders>
          <w:top w:val="single" w:color="000000" w:sz="6" w:space="0"/>
          <w:left w:val="nil"/>
          <w:bottom w:val="nil"/>
          <w:right w:val="nil"/>
          <w:insideH w:val="nil"/>
          <w:insideV w:val="nil"/>
          <w:tl2br w:val="nil"/>
          <w:tr2bl w:val="nil"/>
        </w:tcBorders>
      </w:tcPr>
    </w:tblStylePr>
    <w:tblStylePr w:type="firstCol">
      <w:rPr>
        <w:rFonts w:cs="等线"/>
      </w:rPr>
      <w:tblPr/>
      <w:tcPr>
        <w:tcBorders>
          <w:top w:val="nil"/>
          <w:left w:val="nil"/>
          <w:bottom w:val="nil"/>
          <w:right w:val="single" w:color="000000" w:sz="6" w:space="0"/>
          <w:insideH w:val="nil"/>
          <w:insideV w:val="nil"/>
          <w:tl2br w:val="nil"/>
          <w:tr2bl w:val="nil"/>
        </w:tcBorders>
      </w:tcPr>
    </w:tblStylePr>
    <w:tblStylePr w:type="neCell">
      <w:rPr>
        <w:rFonts w:cs="等线"/>
        <w:b/>
        <w:bCs/>
        <w:i w:val="0"/>
        <w:iCs w:val="0"/>
      </w:rPr>
      <w:tblPr/>
      <w:tcPr>
        <w:tcBorders>
          <w:top w:val="nil"/>
          <w:left w:val="nil"/>
          <w:bottom w:val="nil"/>
          <w:right w:val="nil"/>
          <w:insideH w:val="nil"/>
          <w:insideV w:val="nil"/>
          <w:tl2br w:val="nil"/>
          <w:tr2bl w:val="nil"/>
        </w:tcBorders>
      </w:tcPr>
    </w:tblStylePr>
    <w:tblStylePr w:type="swCell">
      <w:rPr>
        <w:rFonts w:cs="等线"/>
        <w:b/>
        <w:bCs/>
      </w:rPr>
      <w:tblPr/>
      <w:tcPr>
        <w:tcBorders>
          <w:top w:val="nil"/>
          <w:left w:val="nil"/>
          <w:bottom w:val="nil"/>
          <w:right w:val="nil"/>
          <w:insideH w:val="nil"/>
          <w:insideV w:val="nil"/>
          <w:tl2br w:val="nil"/>
          <w:tr2bl w:val="nil"/>
        </w:tcBorders>
      </w:tcPr>
    </w:tblStylePr>
  </w:style>
  <w:style w:type="table" w:styleId="86">
    <w:name w:val="Table Classic 2"/>
    <w:basedOn w:val="78"/>
    <w:semiHidden/>
    <w:qFormat/>
    <w:uiPriority w:val="99"/>
    <w:pPr>
      <w:widowControl w:val="0"/>
      <w:spacing w:after="200" w:line="276" w:lineRule="auto"/>
    </w:pPr>
    <w:rPr>
      <w:rFonts w:ascii="Calibri" w:hAnsi="Calibri" w:cs="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等线"/>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rPr>
        <w:rFonts w:cs="等线"/>
      </w:rPr>
      <w:tblPr/>
      <w:tcPr>
        <w:tcBorders>
          <w:top w:val="single" w:color="000000" w:sz="6" w:space="0"/>
          <w:left w:val="nil"/>
          <w:bottom w:val="nil"/>
          <w:right w:val="nil"/>
          <w:insideH w:val="nil"/>
          <w:insideV w:val="nil"/>
          <w:tl2br w:val="nil"/>
          <w:tr2bl w:val="nil"/>
        </w:tcBorders>
      </w:tcPr>
    </w:tblStylePr>
    <w:tblStylePr w:type="firstCol">
      <w:rPr>
        <w:rFonts w:cs="等线"/>
        <w:b/>
        <w:bCs/>
      </w:rPr>
      <w:tblPr/>
      <w:tcPr>
        <w:tcBorders>
          <w:top w:val="nil"/>
          <w:left w:val="nil"/>
          <w:bottom w:val="nil"/>
          <w:right w:val="nil"/>
          <w:insideH w:val="nil"/>
          <w:insideV w:val="nil"/>
          <w:tl2br w:val="nil"/>
          <w:tr2bl w:val="nil"/>
        </w:tcBorders>
        <w:shd w:val="solid" w:color="C0C0C0" w:fill="FFFFFF"/>
      </w:tcPr>
    </w:tblStylePr>
    <w:tblStylePr w:type="neCell">
      <w:rPr>
        <w:rFonts w:cs="等线"/>
        <w:b/>
        <w:bCs/>
      </w:rPr>
      <w:tblPr/>
      <w:tcPr>
        <w:tcBorders>
          <w:top w:val="nil"/>
          <w:left w:val="nil"/>
          <w:bottom w:val="nil"/>
          <w:right w:val="nil"/>
          <w:insideH w:val="nil"/>
          <w:insideV w:val="nil"/>
          <w:tl2br w:val="nil"/>
          <w:tr2bl w:val="nil"/>
        </w:tcBorders>
      </w:tcPr>
    </w:tblStylePr>
    <w:tblStylePr w:type="nwCell">
      <w:rPr>
        <w:rFonts w:cs="等线"/>
      </w:rPr>
      <w:tblPr/>
      <w:tcPr>
        <w:tcBorders>
          <w:top w:val="nil"/>
          <w:left w:val="nil"/>
          <w:bottom w:val="nil"/>
          <w:right w:val="nil"/>
          <w:insideH w:val="nil"/>
          <w:insideV w:val="nil"/>
          <w:tl2br w:val="nil"/>
          <w:tr2bl w:val="nil"/>
        </w:tcBorders>
        <w:shd w:val="solid" w:color="800080" w:fill="FFFFFF"/>
      </w:tcPr>
    </w:tblStylePr>
    <w:tblStylePr w:type="swCell">
      <w:rPr>
        <w:rFonts w:cs="等线"/>
        <w:color w:val="000080"/>
      </w:rPr>
      <w:tblPr/>
      <w:tcPr>
        <w:tcBorders>
          <w:top w:val="nil"/>
          <w:left w:val="nil"/>
          <w:bottom w:val="nil"/>
          <w:right w:val="nil"/>
          <w:insideH w:val="nil"/>
          <w:insideV w:val="nil"/>
          <w:tl2br w:val="nil"/>
          <w:tr2bl w:val="nil"/>
        </w:tcBorders>
      </w:tcPr>
    </w:tblStylePr>
  </w:style>
  <w:style w:type="table" w:styleId="87">
    <w:name w:val="Table Classic 3"/>
    <w:basedOn w:val="78"/>
    <w:semiHidden/>
    <w:qFormat/>
    <w:uiPriority w:val="99"/>
    <w:pPr>
      <w:widowControl w:val="0"/>
      <w:spacing w:after="200" w:line="276" w:lineRule="auto"/>
    </w:pPr>
    <w:rPr>
      <w:rFonts w:ascii="Calibri" w:hAnsi="Calibri" w:cs="Calibri"/>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rFonts w:cs="等线"/>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rFonts w:cs="等线"/>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等线"/>
        <w:b/>
        <w:bCs/>
        <w:color w:val="000000"/>
      </w:rPr>
      <w:tblPr/>
      <w:tcPr>
        <w:tcBorders>
          <w:top w:val="nil"/>
          <w:left w:val="nil"/>
          <w:bottom w:val="nil"/>
          <w:right w:val="nil"/>
          <w:insideH w:val="nil"/>
          <w:insideV w:val="nil"/>
          <w:tl2br w:val="nil"/>
          <w:tr2bl w:val="nil"/>
        </w:tcBorders>
      </w:tcPr>
    </w:tblStylePr>
  </w:style>
  <w:style w:type="table" w:styleId="88">
    <w:name w:val="Table Classic 4"/>
    <w:basedOn w:val="78"/>
    <w:semiHidden/>
    <w:qFormat/>
    <w:uiPriority w:val="99"/>
    <w:pPr>
      <w:widowControl w:val="0"/>
      <w:spacing w:after="200" w:line="276" w:lineRule="auto"/>
    </w:pPr>
    <w:rPr>
      <w:rFonts w:ascii="Calibri" w:hAnsi="Calibri" w:cs="Calibri"/>
    </w:r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blStylePr w:type="firstRow">
      <w:rPr>
        <w:rFonts w:cs="等线"/>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rFonts w:cs="等线"/>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rFonts w:cs="等线"/>
        <w:b/>
        <w:bCs/>
      </w:rPr>
      <w:tblPr/>
      <w:tcPr>
        <w:tcBorders>
          <w:top w:val="nil"/>
          <w:left w:val="nil"/>
          <w:bottom w:val="nil"/>
          <w:right w:val="nil"/>
          <w:insideH w:val="nil"/>
          <w:insideV w:val="nil"/>
          <w:tl2br w:val="nil"/>
          <w:tr2bl w:val="nil"/>
        </w:tcBorders>
      </w:tcPr>
    </w:tblStylePr>
    <w:tblStylePr w:type="nwCell">
      <w:rPr>
        <w:rFonts w:cs="等线"/>
        <w:b/>
        <w:bCs/>
      </w:rPr>
      <w:tblPr/>
      <w:tcPr>
        <w:tcBorders>
          <w:top w:val="nil"/>
          <w:left w:val="nil"/>
          <w:bottom w:val="nil"/>
          <w:right w:val="nil"/>
          <w:insideH w:val="nil"/>
          <w:insideV w:val="nil"/>
          <w:tl2br w:val="nil"/>
          <w:tr2bl w:val="nil"/>
        </w:tcBorders>
      </w:tcPr>
    </w:tblStylePr>
    <w:tblStylePr w:type="swCell">
      <w:rPr>
        <w:rFonts w:cs="等线"/>
        <w:color w:val="000080"/>
      </w:rPr>
      <w:tblPr/>
      <w:tcPr>
        <w:tcBorders>
          <w:top w:val="nil"/>
          <w:left w:val="nil"/>
          <w:bottom w:val="nil"/>
          <w:right w:val="nil"/>
          <w:insideH w:val="nil"/>
          <w:insideV w:val="nil"/>
          <w:tl2br w:val="nil"/>
          <w:tr2bl w:val="nil"/>
        </w:tcBorders>
      </w:tcPr>
    </w:tblStylePr>
  </w:style>
  <w:style w:type="table" w:styleId="89">
    <w:name w:val="Table Simple 1"/>
    <w:basedOn w:val="78"/>
    <w:semiHidden/>
    <w:qFormat/>
    <w:uiPriority w:val="99"/>
    <w:pPr>
      <w:widowControl w:val="0"/>
      <w:spacing w:after="200" w:line="276" w:lineRule="auto"/>
    </w:pPr>
    <w:rPr>
      <w:rFonts w:ascii="Calibri" w:hAnsi="Calibri" w:cs="Calibri"/>
    </w:rPr>
    <w:tblPr>
      <w:tblBorders>
        <w:top w:val="single" w:color="008000" w:sz="12" w:space="0"/>
        <w:bottom w:val="single" w:color="008000" w:sz="12" w:space="0"/>
      </w:tblBorders>
      <w:tblCellMar>
        <w:top w:w="0" w:type="dxa"/>
        <w:left w:w="108" w:type="dxa"/>
        <w:bottom w:w="0" w:type="dxa"/>
        <w:right w:w="108" w:type="dxa"/>
      </w:tblCellMar>
    </w:tblPr>
    <w:tblStylePr w:type="firstRow">
      <w:rPr>
        <w:rFonts w:cs="等线"/>
      </w:rPr>
      <w:tblPr/>
      <w:tcPr>
        <w:tcBorders>
          <w:top w:val="nil"/>
          <w:left w:val="nil"/>
          <w:bottom w:val="single" w:color="008000" w:sz="6" w:space="0"/>
          <w:right w:val="nil"/>
          <w:insideH w:val="nil"/>
          <w:insideV w:val="nil"/>
          <w:tl2br w:val="nil"/>
          <w:tr2bl w:val="nil"/>
        </w:tcBorders>
      </w:tcPr>
    </w:tblStylePr>
    <w:tblStylePr w:type="lastRow">
      <w:rPr>
        <w:rFonts w:cs="等线"/>
      </w:rPr>
      <w:tblPr/>
      <w:tcPr>
        <w:tcBorders>
          <w:top w:val="single" w:color="008000" w:sz="6" w:space="0"/>
          <w:left w:val="nil"/>
          <w:bottom w:val="nil"/>
          <w:right w:val="nil"/>
          <w:insideH w:val="nil"/>
          <w:insideV w:val="nil"/>
          <w:tl2br w:val="nil"/>
          <w:tr2bl w:val="nil"/>
        </w:tcBorders>
      </w:tcPr>
    </w:tblStylePr>
  </w:style>
  <w:style w:type="table" w:styleId="90">
    <w:name w:val="Table Simple 2"/>
    <w:basedOn w:val="78"/>
    <w:semiHidden/>
    <w:qFormat/>
    <w:uiPriority w:val="99"/>
    <w:pPr>
      <w:widowControl w:val="0"/>
      <w:spacing w:after="200" w:line="276" w:lineRule="auto"/>
    </w:pPr>
    <w:rPr>
      <w:rFonts w:ascii="Calibri" w:hAnsi="Calibri" w:cs="Calibri"/>
    </w:rPr>
    <w:tblPr>
      <w:tblCellMar>
        <w:top w:w="0" w:type="dxa"/>
        <w:left w:w="108" w:type="dxa"/>
        <w:bottom w:w="0" w:type="dxa"/>
        <w:right w:w="108" w:type="dxa"/>
      </w:tblCellMar>
    </w:tblPr>
    <w:tblStylePr w:type="firstRow">
      <w:rPr>
        <w:rFonts w:cs="等线"/>
        <w:b/>
        <w:bCs/>
      </w:rPr>
      <w:tblPr/>
      <w:tcPr>
        <w:tcBorders>
          <w:top w:val="nil"/>
          <w:left w:val="nil"/>
          <w:bottom w:val="single" w:color="000000" w:sz="12" w:space="0"/>
          <w:right w:val="nil"/>
          <w:insideH w:val="nil"/>
          <w:insideV w:val="nil"/>
          <w:tl2br w:val="nil"/>
          <w:tr2bl w:val="nil"/>
        </w:tcBorders>
      </w:tcPr>
    </w:tblStylePr>
    <w:tblStylePr w:type="lastRow">
      <w:rPr>
        <w:rFonts w:cs="等线"/>
        <w:b/>
        <w:bCs/>
        <w:color w:val="auto"/>
      </w:rPr>
      <w:tblPr/>
      <w:tcPr>
        <w:tcBorders>
          <w:top w:val="single" w:color="000000" w:sz="6" w:space="0"/>
          <w:left w:val="nil"/>
          <w:bottom w:val="nil"/>
          <w:right w:val="nil"/>
          <w:insideH w:val="nil"/>
          <w:insideV w:val="nil"/>
          <w:tl2br w:val="nil"/>
          <w:tr2bl w:val="nil"/>
        </w:tcBorders>
      </w:tcPr>
    </w:tblStylePr>
    <w:tblStylePr w:type="firstCol">
      <w:rPr>
        <w:rFonts w:cs="等线"/>
        <w:b/>
        <w:bCs/>
      </w:rPr>
      <w:tblPr/>
      <w:tcPr>
        <w:tcBorders>
          <w:top w:val="nil"/>
          <w:left w:val="nil"/>
          <w:bottom w:val="nil"/>
          <w:right w:val="single" w:color="000000" w:sz="12" w:space="0"/>
          <w:insideH w:val="nil"/>
          <w:insideV w:val="nil"/>
          <w:tl2br w:val="nil"/>
          <w:tr2bl w:val="nil"/>
        </w:tcBorders>
      </w:tcPr>
    </w:tblStylePr>
    <w:tblStylePr w:type="lastCol">
      <w:rPr>
        <w:rFonts w:cs="等线"/>
        <w:b/>
        <w:bCs/>
      </w:rPr>
      <w:tblPr/>
      <w:tcPr>
        <w:tcBorders>
          <w:top w:val="nil"/>
          <w:left w:val="single" w:color="000000" w:sz="6" w:space="0"/>
          <w:bottom w:val="nil"/>
          <w:right w:val="nil"/>
          <w:insideH w:val="nil"/>
          <w:insideV w:val="nil"/>
          <w:tl2br w:val="nil"/>
          <w:tr2bl w:val="nil"/>
        </w:tcBorders>
      </w:tcPr>
    </w:tblStylePr>
    <w:tblStylePr w:type="neCell">
      <w:rPr>
        <w:rFonts w:cs="等线"/>
        <w:b/>
        <w:bCs/>
      </w:rPr>
      <w:tblPr/>
      <w:tcPr>
        <w:tcBorders>
          <w:top w:val="nil"/>
          <w:left w:val="nil"/>
          <w:bottom w:val="nil"/>
          <w:right w:val="nil"/>
          <w:insideH w:val="nil"/>
          <w:insideV w:val="nil"/>
          <w:tl2br w:val="nil"/>
          <w:tr2bl w:val="nil"/>
        </w:tcBorders>
      </w:tcPr>
    </w:tblStylePr>
    <w:tblStylePr w:type="swCell">
      <w:rPr>
        <w:rFonts w:cs="等线"/>
        <w:b/>
        <w:bCs/>
      </w:rPr>
      <w:tblPr/>
      <w:tcPr>
        <w:tcBorders>
          <w:top w:val="nil"/>
          <w:left w:val="nil"/>
          <w:bottom w:val="nil"/>
          <w:right w:val="nil"/>
          <w:insideH w:val="nil"/>
          <w:insideV w:val="nil"/>
          <w:tl2br w:val="nil"/>
          <w:tr2bl w:val="nil"/>
        </w:tcBorders>
      </w:tcPr>
    </w:tblStylePr>
  </w:style>
  <w:style w:type="table" w:styleId="91">
    <w:name w:val="Table Simple 3"/>
    <w:basedOn w:val="78"/>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等线"/>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Subtle 1"/>
    <w:basedOn w:val="78"/>
    <w:semiHidden/>
    <w:qFormat/>
    <w:uiPriority w:val="99"/>
    <w:pPr>
      <w:widowControl w:val="0"/>
      <w:spacing w:after="200" w:line="276" w:lineRule="auto"/>
    </w:pPr>
    <w:rPr>
      <w:rFonts w:ascii="Calibri" w:hAnsi="Calibri" w:cs="Calibri"/>
    </w:rPr>
    <w:tblPr>
      <w:tblCellMar>
        <w:top w:w="0" w:type="dxa"/>
        <w:left w:w="108" w:type="dxa"/>
        <w:bottom w:w="0" w:type="dxa"/>
        <w:right w:w="108" w:type="dxa"/>
      </w:tblCellMar>
    </w:tblPr>
    <w:tblStylePr w:type="firstRow">
      <w:rPr>
        <w:rFonts w:cs="等线"/>
      </w:rPr>
      <w:tblPr/>
      <w:tcPr>
        <w:tcBorders>
          <w:top w:val="single" w:color="000000" w:sz="6" w:space="0"/>
          <w:left w:val="nil"/>
          <w:bottom w:val="single" w:color="000000" w:sz="12" w:space="0"/>
          <w:right w:val="nil"/>
          <w:insideH w:val="nil"/>
          <w:insideV w:val="nil"/>
          <w:tl2br w:val="nil"/>
          <w:tr2bl w:val="nil"/>
        </w:tcBorders>
      </w:tcPr>
    </w:tblStylePr>
    <w:tblStylePr w:type="lastRow">
      <w:rPr>
        <w:rFonts w:cs="等线"/>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等线"/>
      </w:rPr>
      <w:tblPr/>
      <w:tcPr>
        <w:tcBorders>
          <w:top w:val="nil"/>
          <w:left w:val="nil"/>
          <w:bottom w:val="nil"/>
          <w:right w:val="single" w:color="000000" w:sz="12" w:space="0"/>
          <w:insideH w:val="nil"/>
          <w:insideV w:val="nil"/>
          <w:tl2br w:val="nil"/>
          <w:tr2bl w:val="nil"/>
        </w:tcBorders>
      </w:tcPr>
    </w:tblStylePr>
    <w:tblStylePr w:type="lastCol">
      <w:rPr>
        <w:rFonts w:cs="等线"/>
      </w:rPr>
      <w:tblPr/>
      <w:tcPr>
        <w:tcBorders>
          <w:top w:val="nil"/>
          <w:left w:val="single" w:color="000000" w:sz="12" w:space="0"/>
          <w:bottom w:val="nil"/>
          <w:right w:val="nil"/>
          <w:insideH w:val="nil"/>
          <w:insideV w:val="nil"/>
          <w:tl2br w:val="nil"/>
          <w:tr2bl w:val="nil"/>
        </w:tcBorders>
      </w:tcPr>
    </w:tblStylePr>
    <w:tblStylePr w:type="band1Horz">
      <w:rPr>
        <w:rFonts w:cs="等线"/>
      </w:rPr>
      <w:tblPr/>
      <w:tcPr>
        <w:tcBorders>
          <w:top w:val="nil"/>
          <w:left w:val="nil"/>
          <w:bottom w:val="single" w:color="000000" w:sz="6" w:space="0"/>
          <w:right w:val="nil"/>
          <w:insideH w:val="nil"/>
          <w:insideV w:val="nil"/>
          <w:tl2br w:val="nil"/>
          <w:tr2bl w:val="nil"/>
        </w:tcBorders>
        <w:shd w:val="pct25" w:color="808000" w:fill="FFFFFF"/>
      </w:tcPr>
    </w:tblStylePr>
    <w:tblStylePr w:type="neCell">
      <w:rPr>
        <w:rFonts w:cs="等线"/>
        <w:b/>
        <w:bCs/>
      </w:rPr>
      <w:tblPr/>
      <w:tcPr>
        <w:tcBorders>
          <w:top w:val="nil"/>
          <w:left w:val="nil"/>
          <w:bottom w:val="nil"/>
          <w:right w:val="nil"/>
          <w:insideH w:val="nil"/>
          <w:insideV w:val="nil"/>
          <w:tl2br w:val="nil"/>
          <w:tr2bl w:val="nil"/>
        </w:tcBorders>
      </w:tcPr>
    </w:tblStylePr>
    <w:tblStylePr w:type="swCell">
      <w:rPr>
        <w:rFonts w:cs="等线"/>
        <w:b/>
        <w:bCs/>
      </w:rPr>
      <w:tblPr/>
      <w:tcPr>
        <w:tcBorders>
          <w:top w:val="nil"/>
          <w:left w:val="nil"/>
          <w:bottom w:val="nil"/>
          <w:right w:val="nil"/>
          <w:insideH w:val="nil"/>
          <w:insideV w:val="nil"/>
          <w:tl2br w:val="nil"/>
          <w:tr2bl w:val="nil"/>
        </w:tcBorders>
      </w:tcPr>
    </w:tblStylePr>
  </w:style>
  <w:style w:type="table" w:styleId="93">
    <w:name w:val="Table Subtle 2"/>
    <w:basedOn w:val="78"/>
    <w:semiHidden/>
    <w:qFormat/>
    <w:uiPriority w:val="99"/>
    <w:pPr>
      <w:widowControl w:val="0"/>
      <w:spacing w:after="200" w:line="276" w:lineRule="auto"/>
    </w:pPr>
    <w:rPr>
      <w:rFonts w:ascii="Calibri" w:hAnsi="Calibri" w:cs="Calibri"/>
    </w:rPr>
    <w:tblPr>
      <w:tblBorders>
        <w:left w:val="single" w:color="000000" w:sz="6" w:space="0"/>
        <w:right w:val="single" w:color="000000" w:sz="6" w:space="0"/>
      </w:tblBorders>
      <w:tblCellMar>
        <w:top w:w="0" w:type="dxa"/>
        <w:left w:w="108" w:type="dxa"/>
        <w:bottom w:w="0" w:type="dxa"/>
        <w:right w:w="108" w:type="dxa"/>
      </w:tblCellMar>
    </w:tblPr>
    <w:tblStylePr w:type="firstRow">
      <w:rPr>
        <w:rFonts w:cs="等线"/>
      </w:rPr>
      <w:tblPr/>
      <w:tcPr>
        <w:tcBorders>
          <w:top w:val="nil"/>
          <w:left w:val="nil"/>
          <w:bottom w:val="single" w:color="000000" w:sz="12" w:space="0"/>
          <w:right w:val="nil"/>
          <w:insideH w:val="nil"/>
          <w:insideV w:val="nil"/>
          <w:tl2br w:val="nil"/>
          <w:tr2bl w:val="nil"/>
        </w:tcBorders>
      </w:tcPr>
    </w:tblStylePr>
    <w:tblStylePr w:type="lastRow">
      <w:rPr>
        <w:rFonts w:cs="等线"/>
      </w:rPr>
      <w:tblPr/>
      <w:tcPr>
        <w:tcBorders>
          <w:top w:val="single" w:color="000000" w:sz="12" w:space="0"/>
          <w:left w:val="nil"/>
          <w:bottom w:val="nil"/>
          <w:right w:val="nil"/>
          <w:insideH w:val="nil"/>
          <w:insideV w:val="nil"/>
          <w:tl2br w:val="nil"/>
          <w:tr2bl w:val="nil"/>
        </w:tcBorders>
      </w:tcPr>
    </w:tblStylePr>
    <w:tblStylePr w:type="firstCol">
      <w:rPr>
        <w:rFonts w:cs="等线"/>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等线"/>
      </w:rPr>
      <w:tblPr/>
      <w:tcPr>
        <w:tcBorders>
          <w:top w:val="nil"/>
          <w:left w:val="single" w:color="000000" w:sz="12" w:space="0"/>
          <w:bottom w:val="nil"/>
          <w:right w:val="nil"/>
          <w:insideH w:val="nil"/>
          <w:insideV w:val="nil"/>
          <w:tl2br w:val="nil"/>
          <w:tr2bl w:val="nil"/>
        </w:tcBorders>
        <w:shd w:val="pct25" w:color="808000" w:fill="FFFFFF"/>
      </w:tcPr>
    </w:tblStylePr>
    <w:tblStylePr w:type="neCell">
      <w:rPr>
        <w:rFonts w:cs="等线"/>
        <w:b/>
        <w:bCs/>
      </w:rPr>
      <w:tblPr/>
      <w:tcPr>
        <w:tcBorders>
          <w:top w:val="nil"/>
          <w:left w:val="nil"/>
          <w:bottom w:val="nil"/>
          <w:right w:val="nil"/>
          <w:insideH w:val="nil"/>
          <w:insideV w:val="nil"/>
          <w:tl2br w:val="nil"/>
          <w:tr2bl w:val="nil"/>
        </w:tcBorders>
      </w:tcPr>
    </w:tblStylePr>
    <w:tblStylePr w:type="swCell">
      <w:rPr>
        <w:rFonts w:cs="等线"/>
        <w:b/>
        <w:bCs/>
      </w:rPr>
      <w:tblPr/>
      <w:tcPr>
        <w:tcBorders>
          <w:top w:val="nil"/>
          <w:left w:val="nil"/>
          <w:bottom w:val="nil"/>
          <w:right w:val="nil"/>
          <w:insideH w:val="nil"/>
          <w:insideV w:val="nil"/>
          <w:tl2br w:val="nil"/>
          <w:tr2bl w:val="nil"/>
        </w:tcBorders>
      </w:tcPr>
    </w:tblStylePr>
  </w:style>
  <w:style w:type="table" w:styleId="94">
    <w:name w:val="Table 3D effects 1"/>
    <w:basedOn w:val="78"/>
    <w:semiHidden/>
    <w:qFormat/>
    <w:uiPriority w:val="99"/>
    <w:pPr>
      <w:widowControl w:val="0"/>
      <w:spacing w:after="200" w:line="276" w:lineRule="auto"/>
    </w:pPr>
    <w:rPr>
      <w:rFonts w:ascii="Calibri" w:hAnsi="Calibri" w:cs="Calibri"/>
    </w:rPr>
    <w:tblPr>
      <w:tblCellMar>
        <w:top w:w="0" w:type="dxa"/>
        <w:left w:w="108" w:type="dxa"/>
        <w:bottom w:w="0" w:type="dxa"/>
        <w:right w:w="108" w:type="dxa"/>
      </w:tblCellMar>
    </w:tblPr>
    <w:tcPr>
      <w:shd w:val="solid" w:color="C0C0C0" w:fill="FFFFFF"/>
    </w:tcPr>
    <w:tblStylePr w:type="firstRow">
      <w:rPr>
        <w:rFonts w:cs="等线"/>
        <w:b/>
        <w:bCs/>
        <w:color w:val="800080"/>
      </w:rPr>
      <w:tblPr/>
      <w:tcPr>
        <w:tcBorders>
          <w:top w:val="nil"/>
          <w:left w:val="nil"/>
          <w:bottom w:val="single" w:color="808080" w:sz="6" w:space="0"/>
          <w:right w:val="nil"/>
          <w:insideH w:val="nil"/>
          <w:insideV w:val="nil"/>
          <w:tl2br w:val="nil"/>
          <w:tr2bl w:val="nil"/>
        </w:tcBorders>
      </w:tcPr>
    </w:tblStylePr>
    <w:tblStylePr w:type="lastRow">
      <w:rPr>
        <w:rFonts w:cs="等线"/>
      </w:rPr>
      <w:tblPr/>
      <w:tcPr>
        <w:tcBorders>
          <w:top w:val="single" w:color="FFFFFF" w:sz="6" w:space="0"/>
          <w:left w:val="nil"/>
          <w:bottom w:val="nil"/>
          <w:right w:val="nil"/>
          <w:insideH w:val="nil"/>
          <w:insideV w:val="nil"/>
          <w:tl2br w:val="nil"/>
          <w:tr2bl w:val="nil"/>
        </w:tcBorders>
      </w:tcPr>
    </w:tblStylePr>
    <w:tblStylePr w:type="firstCol">
      <w:rPr>
        <w:rFonts w:cs="等线"/>
        <w:b/>
        <w:bCs/>
      </w:rPr>
      <w:tblPr/>
      <w:tcPr>
        <w:tcBorders>
          <w:top w:val="nil"/>
          <w:left w:val="nil"/>
          <w:bottom w:val="nil"/>
          <w:right w:val="single" w:color="808080" w:sz="6" w:space="0"/>
          <w:insideH w:val="nil"/>
          <w:insideV w:val="nil"/>
          <w:tl2br w:val="nil"/>
          <w:tr2bl w:val="nil"/>
        </w:tcBorders>
      </w:tcPr>
    </w:tblStylePr>
    <w:tblStylePr w:type="lastCol">
      <w:rPr>
        <w:rFonts w:cs="等线"/>
      </w:rPr>
      <w:tblPr/>
      <w:tcPr>
        <w:tcBorders>
          <w:top w:val="nil"/>
          <w:left w:val="single" w:color="FFFFFF" w:sz="6" w:space="0"/>
          <w:bottom w:val="nil"/>
          <w:right w:val="nil"/>
          <w:insideH w:val="nil"/>
          <w:insideV w:val="nil"/>
          <w:tl2br w:val="nil"/>
          <w:tr2bl w:val="nil"/>
        </w:tcBorders>
      </w:tcPr>
    </w:tblStylePr>
    <w:tblStylePr w:type="neCell">
      <w:rPr>
        <w:rFonts w:cs="等线"/>
      </w:rPr>
      <w:tblPr/>
      <w:tcPr>
        <w:tcBorders>
          <w:top w:val="nil"/>
          <w:left w:val="nil"/>
          <w:bottom w:val="nil"/>
          <w:right w:val="nil"/>
          <w:insideH w:val="nil"/>
          <w:insideV w:val="nil"/>
          <w:tl2br w:val="nil"/>
          <w:tr2bl w:val="nil"/>
        </w:tcBorders>
      </w:tcPr>
    </w:tblStylePr>
    <w:tblStylePr w:type="nwCell">
      <w:rPr>
        <w:rFonts w:cs="等线"/>
      </w:rPr>
      <w:tblPr/>
      <w:tcPr>
        <w:tcBorders>
          <w:top w:val="nil"/>
          <w:left w:val="nil"/>
          <w:bottom w:val="nil"/>
          <w:right w:val="nil"/>
          <w:insideH w:val="nil"/>
          <w:insideV w:val="nil"/>
          <w:tl2br w:val="nil"/>
          <w:tr2bl w:val="nil"/>
        </w:tcBorders>
      </w:tcPr>
    </w:tblStylePr>
    <w:tblStylePr w:type="seCell">
      <w:rPr>
        <w:rFonts w:cs="等线"/>
      </w:rPr>
      <w:tblPr/>
      <w:tcPr>
        <w:tcBorders>
          <w:top w:val="nil"/>
          <w:left w:val="nil"/>
          <w:bottom w:val="nil"/>
          <w:right w:val="nil"/>
          <w:insideH w:val="nil"/>
          <w:insideV w:val="nil"/>
          <w:tl2br w:val="nil"/>
          <w:tr2bl w:val="nil"/>
        </w:tcBorders>
      </w:tcPr>
    </w:tblStylePr>
    <w:tblStylePr w:type="swCell">
      <w:rPr>
        <w:rFonts w:cs="等线"/>
        <w:color w:val="000080"/>
      </w:rPr>
      <w:tblPr/>
      <w:tcPr>
        <w:tcBorders>
          <w:top w:val="nil"/>
          <w:left w:val="nil"/>
          <w:bottom w:val="nil"/>
          <w:right w:val="nil"/>
          <w:insideH w:val="nil"/>
          <w:insideV w:val="nil"/>
          <w:tl2br w:val="nil"/>
          <w:tr2bl w:val="nil"/>
        </w:tcBorders>
      </w:tcPr>
    </w:tblStylePr>
  </w:style>
  <w:style w:type="table" w:styleId="95">
    <w:name w:val="Table 3D effects 2"/>
    <w:basedOn w:val="78"/>
    <w:semiHidden/>
    <w:qFormat/>
    <w:uiPriority w:val="99"/>
    <w:pPr>
      <w:widowControl w:val="0"/>
      <w:spacing w:after="200" w:line="276" w:lineRule="auto"/>
    </w:pPr>
    <w:rPr>
      <w:rFonts w:ascii="Calibri" w:hAnsi="Calibri" w:cs="Calibri"/>
    </w:rPr>
    <w:tblPr>
      <w:tblCellMar>
        <w:top w:w="0" w:type="dxa"/>
        <w:left w:w="108" w:type="dxa"/>
        <w:bottom w:w="0" w:type="dxa"/>
        <w:right w:w="108" w:type="dxa"/>
      </w:tblCellMar>
    </w:tblPr>
    <w:tcPr>
      <w:shd w:val="solid" w:color="C0C0C0" w:fill="FFFFFF"/>
    </w:tcPr>
    <w:tblStylePr w:type="firstRow">
      <w:rPr>
        <w:rFonts w:cs="等线"/>
        <w:b/>
        <w:bCs/>
      </w:rPr>
      <w:tblPr/>
      <w:tcPr>
        <w:tcBorders>
          <w:top w:val="nil"/>
          <w:left w:val="nil"/>
          <w:bottom w:val="nil"/>
          <w:right w:val="nil"/>
          <w:insideH w:val="nil"/>
          <w:insideV w:val="nil"/>
          <w:tl2br w:val="nil"/>
          <w:tr2bl w:val="nil"/>
        </w:tcBorders>
      </w:tcPr>
    </w:tblStylePr>
    <w:tblStylePr w:type="firstCol">
      <w:rPr>
        <w:rFonts w:cs="等线"/>
      </w:rPr>
      <w:tblPr/>
      <w:tcPr>
        <w:tcBorders>
          <w:top w:val="nil"/>
          <w:left w:val="nil"/>
          <w:bottom w:val="nil"/>
          <w:right w:val="single" w:color="808080" w:sz="6" w:space="0"/>
          <w:insideH w:val="nil"/>
          <w:insideV w:val="nil"/>
          <w:tl2br w:val="nil"/>
          <w:tr2bl w:val="nil"/>
        </w:tcBorders>
      </w:tcPr>
    </w:tblStylePr>
    <w:tblStylePr w:type="lastCol">
      <w:rPr>
        <w:rFonts w:cs="等线"/>
      </w:rPr>
      <w:tblPr/>
      <w:tcPr>
        <w:tcBorders>
          <w:top w:val="nil"/>
          <w:left w:val="nil"/>
          <w:bottom w:val="nil"/>
          <w:right w:val="single" w:color="FFFFFF" w:sz="6" w:space="0"/>
          <w:insideH w:val="nil"/>
          <w:insideV w:val="nil"/>
          <w:tl2br w:val="nil"/>
          <w:tr2bl w:val="nil"/>
        </w:tcBorders>
      </w:tcPr>
    </w:tblStylePr>
    <w:tblStylePr w:type="band1Horz">
      <w:rPr>
        <w:rFonts w:cs="等线"/>
      </w:rPr>
      <w:tblPr/>
      <w:tcPr>
        <w:tcBorders>
          <w:top w:val="single" w:color="808080" w:sz="6" w:space="0"/>
          <w:left w:val="nil"/>
          <w:bottom w:val="single" w:color="FFFFFF" w:sz="6" w:space="0"/>
          <w:right w:val="nil"/>
          <w:insideH w:val="nil"/>
          <w:insideV w:val="nil"/>
          <w:tl2br w:val="nil"/>
          <w:tr2bl w:val="nil"/>
        </w:tcBorders>
      </w:tcPr>
    </w:tblStylePr>
    <w:tblStylePr w:type="swCell">
      <w:rPr>
        <w:rFonts w:cs="等线"/>
        <w:b/>
        <w:bCs/>
      </w:rPr>
      <w:tblPr/>
      <w:tcPr>
        <w:tcBorders>
          <w:top w:val="nil"/>
          <w:left w:val="nil"/>
          <w:bottom w:val="nil"/>
          <w:right w:val="nil"/>
          <w:insideH w:val="nil"/>
          <w:insideV w:val="nil"/>
          <w:tl2br w:val="nil"/>
          <w:tr2bl w:val="nil"/>
        </w:tcBorders>
      </w:tcPr>
    </w:tblStylePr>
  </w:style>
  <w:style w:type="table" w:styleId="96">
    <w:name w:val="Table 3D effects 3"/>
    <w:basedOn w:val="78"/>
    <w:semiHidden/>
    <w:qFormat/>
    <w:uiPriority w:val="99"/>
    <w:pPr>
      <w:widowControl w:val="0"/>
      <w:spacing w:after="200" w:line="276" w:lineRule="auto"/>
    </w:pPr>
    <w:rPr>
      <w:rFonts w:ascii="Calibri" w:hAnsi="Calibri" w:cs="Calibri"/>
    </w:rPr>
    <w:tblPr>
      <w:tblCellMar>
        <w:top w:w="0" w:type="dxa"/>
        <w:left w:w="108" w:type="dxa"/>
        <w:bottom w:w="0" w:type="dxa"/>
        <w:right w:w="108" w:type="dxa"/>
      </w:tblCellMar>
    </w:tblPr>
    <w:tblStylePr w:type="firstRow">
      <w:rPr>
        <w:rFonts w:cs="等线"/>
        <w:b/>
        <w:bCs/>
      </w:rPr>
      <w:tblPr/>
      <w:tcPr>
        <w:tcBorders>
          <w:top w:val="nil"/>
          <w:left w:val="nil"/>
          <w:bottom w:val="nil"/>
          <w:right w:val="nil"/>
          <w:insideH w:val="nil"/>
          <w:insideV w:val="nil"/>
          <w:tl2br w:val="nil"/>
          <w:tr2bl w:val="nil"/>
        </w:tcBorders>
      </w:tcPr>
    </w:tblStylePr>
    <w:tblStylePr w:type="firstCol">
      <w:rPr>
        <w:rFonts w:cs="等线"/>
      </w:rPr>
      <w:tblPr/>
      <w:tcPr>
        <w:tcBorders>
          <w:top w:val="nil"/>
          <w:left w:val="nil"/>
          <w:bottom w:val="nil"/>
          <w:right w:val="single" w:color="808080" w:sz="6" w:space="0"/>
          <w:insideH w:val="nil"/>
          <w:insideV w:val="nil"/>
          <w:tl2br w:val="nil"/>
          <w:tr2bl w:val="nil"/>
        </w:tcBorders>
      </w:tcPr>
    </w:tblStylePr>
    <w:tblStylePr w:type="lastCol">
      <w:rPr>
        <w:rFonts w:cs="等线"/>
      </w:rPr>
      <w:tblPr/>
      <w:tcPr>
        <w:tcBorders>
          <w:top w:val="nil"/>
          <w:left w:val="nil"/>
          <w:bottom w:val="nil"/>
          <w:right w:val="single" w:color="FFFFFF" w:sz="6" w:space="0"/>
          <w:insideH w:val="nil"/>
          <w:insideV w:val="nil"/>
          <w:tl2br w:val="nil"/>
          <w:tr2bl w:val="nil"/>
        </w:tcBorders>
      </w:tcPr>
    </w:tblStylePr>
    <w:tblStylePr w:type="band1Vert">
      <w:rPr>
        <w:rFonts w:cs="等线"/>
        <w:color w:val="auto"/>
      </w:rPr>
      <w:tblPr/>
      <w:tcPr>
        <w:shd w:val="solid" w:color="C0C0C0" w:fill="FFFFFF"/>
      </w:tcPr>
    </w:tblStylePr>
    <w:tblStylePr w:type="band2Vert">
      <w:rPr>
        <w:rFonts w:cs="等线"/>
        <w:color w:val="auto"/>
      </w:rPr>
      <w:tblPr/>
      <w:tcPr>
        <w:shd w:val="pct50" w:color="C0C0C0" w:fill="FFFFFF"/>
      </w:tcPr>
    </w:tblStylePr>
    <w:tblStylePr w:type="band1Horz">
      <w:rPr>
        <w:rFonts w:cs="等线"/>
      </w:rPr>
      <w:tblPr/>
      <w:tcPr>
        <w:tcBorders>
          <w:top w:val="single" w:color="808080" w:sz="6" w:space="0"/>
          <w:left w:val="nil"/>
          <w:bottom w:val="single" w:color="FFFFFF" w:sz="6" w:space="0"/>
          <w:right w:val="nil"/>
          <w:insideH w:val="nil"/>
          <w:insideV w:val="nil"/>
          <w:tl2br w:val="nil"/>
          <w:tr2bl w:val="nil"/>
        </w:tcBorders>
      </w:tcPr>
    </w:tblStylePr>
    <w:tblStylePr w:type="swCell">
      <w:rPr>
        <w:rFonts w:cs="等线"/>
        <w:b/>
        <w:bCs/>
      </w:rPr>
      <w:tblPr/>
      <w:tcPr>
        <w:tcBorders>
          <w:top w:val="nil"/>
          <w:left w:val="nil"/>
          <w:bottom w:val="nil"/>
          <w:right w:val="nil"/>
          <w:insideH w:val="nil"/>
          <w:insideV w:val="nil"/>
          <w:tl2br w:val="nil"/>
          <w:tr2bl w:val="nil"/>
        </w:tcBorders>
      </w:tcPr>
    </w:tblStylePr>
  </w:style>
  <w:style w:type="table" w:styleId="97">
    <w:name w:val="Table List 1"/>
    <w:basedOn w:val="78"/>
    <w:semiHidden/>
    <w:qFormat/>
    <w:uiPriority w:val="99"/>
    <w:pPr>
      <w:widowControl w:val="0"/>
      <w:spacing w:after="200" w:line="276" w:lineRule="auto"/>
    </w:pPr>
    <w:rPr>
      <w:rFonts w:ascii="Calibri" w:hAnsi="Calibri" w:cs="Calibri"/>
    </w:r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rFonts w:cs="等线"/>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rPr>
        <w:rFonts w:cs="等线"/>
      </w:rPr>
      <w:tblPr/>
      <w:tcPr>
        <w:tcBorders>
          <w:top w:val="single" w:color="000000" w:sz="6" w:space="0"/>
          <w:left w:val="nil"/>
          <w:bottom w:val="nil"/>
          <w:right w:val="nil"/>
          <w:insideH w:val="nil"/>
          <w:insideV w:val="nil"/>
          <w:tl2br w:val="nil"/>
          <w:tr2bl w:val="nil"/>
        </w:tcBorders>
      </w:tcPr>
    </w:tblStylePr>
    <w:tblStylePr w:type="band1Horz">
      <w:rPr>
        <w:rFonts w:cs="等线"/>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等线"/>
        <w:color w:val="auto"/>
      </w:rPr>
      <w:tblPr/>
      <w:tcPr>
        <w:tcBorders>
          <w:top w:val="nil"/>
          <w:left w:val="nil"/>
          <w:bottom w:val="nil"/>
          <w:right w:val="nil"/>
          <w:insideH w:val="nil"/>
          <w:insideV w:val="nil"/>
          <w:tl2br w:val="nil"/>
          <w:tr2bl w:val="nil"/>
        </w:tcBorders>
      </w:tcPr>
    </w:tblStylePr>
    <w:tblStylePr w:type="swCell">
      <w:rPr>
        <w:rFonts w:cs="等线"/>
        <w:b/>
        <w:bCs/>
      </w:rPr>
      <w:tblPr/>
      <w:tcPr>
        <w:tcBorders>
          <w:top w:val="nil"/>
          <w:left w:val="nil"/>
          <w:bottom w:val="nil"/>
          <w:right w:val="nil"/>
          <w:insideH w:val="nil"/>
          <w:insideV w:val="nil"/>
          <w:tl2br w:val="nil"/>
          <w:tr2bl w:val="nil"/>
        </w:tcBorders>
      </w:tcPr>
    </w:tblStylePr>
  </w:style>
  <w:style w:type="table" w:styleId="98">
    <w:name w:val="Table List 2"/>
    <w:basedOn w:val="78"/>
    <w:semiHidden/>
    <w:qFormat/>
    <w:uiPriority w:val="99"/>
    <w:pPr>
      <w:widowControl w:val="0"/>
      <w:spacing w:after="200" w:line="276" w:lineRule="auto"/>
    </w:pPr>
    <w:rPr>
      <w:rFonts w:ascii="Calibri" w:hAnsi="Calibri" w:cs="Calibri"/>
    </w:rPr>
    <w:tblPr>
      <w:tblBorders>
        <w:bottom w:val="single" w:color="808080" w:sz="12" w:space="0"/>
      </w:tblBorders>
      <w:tblCellMar>
        <w:top w:w="0" w:type="dxa"/>
        <w:left w:w="108" w:type="dxa"/>
        <w:bottom w:w="0" w:type="dxa"/>
        <w:right w:w="108" w:type="dxa"/>
      </w:tblCellMar>
    </w:tblPr>
    <w:tblStylePr w:type="firstRow">
      <w:rPr>
        <w:rFonts w:cs="等线"/>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rPr>
        <w:rFonts w:cs="等线"/>
      </w:rPr>
      <w:tblPr/>
      <w:tcPr>
        <w:tcBorders>
          <w:top w:val="single" w:color="000000" w:sz="6" w:space="0"/>
          <w:left w:val="nil"/>
          <w:bottom w:val="nil"/>
          <w:right w:val="nil"/>
          <w:insideH w:val="nil"/>
          <w:insideV w:val="nil"/>
          <w:tl2br w:val="nil"/>
          <w:tr2bl w:val="nil"/>
        </w:tcBorders>
      </w:tcPr>
    </w:tblStylePr>
    <w:tblStylePr w:type="band1Horz">
      <w:rPr>
        <w:rFonts w:cs="等线"/>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等线"/>
        <w:color w:val="auto"/>
      </w:rPr>
      <w:tblPr/>
      <w:tcPr>
        <w:tcBorders>
          <w:top w:val="nil"/>
          <w:left w:val="nil"/>
          <w:bottom w:val="nil"/>
          <w:right w:val="nil"/>
          <w:insideH w:val="nil"/>
          <w:insideV w:val="nil"/>
          <w:tl2br w:val="nil"/>
          <w:tr2bl w:val="nil"/>
        </w:tcBorders>
      </w:tcPr>
    </w:tblStylePr>
    <w:tblStylePr w:type="swCell">
      <w:rPr>
        <w:rFonts w:cs="等线"/>
        <w:b/>
        <w:bCs/>
      </w:rPr>
      <w:tblPr/>
      <w:tcPr>
        <w:tcBorders>
          <w:top w:val="nil"/>
          <w:left w:val="nil"/>
          <w:bottom w:val="nil"/>
          <w:right w:val="nil"/>
          <w:insideH w:val="nil"/>
          <w:insideV w:val="nil"/>
          <w:tl2br w:val="nil"/>
          <w:tr2bl w:val="nil"/>
        </w:tcBorders>
      </w:tcPr>
    </w:tblStylePr>
  </w:style>
  <w:style w:type="table" w:styleId="99">
    <w:name w:val="Table List 3"/>
    <w:basedOn w:val="78"/>
    <w:semiHidden/>
    <w:qFormat/>
    <w:uiPriority w:val="99"/>
    <w:pPr>
      <w:widowControl w:val="0"/>
      <w:spacing w:after="200" w:line="276" w:lineRule="auto"/>
    </w:pPr>
    <w:rPr>
      <w:rFonts w:ascii="Calibri" w:hAnsi="Calibri" w:cs="Calibri"/>
    </w:r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blStylePr w:type="firstRow">
      <w:rPr>
        <w:rFonts w:cs="等线"/>
        <w:b/>
        <w:bCs/>
        <w:color w:val="000080"/>
      </w:rPr>
      <w:tblPr/>
      <w:tcPr>
        <w:tcBorders>
          <w:top w:val="nil"/>
          <w:left w:val="nil"/>
          <w:bottom w:val="single" w:color="000000" w:sz="12" w:space="0"/>
          <w:right w:val="nil"/>
          <w:insideH w:val="nil"/>
          <w:insideV w:val="nil"/>
          <w:tl2br w:val="nil"/>
          <w:tr2bl w:val="nil"/>
        </w:tcBorders>
      </w:tcPr>
    </w:tblStylePr>
    <w:tblStylePr w:type="lastRow">
      <w:rPr>
        <w:rFonts w:cs="等线"/>
      </w:rPr>
      <w:tblPr/>
      <w:tcPr>
        <w:tcBorders>
          <w:top w:val="single" w:color="000000" w:sz="12" w:space="0"/>
          <w:left w:val="nil"/>
          <w:bottom w:val="nil"/>
          <w:right w:val="nil"/>
          <w:insideH w:val="nil"/>
          <w:insideV w:val="nil"/>
          <w:tl2br w:val="nil"/>
          <w:tr2bl w:val="nil"/>
        </w:tcBorders>
      </w:tcPr>
    </w:tblStylePr>
    <w:tblStylePr w:type="swCell">
      <w:rPr>
        <w:rFonts w:cs="等线"/>
        <w:i/>
        <w:iCs/>
        <w:color w:val="000080"/>
      </w:rPr>
      <w:tblPr/>
      <w:tcPr>
        <w:tcBorders>
          <w:top w:val="nil"/>
          <w:left w:val="nil"/>
          <w:bottom w:val="nil"/>
          <w:right w:val="nil"/>
          <w:insideH w:val="nil"/>
          <w:insideV w:val="nil"/>
          <w:tl2br w:val="nil"/>
          <w:tr2bl w:val="nil"/>
        </w:tcBorders>
      </w:tcPr>
    </w:tblStylePr>
  </w:style>
  <w:style w:type="table" w:styleId="100">
    <w:name w:val="Table List 4"/>
    <w:basedOn w:val="78"/>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blStylePr w:type="firstRow">
      <w:rPr>
        <w:rFonts w:cs="等线"/>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1">
    <w:name w:val="Table List 5"/>
    <w:basedOn w:val="78"/>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blStylePr w:type="firstRow">
      <w:rPr>
        <w:rFonts w:cs="等线"/>
        <w:b/>
        <w:bCs/>
      </w:rPr>
      <w:tblPr/>
      <w:tcPr>
        <w:tcBorders>
          <w:top w:val="nil"/>
          <w:left w:val="nil"/>
          <w:bottom w:val="single" w:color="000000" w:sz="12" w:space="0"/>
          <w:right w:val="nil"/>
          <w:insideH w:val="nil"/>
          <w:insideV w:val="nil"/>
          <w:tl2br w:val="nil"/>
          <w:tr2bl w:val="nil"/>
        </w:tcBorders>
      </w:tcPr>
    </w:tblStylePr>
    <w:tblStylePr w:type="firstCol">
      <w:rPr>
        <w:rFonts w:cs="等线"/>
        <w:b/>
        <w:bCs/>
      </w:rPr>
      <w:tblPr/>
      <w:tcPr>
        <w:tcBorders>
          <w:top w:val="nil"/>
          <w:left w:val="nil"/>
          <w:bottom w:val="nil"/>
          <w:right w:val="nil"/>
          <w:insideH w:val="nil"/>
          <w:insideV w:val="nil"/>
          <w:tl2br w:val="nil"/>
          <w:tr2bl w:val="nil"/>
        </w:tcBorders>
      </w:tcPr>
    </w:tblStylePr>
  </w:style>
  <w:style w:type="table" w:styleId="102">
    <w:name w:val="Table List 6"/>
    <w:basedOn w:val="78"/>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rFonts w:cs="等线"/>
        <w:b/>
        <w:bCs/>
      </w:rPr>
      <w:tblPr/>
      <w:tcPr>
        <w:tcBorders>
          <w:top w:val="nil"/>
          <w:left w:val="nil"/>
          <w:bottom w:val="single" w:color="000000" w:sz="12" w:space="0"/>
          <w:right w:val="nil"/>
          <w:insideH w:val="nil"/>
          <w:insideV w:val="nil"/>
          <w:tl2br w:val="nil"/>
          <w:tr2bl w:val="nil"/>
        </w:tcBorders>
      </w:tcPr>
    </w:tblStylePr>
    <w:tblStylePr w:type="firstCol">
      <w:rPr>
        <w:rFonts w:cs="等线"/>
        <w:b/>
        <w:bCs/>
      </w:rPr>
      <w:tblPr/>
      <w:tcPr>
        <w:tcBorders>
          <w:top w:val="nil"/>
          <w:left w:val="nil"/>
          <w:bottom w:val="nil"/>
          <w:right w:val="single" w:color="000000" w:sz="12" w:space="0"/>
          <w:insideH w:val="nil"/>
          <w:insideV w:val="nil"/>
          <w:tl2br w:val="nil"/>
          <w:tr2bl w:val="nil"/>
        </w:tcBorders>
      </w:tcPr>
    </w:tblStylePr>
    <w:tblStylePr w:type="band1Horz">
      <w:rPr>
        <w:rFonts w:cs="等线"/>
      </w:rPr>
      <w:tblPr/>
      <w:tcPr>
        <w:tcBorders>
          <w:top w:val="nil"/>
          <w:left w:val="nil"/>
          <w:bottom w:val="nil"/>
          <w:right w:val="nil"/>
          <w:insideH w:val="nil"/>
          <w:insideV w:val="nil"/>
          <w:tl2br w:val="nil"/>
          <w:tr2bl w:val="nil"/>
        </w:tcBorders>
        <w:shd w:val="pct25" w:color="000000" w:fill="FFFFFF"/>
      </w:tcPr>
    </w:tblStylePr>
    <w:tblStylePr w:type="nwCell">
      <w:rPr>
        <w:rFonts w:cs="等线"/>
      </w:rPr>
      <w:tblPr/>
      <w:tcPr>
        <w:tcBorders>
          <w:top w:val="nil"/>
          <w:left w:val="nil"/>
          <w:bottom w:val="nil"/>
          <w:right w:val="nil"/>
          <w:insideH w:val="nil"/>
          <w:insideV w:val="nil"/>
          <w:tl2br w:val="single" w:color="000000" w:sz="6" w:space="0"/>
          <w:tr2bl w:val="nil"/>
        </w:tcBorders>
      </w:tcPr>
    </w:tblStylePr>
  </w:style>
  <w:style w:type="table" w:styleId="103">
    <w:name w:val="Table List 7"/>
    <w:basedOn w:val="78"/>
    <w:semiHidden/>
    <w:qFormat/>
    <w:uiPriority w:val="99"/>
    <w:pPr>
      <w:widowControl w:val="0"/>
      <w:spacing w:after="200" w:line="276" w:lineRule="auto"/>
    </w:pPr>
    <w:rPr>
      <w:rFonts w:ascii="Calibri" w:hAnsi="Calibri" w:cs="Calibri"/>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rFonts w:cs="等线"/>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rFonts w:cs="等线"/>
        <w:b/>
        <w:bCs/>
      </w:rPr>
      <w:tblPr/>
      <w:tcPr>
        <w:tcBorders>
          <w:top w:val="single" w:color="008000" w:sz="12" w:space="0"/>
          <w:left w:val="nil"/>
          <w:bottom w:val="nil"/>
          <w:right w:val="nil"/>
          <w:insideH w:val="nil"/>
          <w:insideV w:val="nil"/>
          <w:tl2br w:val="nil"/>
          <w:tr2bl w:val="nil"/>
        </w:tcBorders>
      </w:tcPr>
    </w:tblStylePr>
    <w:tblStylePr w:type="firstCol">
      <w:rPr>
        <w:rFonts w:cs="等线"/>
        <w:b/>
        <w:bCs/>
      </w:rPr>
      <w:tblPr/>
      <w:tcPr>
        <w:tcBorders>
          <w:top w:val="nil"/>
          <w:left w:val="nil"/>
          <w:bottom w:val="nil"/>
          <w:right w:val="nil"/>
          <w:insideH w:val="nil"/>
          <w:insideV w:val="nil"/>
          <w:tl2br w:val="nil"/>
          <w:tr2bl w:val="nil"/>
        </w:tcBorders>
      </w:tcPr>
    </w:tblStylePr>
    <w:tblStylePr w:type="lastCol">
      <w:rPr>
        <w:rFonts w:cs="等线"/>
        <w:b/>
        <w:bCs/>
      </w:rPr>
      <w:tblPr/>
      <w:tcPr>
        <w:tcBorders>
          <w:top w:val="nil"/>
          <w:left w:val="nil"/>
          <w:bottom w:val="nil"/>
          <w:right w:val="nil"/>
          <w:insideH w:val="nil"/>
          <w:insideV w:val="nil"/>
          <w:tl2br w:val="nil"/>
          <w:tr2bl w:val="nil"/>
        </w:tcBorders>
      </w:tcPr>
    </w:tblStylePr>
    <w:tblStylePr w:type="band1Horz">
      <w:rPr>
        <w:rFonts w:cs="等线"/>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等线"/>
      </w:rPr>
      <w:tblPr/>
      <w:tcPr>
        <w:tcBorders>
          <w:top w:val="nil"/>
          <w:left w:val="nil"/>
          <w:bottom w:val="nil"/>
          <w:right w:val="nil"/>
          <w:insideH w:val="nil"/>
          <w:insideV w:val="nil"/>
          <w:tl2br w:val="nil"/>
          <w:tr2bl w:val="nil"/>
        </w:tcBorders>
        <w:shd w:val="pct25" w:color="FFFF00" w:fill="FFFFFF"/>
      </w:tcPr>
    </w:tblStylePr>
  </w:style>
  <w:style w:type="table" w:styleId="104">
    <w:name w:val="Table List 8"/>
    <w:basedOn w:val="78"/>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rFonts w:cs="等线"/>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rFonts w:cs="等线"/>
        <w:b/>
        <w:bCs/>
      </w:rPr>
      <w:tblPr/>
      <w:tcPr>
        <w:tcBorders>
          <w:top w:val="single" w:color="000000" w:sz="6" w:space="0"/>
          <w:left w:val="nil"/>
          <w:bottom w:val="nil"/>
          <w:right w:val="nil"/>
          <w:insideH w:val="nil"/>
          <w:insideV w:val="nil"/>
          <w:tl2br w:val="nil"/>
          <w:tr2bl w:val="nil"/>
        </w:tcBorders>
      </w:tcPr>
    </w:tblStylePr>
    <w:tblStylePr w:type="firstCol">
      <w:rPr>
        <w:rFonts w:cs="等线"/>
        <w:b/>
        <w:bCs/>
      </w:rPr>
      <w:tblPr/>
      <w:tcPr>
        <w:tcBorders>
          <w:top w:val="nil"/>
          <w:left w:val="nil"/>
          <w:bottom w:val="nil"/>
          <w:right w:val="nil"/>
          <w:insideH w:val="nil"/>
          <w:insideV w:val="nil"/>
          <w:tl2br w:val="nil"/>
          <w:tr2bl w:val="nil"/>
        </w:tcBorders>
      </w:tcPr>
    </w:tblStylePr>
    <w:tblStylePr w:type="lastCol">
      <w:rPr>
        <w:rFonts w:cs="等线"/>
        <w:b/>
        <w:bCs/>
      </w:rPr>
      <w:tblPr/>
      <w:tcPr>
        <w:tcBorders>
          <w:top w:val="nil"/>
          <w:left w:val="nil"/>
          <w:bottom w:val="nil"/>
          <w:right w:val="nil"/>
          <w:insideH w:val="nil"/>
          <w:insideV w:val="nil"/>
          <w:tl2br w:val="nil"/>
          <w:tr2bl w:val="nil"/>
        </w:tcBorders>
      </w:tcPr>
    </w:tblStylePr>
    <w:tblStylePr w:type="band1Horz">
      <w:rPr>
        <w:rFonts w:cs="等线"/>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等线"/>
      </w:rPr>
      <w:tblPr/>
      <w:tcPr>
        <w:tcBorders>
          <w:top w:val="nil"/>
          <w:left w:val="nil"/>
          <w:bottom w:val="nil"/>
          <w:right w:val="nil"/>
          <w:insideH w:val="nil"/>
          <w:insideV w:val="nil"/>
          <w:tl2br w:val="nil"/>
          <w:tr2bl w:val="nil"/>
        </w:tcBorders>
        <w:shd w:val="pct50" w:color="FF0000" w:fill="FFFFFF"/>
      </w:tcPr>
    </w:tblStylePr>
    <w:tblStylePr w:type="nwCell">
      <w:rPr>
        <w:rFonts w:cs="等线"/>
      </w:rPr>
      <w:tblPr/>
      <w:tcPr>
        <w:tcBorders>
          <w:top w:val="nil"/>
          <w:left w:val="nil"/>
          <w:bottom w:val="nil"/>
          <w:right w:val="nil"/>
          <w:insideH w:val="nil"/>
          <w:insideV w:val="nil"/>
          <w:tl2br w:val="single" w:color="auto" w:sz="6" w:space="0"/>
          <w:tr2bl w:val="nil"/>
        </w:tcBorders>
      </w:tcPr>
    </w:tblStylePr>
  </w:style>
  <w:style w:type="table" w:styleId="105">
    <w:name w:val="Table Contemporary"/>
    <w:basedOn w:val="78"/>
    <w:semiHidden/>
    <w:qFormat/>
    <w:uiPriority w:val="99"/>
    <w:pPr>
      <w:widowControl w:val="0"/>
      <w:spacing w:after="200" w:line="276" w:lineRule="auto"/>
    </w:pPr>
    <w:rPr>
      <w:rFonts w:ascii="Calibri" w:hAnsi="Calibri" w:cs="Calibri"/>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cs="等线"/>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等线"/>
        <w:color w:val="auto"/>
      </w:rPr>
      <w:tblPr/>
      <w:tcPr>
        <w:tcBorders>
          <w:top w:val="nil"/>
          <w:left w:val="nil"/>
          <w:bottom w:val="nil"/>
          <w:right w:val="nil"/>
          <w:insideH w:val="nil"/>
          <w:insideV w:val="nil"/>
          <w:tl2br w:val="nil"/>
          <w:tr2bl w:val="nil"/>
        </w:tcBorders>
        <w:shd w:val="pct5" w:color="000000" w:fill="FFFFFF"/>
      </w:tcPr>
    </w:tblStylePr>
    <w:tblStylePr w:type="band2Horz">
      <w:rPr>
        <w:rFonts w:cs="等线"/>
        <w:color w:val="auto"/>
      </w:rPr>
      <w:tblPr/>
      <w:tcPr>
        <w:tcBorders>
          <w:top w:val="nil"/>
          <w:left w:val="nil"/>
          <w:bottom w:val="nil"/>
          <w:right w:val="nil"/>
          <w:insideH w:val="nil"/>
          <w:insideV w:val="nil"/>
          <w:tl2br w:val="nil"/>
          <w:tr2bl w:val="nil"/>
        </w:tcBorders>
        <w:shd w:val="pct20" w:color="000000" w:fill="FFFFFF"/>
      </w:tcPr>
    </w:tblStylePr>
  </w:style>
  <w:style w:type="table" w:styleId="106">
    <w:name w:val="Table Columns 1"/>
    <w:basedOn w:val="78"/>
    <w:semiHidden/>
    <w:qFormat/>
    <w:uiPriority w:val="99"/>
    <w:pPr>
      <w:widowControl w:val="0"/>
      <w:spacing w:after="200" w:line="276" w:lineRule="auto"/>
    </w:pPr>
    <w:rPr>
      <w:rFonts w:ascii="Calibri" w:hAnsi="Calibri" w:cs="Calibri"/>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等线"/>
        <w:b w:val="0"/>
        <w:bCs w:val="0"/>
      </w:rPr>
      <w:tblPr/>
      <w:tcPr>
        <w:tcBorders>
          <w:top w:val="nil"/>
          <w:left w:val="nil"/>
          <w:bottom w:val="double" w:color="000000" w:sz="6" w:space="0"/>
          <w:right w:val="nil"/>
          <w:insideH w:val="nil"/>
          <w:insideV w:val="nil"/>
          <w:tl2br w:val="nil"/>
          <w:tr2bl w:val="nil"/>
        </w:tcBorders>
      </w:tcPr>
    </w:tblStylePr>
    <w:tblStylePr w:type="lastRow">
      <w:rPr>
        <w:rFonts w:cs="等线"/>
        <w:b w:val="0"/>
        <w:bCs w:val="0"/>
      </w:rPr>
      <w:tblPr/>
      <w:tcPr>
        <w:tcBorders>
          <w:top w:val="nil"/>
          <w:left w:val="nil"/>
          <w:bottom w:val="nil"/>
          <w:right w:val="nil"/>
          <w:insideH w:val="nil"/>
          <w:insideV w:val="nil"/>
          <w:tl2br w:val="nil"/>
          <w:tr2bl w:val="nil"/>
        </w:tcBorders>
      </w:tcPr>
    </w:tblStylePr>
    <w:tblStylePr w:type="firstCol">
      <w:rPr>
        <w:rFonts w:cs="等线"/>
        <w:b w:val="0"/>
        <w:bCs w:val="0"/>
      </w:rPr>
      <w:tblPr/>
      <w:tcPr>
        <w:tcBorders>
          <w:top w:val="nil"/>
          <w:left w:val="nil"/>
          <w:bottom w:val="nil"/>
          <w:right w:val="nil"/>
          <w:insideH w:val="nil"/>
          <w:insideV w:val="nil"/>
          <w:tl2br w:val="nil"/>
          <w:tr2bl w:val="nil"/>
        </w:tcBorders>
      </w:tcPr>
    </w:tblStylePr>
    <w:tblStylePr w:type="lastCol">
      <w:rPr>
        <w:rFonts w:cs="等线"/>
        <w:b w:val="0"/>
        <w:bCs w:val="0"/>
      </w:rPr>
      <w:tblPr/>
      <w:tcPr>
        <w:tcBorders>
          <w:top w:val="nil"/>
          <w:left w:val="nil"/>
          <w:bottom w:val="nil"/>
          <w:right w:val="nil"/>
          <w:insideH w:val="nil"/>
          <w:insideV w:val="nil"/>
          <w:tl2br w:val="nil"/>
          <w:tr2bl w:val="nil"/>
        </w:tcBorders>
      </w:tcPr>
    </w:tblStylePr>
    <w:tblStylePr w:type="band1Vert">
      <w:rPr>
        <w:rFonts w:cs="等线"/>
        <w:color w:val="auto"/>
      </w:rPr>
      <w:tblPr/>
      <w:tcPr>
        <w:shd w:val="pct25" w:color="000000" w:fill="FFFFFF"/>
      </w:tcPr>
    </w:tblStylePr>
    <w:tblStylePr w:type="band2Vert">
      <w:rPr>
        <w:rFonts w:cs="等线"/>
        <w:color w:val="auto"/>
      </w:rPr>
      <w:tblPr/>
      <w:tcPr>
        <w:shd w:val="pct25" w:color="FFFF00" w:fill="FFFFFF"/>
      </w:tcPr>
    </w:tblStylePr>
    <w:tblStylePr w:type="neCell">
      <w:rPr>
        <w:rFonts w:cs="等线"/>
        <w:b/>
        <w:bCs/>
      </w:rPr>
      <w:tblPr/>
      <w:tcPr>
        <w:tcBorders>
          <w:top w:val="nil"/>
          <w:left w:val="nil"/>
          <w:bottom w:val="nil"/>
          <w:right w:val="nil"/>
          <w:insideH w:val="nil"/>
          <w:insideV w:val="nil"/>
          <w:tl2br w:val="nil"/>
          <w:tr2bl w:val="nil"/>
        </w:tcBorders>
      </w:tcPr>
    </w:tblStylePr>
    <w:tblStylePr w:type="swCell">
      <w:rPr>
        <w:rFonts w:cs="等线"/>
        <w:b/>
        <w:bCs/>
      </w:rPr>
      <w:tblPr/>
      <w:tcPr>
        <w:tcBorders>
          <w:top w:val="nil"/>
          <w:left w:val="nil"/>
          <w:bottom w:val="nil"/>
          <w:right w:val="nil"/>
          <w:insideH w:val="nil"/>
          <w:insideV w:val="nil"/>
          <w:tl2br w:val="nil"/>
          <w:tr2bl w:val="nil"/>
        </w:tcBorders>
      </w:tcPr>
    </w:tblStylePr>
  </w:style>
  <w:style w:type="table" w:styleId="107">
    <w:name w:val="Table Columns 2"/>
    <w:basedOn w:val="78"/>
    <w:semiHidden/>
    <w:qFormat/>
    <w:uiPriority w:val="99"/>
    <w:pPr>
      <w:widowControl w:val="0"/>
      <w:spacing w:after="200" w:line="276" w:lineRule="auto"/>
    </w:pPr>
    <w:rPr>
      <w:rFonts w:ascii="Calibri" w:hAnsi="Calibri" w:cs="Calibri"/>
      <w:b/>
      <w:bCs/>
    </w:rPr>
    <w:tblPr>
      <w:tblCellMar>
        <w:top w:w="0" w:type="dxa"/>
        <w:left w:w="108" w:type="dxa"/>
        <w:bottom w:w="0" w:type="dxa"/>
        <w:right w:w="108" w:type="dxa"/>
      </w:tblCellMar>
    </w:tblPr>
    <w:tblStylePr w:type="firstRow">
      <w:rPr>
        <w:rFonts w:cs="等线"/>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等线"/>
        <w:b w:val="0"/>
        <w:bCs w:val="0"/>
      </w:rPr>
      <w:tblPr/>
      <w:tcPr>
        <w:tcBorders>
          <w:top w:val="nil"/>
          <w:left w:val="nil"/>
          <w:bottom w:val="nil"/>
          <w:right w:val="nil"/>
          <w:insideH w:val="nil"/>
          <w:insideV w:val="nil"/>
          <w:tl2br w:val="nil"/>
          <w:tr2bl w:val="nil"/>
        </w:tcBorders>
      </w:tcPr>
    </w:tblStylePr>
    <w:tblStylePr w:type="firstCol">
      <w:rPr>
        <w:rFonts w:cs="等线"/>
        <w:b w:val="0"/>
        <w:bCs w:val="0"/>
        <w:color w:val="000000"/>
      </w:rPr>
      <w:tblPr/>
      <w:tcPr>
        <w:tcBorders>
          <w:top w:val="nil"/>
          <w:left w:val="nil"/>
          <w:bottom w:val="nil"/>
          <w:right w:val="nil"/>
          <w:insideH w:val="nil"/>
          <w:insideV w:val="nil"/>
          <w:tl2br w:val="nil"/>
          <w:tr2bl w:val="nil"/>
        </w:tcBorders>
      </w:tcPr>
    </w:tblStylePr>
    <w:tblStylePr w:type="lastCol">
      <w:rPr>
        <w:rFonts w:cs="等线"/>
        <w:b w:val="0"/>
        <w:bCs w:val="0"/>
      </w:rPr>
      <w:tblPr/>
      <w:tcPr>
        <w:tcBorders>
          <w:top w:val="nil"/>
          <w:left w:val="nil"/>
          <w:bottom w:val="nil"/>
          <w:right w:val="nil"/>
          <w:insideH w:val="nil"/>
          <w:insideV w:val="nil"/>
          <w:tl2br w:val="nil"/>
          <w:tr2bl w:val="nil"/>
        </w:tcBorders>
      </w:tcPr>
    </w:tblStylePr>
    <w:tblStylePr w:type="band1Vert">
      <w:rPr>
        <w:rFonts w:cs="等线"/>
        <w:color w:val="auto"/>
      </w:rPr>
      <w:tblPr/>
      <w:tcPr>
        <w:shd w:val="pct30" w:color="000000" w:fill="FFFFFF"/>
      </w:tcPr>
    </w:tblStylePr>
    <w:tblStylePr w:type="band2Vert">
      <w:rPr>
        <w:rFonts w:cs="等线"/>
        <w:color w:val="auto"/>
      </w:rPr>
      <w:tblPr/>
      <w:tcPr>
        <w:shd w:val="pct25" w:color="00FF00" w:fill="FFFFFF"/>
      </w:tcPr>
    </w:tblStylePr>
    <w:tblStylePr w:type="neCell">
      <w:rPr>
        <w:rFonts w:cs="等线"/>
        <w:b/>
        <w:bCs/>
      </w:rPr>
      <w:tblPr/>
      <w:tcPr>
        <w:tcBorders>
          <w:top w:val="nil"/>
          <w:left w:val="nil"/>
          <w:bottom w:val="nil"/>
          <w:right w:val="nil"/>
          <w:insideH w:val="nil"/>
          <w:insideV w:val="nil"/>
          <w:tl2br w:val="nil"/>
          <w:tr2bl w:val="nil"/>
        </w:tcBorders>
      </w:tcPr>
    </w:tblStylePr>
    <w:tblStylePr w:type="swCell">
      <w:rPr>
        <w:rFonts w:cs="等线"/>
        <w:b/>
        <w:bCs/>
      </w:rPr>
      <w:tblPr/>
      <w:tcPr>
        <w:tcBorders>
          <w:top w:val="nil"/>
          <w:left w:val="nil"/>
          <w:bottom w:val="nil"/>
          <w:right w:val="nil"/>
          <w:insideH w:val="nil"/>
          <w:insideV w:val="nil"/>
          <w:tl2br w:val="nil"/>
          <w:tr2bl w:val="nil"/>
        </w:tcBorders>
      </w:tcPr>
    </w:tblStylePr>
  </w:style>
  <w:style w:type="table" w:styleId="108">
    <w:name w:val="Table Columns 3"/>
    <w:basedOn w:val="78"/>
    <w:semiHidden/>
    <w:qFormat/>
    <w:uiPriority w:val="99"/>
    <w:pPr>
      <w:widowControl w:val="0"/>
      <w:spacing w:after="200" w:line="276" w:lineRule="auto"/>
    </w:pPr>
    <w:rPr>
      <w:rFonts w:ascii="Calibri" w:hAnsi="Calibri" w:cs="Calibri"/>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rFonts w:cs="等线"/>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等线"/>
        <w:b w:val="0"/>
        <w:bCs w:val="0"/>
      </w:rPr>
      <w:tblPr/>
      <w:tcPr>
        <w:tcBorders>
          <w:top w:val="single" w:color="000080" w:sz="6" w:space="0"/>
          <w:left w:val="nil"/>
          <w:bottom w:val="nil"/>
          <w:right w:val="nil"/>
          <w:insideH w:val="nil"/>
          <w:insideV w:val="nil"/>
          <w:tl2br w:val="nil"/>
          <w:tr2bl w:val="nil"/>
        </w:tcBorders>
      </w:tcPr>
    </w:tblStylePr>
    <w:tblStylePr w:type="firstCol">
      <w:rPr>
        <w:rFonts w:cs="等线"/>
        <w:b w:val="0"/>
        <w:bCs w:val="0"/>
      </w:rPr>
      <w:tblPr/>
      <w:tcPr>
        <w:tcBorders>
          <w:top w:val="nil"/>
          <w:left w:val="nil"/>
          <w:bottom w:val="nil"/>
          <w:right w:val="nil"/>
          <w:insideH w:val="nil"/>
          <w:insideV w:val="nil"/>
          <w:tl2br w:val="nil"/>
          <w:tr2bl w:val="nil"/>
        </w:tcBorders>
      </w:tcPr>
    </w:tblStylePr>
    <w:tblStylePr w:type="lastCol">
      <w:rPr>
        <w:rFonts w:cs="等线"/>
        <w:b w:val="0"/>
        <w:bCs w:val="0"/>
      </w:rPr>
      <w:tblPr/>
      <w:tcPr>
        <w:tcBorders>
          <w:top w:val="nil"/>
          <w:left w:val="nil"/>
          <w:bottom w:val="nil"/>
          <w:right w:val="nil"/>
          <w:insideH w:val="nil"/>
          <w:insideV w:val="nil"/>
          <w:tl2br w:val="nil"/>
          <w:tr2bl w:val="nil"/>
        </w:tcBorders>
      </w:tcPr>
    </w:tblStylePr>
    <w:tblStylePr w:type="band1Vert">
      <w:rPr>
        <w:rFonts w:cs="等线"/>
        <w:color w:val="auto"/>
      </w:rPr>
      <w:tblPr/>
      <w:tcPr>
        <w:shd w:val="solid" w:color="C0C0C0" w:fill="FFFFFF"/>
      </w:tcPr>
    </w:tblStylePr>
    <w:tblStylePr w:type="band2Vert">
      <w:rPr>
        <w:rFonts w:cs="等线"/>
        <w:color w:val="auto"/>
      </w:rPr>
      <w:tblPr/>
      <w:tcPr>
        <w:shd w:val="pct10" w:color="000000" w:fill="FFFFFF"/>
      </w:tcPr>
    </w:tblStylePr>
    <w:tblStylePr w:type="neCell">
      <w:rPr>
        <w:rFonts w:cs="等线"/>
        <w:b/>
        <w:bCs/>
      </w:rPr>
      <w:tblPr/>
      <w:tcPr>
        <w:tcBorders>
          <w:top w:val="nil"/>
          <w:left w:val="nil"/>
          <w:bottom w:val="nil"/>
          <w:right w:val="nil"/>
          <w:insideH w:val="nil"/>
          <w:insideV w:val="nil"/>
          <w:tl2br w:val="nil"/>
          <w:tr2bl w:val="nil"/>
        </w:tcBorders>
      </w:tcPr>
    </w:tblStylePr>
  </w:style>
  <w:style w:type="table" w:styleId="109">
    <w:name w:val="Table Columns 4"/>
    <w:basedOn w:val="78"/>
    <w:semiHidden/>
    <w:qFormat/>
    <w:uiPriority w:val="99"/>
    <w:pPr>
      <w:widowControl w:val="0"/>
      <w:spacing w:after="200" w:line="276" w:lineRule="auto"/>
    </w:pPr>
    <w:rPr>
      <w:rFonts w:ascii="Calibri" w:hAnsi="Calibri" w:cs="Calibri"/>
    </w:rPr>
    <w:tblPr>
      <w:tblCellMar>
        <w:top w:w="0" w:type="dxa"/>
        <w:left w:w="108" w:type="dxa"/>
        <w:bottom w:w="0" w:type="dxa"/>
        <w:right w:w="108" w:type="dxa"/>
      </w:tblCellMar>
    </w:tblPr>
    <w:tblStylePr w:type="firstRow">
      <w:rPr>
        <w:rFonts w:cs="等线"/>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等线"/>
        <w:b/>
        <w:bCs/>
      </w:rPr>
      <w:tblPr/>
      <w:tcPr>
        <w:tcBorders>
          <w:top w:val="nil"/>
          <w:left w:val="nil"/>
          <w:bottom w:val="nil"/>
          <w:right w:val="nil"/>
          <w:insideH w:val="nil"/>
          <w:insideV w:val="nil"/>
          <w:tl2br w:val="nil"/>
          <w:tr2bl w:val="nil"/>
        </w:tcBorders>
      </w:tcPr>
    </w:tblStylePr>
    <w:tblStylePr w:type="lastCol">
      <w:rPr>
        <w:rFonts w:cs="等线"/>
        <w:b/>
        <w:bCs/>
      </w:rPr>
      <w:tblPr/>
      <w:tcPr>
        <w:tcBorders>
          <w:top w:val="nil"/>
          <w:left w:val="nil"/>
          <w:bottom w:val="nil"/>
          <w:right w:val="nil"/>
          <w:insideH w:val="nil"/>
          <w:insideV w:val="nil"/>
          <w:tl2br w:val="nil"/>
          <w:tr2bl w:val="nil"/>
        </w:tcBorders>
      </w:tcPr>
    </w:tblStylePr>
    <w:tblStylePr w:type="band1Vert">
      <w:rPr>
        <w:rFonts w:cs="等线"/>
        <w:color w:val="auto"/>
      </w:rPr>
      <w:tblPr/>
      <w:tcPr>
        <w:shd w:val="pct50" w:color="008080" w:fill="FFFFFF"/>
      </w:tcPr>
    </w:tblStylePr>
    <w:tblStylePr w:type="band2Vert">
      <w:rPr>
        <w:rFonts w:cs="等线"/>
        <w:color w:val="auto"/>
      </w:rPr>
      <w:tblPr/>
      <w:tcPr>
        <w:shd w:val="pct10" w:color="000000" w:fill="FFFFFF"/>
      </w:tcPr>
    </w:tblStylePr>
  </w:style>
  <w:style w:type="table" w:styleId="110">
    <w:name w:val="Table Columns 5"/>
    <w:basedOn w:val="78"/>
    <w:semiHidden/>
    <w:qFormat/>
    <w:uiPriority w:val="99"/>
    <w:pPr>
      <w:widowControl w:val="0"/>
      <w:spacing w:after="200" w:line="276" w:lineRule="auto"/>
    </w:pPr>
    <w:rPr>
      <w:rFonts w:ascii="Calibri" w:hAnsi="Calibri" w:cs="Calibri"/>
    </w:r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rFonts w:cs="等线"/>
        <w:b/>
        <w:bCs/>
        <w:i/>
        <w:iCs/>
      </w:rPr>
      <w:tblPr/>
      <w:tcPr>
        <w:tcBorders>
          <w:top w:val="nil"/>
          <w:left w:val="nil"/>
          <w:bottom w:val="single" w:color="808080" w:sz="6" w:space="0"/>
          <w:right w:val="nil"/>
          <w:insideH w:val="nil"/>
          <w:insideV w:val="nil"/>
          <w:tl2br w:val="nil"/>
          <w:tr2bl w:val="nil"/>
        </w:tcBorders>
      </w:tcPr>
    </w:tblStylePr>
    <w:tblStylePr w:type="lastRow">
      <w:rPr>
        <w:rFonts w:cs="等线"/>
        <w:b/>
        <w:bCs/>
      </w:rPr>
      <w:tblPr/>
      <w:tcPr>
        <w:tcBorders>
          <w:top w:val="single" w:color="808080" w:sz="6" w:space="0"/>
          <w:left w:val="nil"/>
          <w:bottom w:val="nil"/>
          <w:right w:val="nil"/>
          <w:insideH w:val="nil"/>
          <w:insideV w:val="nil"/>
          <w:tl2br w:val="nil"/>
          <w:tr2bl w:val="nil"/>
        </w:tcBorders>
      </w:tcPr>
    </w:tblStylePr>
    <w:tblStylePr w:type="firstCol">
      <w:rPr>
        <w:rFonts w:cs="等线"/>
        <w:b/>
        <w:bCs/>
      </w:rPr>
      <w:tblPr/>
      <w:tcPr>
        <w:tcBorders>
          <w:top w:val="nil"/>
          <w:left w:val="nil"/>
          <w:bottom w:val="nil"/>
          <w:right w:val="nil"/>
          <w:insideH w:val="nil"/>
          <w:insideV w:val="nil"/>
          <w:tl2br w:val="nil"/>
          <w:tr2bl w:val="nil"/>
        </w:tcBorders>
      </w:tcPr>
    </w:tblStylePr>
    <w:tblStylePr w:type="lastCol">
      <w:rPr>
        <w:rFonts w:cs="等线"/>
        <w:b/>
        <w:bCs/>
      </w:rPr>
      <w:tblPr/>
      <w:tcPr>
        <w:tcBorders>
          <w:top w:val="nil"/>
          <w:left w:val="nil"/>
          <w:bottom w:val="nil"/>
          <w:right w:val="nil"/>
          <w:insideH w:val="nil"/>
          <w:insideV w:val="nil"/>
          <w:tl2br w:val="nil"/>
          <w:tr2bl w:val="nil"/>
        </w:tcBorders>
      </w:tcPr>
    </w:tblStylePr>
    <w:tblStylePr w:type="band1Vert">
      <w:rPr>
        <w:rFonts w:cs="等线"/>
        <w:color w:val="auto"/>
      </w:rPr>
      <w:tblPr/>
      <w:tcPr>
        <w:shd w:val="solid" w:color="C0C0C0" w:fill="FFFFFF"/>
      </w:tcPr>
    </w:tblStylePr>
    <w:tblStylePr w:type="band2Vert">
      <w:rPr>
        <w:rFonts w:cs="等线"/>
        <w:color w:val="auto"/>
      </w:rPr>
    </w:tblStylePr>
  </w:style>
  <w:style w:type="table" w:styleId="111">
    <w:name w:val="Table Grid 1"/>
    <w:basedOn w:val="78"/>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rFonts w:cs="等线"/>
        <w:i/>
        <w:iCs/>
      </w:rPr>
      <w:tblPr/>
      <w:tcPr>
        <w:tcBorders>
          <w:top w:val="nil"/>
          <w:left w:val="nil"/>
          <w:bottom w:val="nil"/>
          <w:right w:val="nil"/>
          <w:insideH w:val="nil"/>
          <w:insideV w:val="nil"/>
          <w:tl2br w:val="nil"/>
          <w:tr2bl w:val="nil"/>
        </w:tcBorders>
      </w:tcPr>
    </w:tblStylePr>
    <w:tblStylePr w:type="lastCol">
      <w:rPr>
        <w:rFonts w:cs="等线"/>
        <w:i/>
        <w:iCs/>
      </w:rPr>
      <w:tblPr/>
      <w:tcPr>
        <w:tcBorders>
          <w:top w:val="nil"/>
          <w:left w:val="nil"/>
          <w:bottom w:val="nil"/>
          <w:right w:val="nil"/>
          <w:insideH w:val="nil"/>
          <w:insideV w:val="nil"/>
          <w:tl2br w:val="nil"/>
          <w:tr2bl w:val="nil"/>
        </w:tcBorders>
      </w:tcPr>
    </w:tblStylePr>
    <w:tblStylePr w:type="nwCell">
      <w:rPr>
        <w:rFonts w:cs="等线"/>
      </w:rPr>
      <w:tblPr/>
      <w:tcPr>
        <w:tcBorders>
          <w:top w:val="nil"/>
          <w:left w:val="nil"/>
          <w:bottom w:val="nil"/>
          <w:right w:val="nil"/>
          <w:insideH w:val="nil"/>
          <w:insideV w:val="nil"/>
          <w:tl2br w:val="single" w:color="000000" w:sz="6" w:space="0"/>
          <w:tr2bl w:val="nil"/>
        </w:tcBorders>
      </w:tcPr>
    </w:tblStylePr>
  </w:style>
  <w:style w:type="table" w:styleId="112">
    <w:name w:val="Table Grid 2"/>
    <w:basedOn w:val="78"/>
    <w:semiHidden/>
    <w:qFormat/>
    <w:uiPriority w:val="99"/>
    <w:pPr>
      <w:widowControl w:val="0"/>
      <w:spacing w:after="200" w:line="276" w:lineRule="auto"/>
    </w:pPr>
    <w:rPr>
      <w:rFonts w:ascii="Calibri" w:hAnsi="Calibri" w:cs="Calibri"/>
    </w:rPr>
    <w:tblPr>
      <w:tblBorders>
        <w:insideH w:val="single" w:color="000000" w:sz="6" w:space="0"/>
        <w:insideV w:val="single" w:color="000000" w:sz="6" w:space="0"/>
      </w:tblBorders>
      <w:tblCellMar>
        <w:top w:w="0" w:type="dxa"/>
        <w:left w:w="108" w:type="dxa"/>
        <w:bottom w:w="0" w:type="dxa"/>
        <w:right w:w="108" w:type="dxa"/>
      </w:tblCellMar>
    </w:tblPr>
    <w:tblStylePr w:type="firstRow">
      <w:rPr>
        <w:rFonts w:cs="等线"/>
        <w:b/>
        <w:bCs/>
      </w:rPr>
      <w:tblPr/>
      <w:tcPr>
        <w:tcBorders>
          <w:top w:val="nil"/>
          <w:left w:val="nil"/>
          <w:bottom w:val="nil"/>
          <w:right w:val="nil"/>
          <w:insideH w:val="nil"/>
          <w:insideV w:val="nil"/>
          <w:tl2br w:val="nil"/>
          <w:tr2bl w:val="nil"/>
        </w:tcBorders>
      </w:tcPr>
    </w:tblStylePr>
    <w:tblStylePr w:type="lastRow">
      <w:rPr>
        <w:rFonts w:cs="等线"/>
        <w:b/>
        <w:bCs/>
      </w:rPr>
      <w:tblPr/>
      <w:tcPr>
        <w:tcBorders>
          <w:top w:val="single" w:color="000000" w:sz="6" w:space="0"/>
          <w:left w:val="nil"/>
          <w:bottom w:val="nil"/>
          <w:right w:val="nil"/>
          <w:insideH w:val="nil"/>
          <w:insideV w:val="nil"/>
          <w:tl2br w:val="nil"/>
          <w:tr2bl w:val="nil"/>
        </w:tcBorders>
      </w:tcPr>
    </w:tblStylePr>
    <w:tblStylePr w:type="firstCol">
      <w:rPr>
        <w:rFonts w:cs="等线"/>
        <w:b/>
        <w:bCs/>
      </w:rPr>
      <w:tblPr/>
      <w:tcPr>
        <w:tcBorders>
          <w:top w:val="nil"/>
          <w:left w:val="nil"/>
          <w:bottom w:val="nil"/>
          <w:right w:val="nil"/>
          <w:insideH w:val="nil"/>
          <w:insideV w:val="nil"/>
          <w:tl2br w:val="nil"/>
          <w:tr2bl w:val="nil"/>
        </w:tcBorders>
      </w:tcPr>
    </w:tblStylePr>
    <w:tblStylePr w:type="lastCol">
      <w:rPr>
        <w:rFonts w:cs="等线"/>
        <w:b/>
        <w:bCs/>
      </w:rPr>
      <w:tblPr/>
      <w:tcPr>
        <w:tcBorders>
          <w:top w:val="nil"/>
          <w:left w:val="nil"/>
          <w:bottom w:val="nil"/>
          <w:right w:val="nil"/>
          <w:insideH w:val="nil"/>
          <w:insideV w:val="nil"/>
          <w:tl2br w:val="nil"/>
          <w:tr2bl w:val="nil"/>
        </w:tcBorders>
      </w:tcPr>
    </w:tblStylePr>
  </w:style>
  <w:style w:type="table" w:styleId="113">
    <w:name w:val="Table Grid 3"/>
    <w:basedOn w:val="78"/>
    <w:semiHidden/>
    <w:qFormat/>
    <w:uiPriority w:val="99"/>
    <w:pPr>
      <w:widowControl w:val="0"/>
      <w:spacing w:after="200" w:line="276" w:lineRule="auto"/>
    </w:pPr>
    <w:rPr>
      <w:rFonts w:ascii="Calibri" w:hAnsi="Calibri" w:cs="Calibri"/>
    </w:r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blStylePr w:type="firstRow">
      <w:rPr>
        <w:rFonts w:cs="等线"/>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等线"/>
        <w:b/>
        <w:bCs/>
      </w:rPr>
      <w:tblPr/>
      <w:tcPr>
        <w:tcBorders>
          <w:top w:val="nil"/>
          <w:left w:val="nil"/>
          <w:bottom w:val="nil"/>
          <w:right w:val="nil"/>
          <w:insideH w:val="nil"/>
          <w:insideV w:val="nil"/>
          <w:tl2br w:val="nil"/>
          <w:tr2bl w:val="nil"/>
        </w:tcBorders>
      </w:tcPr>
    </w:tblStylePr>
    <w:tblStylePr w:type="lastCol">
      <w:rPr>
        <w:rFonts w:cs="等线"/>
        <w:b/>
        <w:bCs/>
      </w:rPr>
      <w:tblPr/>
      <w:tcPr>
        <w:tcBorders>
          <w:top w:val="nil"/>
          <w:left w:val="nil"/>
          <w:bottom w:val="nil"/>
          <w:right w:val="nil"/>
          <w:insideH w:val="nil"/>
          <w:insideV w:val="nil"/>
          <w:tl2br w:val="nil"/>
          <w:tr2bl w:val="nil"/>
        </w:tcBorders>
      </w:tcPr>
    </w:tblStylePr>
    <w:tblStylePr w:type="nwCell">
      <w:rPr>
        <w:rFonts w:cs="等线"/>
      </w:rPr>
      <w:tblPr/>
      <w:tcPr>
        <w:tcBorders>
          <w:top w:val="nil"/>
          <w:left w:val="nil"/>
          <w:bottom w:val="nil"/>
          <w:right w:val="nil"/>
          <w:insideH w:val="nil"/>
          <w:insideV w:val="nil"/>
          <w:tl2br w:val="single" w:color="000000" w:sz="6" w:space="0"/>
          <w:tr2bl w:val="nil"/>
        </w:tcBorders>
      </w:tcPr>
    </w:tblStylePr>
  </w:style>
  <w:style w:type="table" w:styleId="114">
    <w:name w:val="Table Grid 4"/>
    <w:basedOn w:val="78"/>
    <w:semiHidden/>
    <w:qFormat/>
    <w:uiPriority w:val="99"/>
    <w:pPr>
      <w:widowControl w:val="0"/>
      <w:spacing w:after="200" w:line="276" w:lineRule="auto"/>
    </w:pPr>
    <w:rPr>
      <w:rFonts w:ascii="Calibri" w:hAnsi="Calibri" w:cs="Calibri"/>
    </w:r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等线"/>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等线"/>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等线"/>
        <w:b/>
        <w:bCs/>
        <w:color w:val="auto"/>
      </w:rPr>
      <w:tblPr/>
      <w:tcPr>
        <w:tcBorders>
          <w:top w:val="nil"/>
          <w:left w:val="nil"/>
          <w:bottom w:val="nil"/>
          <w:right w:val="nil"/>
          <w:insideH w:val="nil"/>
          <w:insideV w:val="nil"/>
          <w:tl2br w:val="nil"/>
          <w:tr2bl w:val="nil"/>
        </w:tcBorders>
      </w:tcPr>
    </w:tblStylePr>
  </w:style>
  <w:style w:type="table" w:styleId="115">
    <w:name w:val="Table Grid 5"/>
    <w:basedOn w:val="78"/>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等线"/>
      </w:rPr>
      <w:tblPr/>
      <w:tcPr>
        <w:tcBorders>
          <w:top w:val="nil"/>
          <w:left w:val="nil"/>
          <w:bottom w:val="single" w:color="000000" w:sz="12" w:space="0"/>
          <w:right w:val="nil"/>
          <w:insideH w:val="nil"/>
          <w:insideV w:val="nil"/>
          <w:tl2br w:val="nil"/>
          <w:tr2bl w:val="nil"/>
        </w:tcBorders>
      </w:tcPr>
    </w:tblStylePr>
    <w:tblStylePr w:type="lastRow">
      <w:rPr>
        <w:rFonts w:cs="等线"/>
        <w:b/>
        <w:bCs/>
      </w:rPr>
      <w:tblPr/>
      <w:tcPr>
        <w:tcBorders>
          <w:top w:val="nil"/>
          <w:left w:val="nil"/>
          <w:bottom w:val="nil"/>
          <w:right w:val="nil"/>
          <w:insideH w:val="nil"/>
          <w:insideV w:val="nil"/>
          <w:tl2br w:val="nil"/>
          <w:tr2bl w:val="nil"/>
        </w:tcBorders>
      </w:tcPr>
    </w:tblStylePr>
    <w:tblStylePr w:type="lastCol">
      <w:rPr>
        <w:rFonts w:cs="等线"/>
        <w:b/>
        <w:bCs/>
      </w:rPr>
      <w:tblPr/>
      <w:tcPr>
        <w:tcBorders>
          <w:top w:val="nil"/>
          <w:left w:val="nil"/>
          <w:bottom w:val="nil"/>
          <w:right w:val="nil"/>
          <w:insideH w:val="nil"/>
          <w:insideV w:val="nil"/>
          <w:tl2br w:val="nil"/>
          <w:tr2bl w:val="nil"/>
        </w:tcBorders>
      </w:tcPr>
    </w:tblStylePr>
    <w:tblStylePr w:type="nwCell">
      <w:rPr>
        <w:rFonts w:cs="等线"/>
      </w:rPr>
      <w:tblPr/>
      <w:tcPr>
        <w:tcBorders>
          <w:top w:val="nil"/>
          <w:left w:val="nil"/>
          <w:bottom w:val="nil"/>
          <w:right w:val="nil"/>
          <w:insideH w:val="nil"/>
          <w:insideV w:val="nil"/>
          <w:tl2br w:val="single" w:color="000000" w:sz="6" w:space="0"/>
          <w:tr2bl w:val="nil"/>
        </w:tcBorders>
      </w:tcPr>
    </w:tblStylePr>
  </w:style>
  <w:style w:type="table" w:styleId="116">
    <w:name w:val="Table Grid 6"/>
    <w:basedOn w:val="78"/>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blStylePr w:type="firstRow">
      <w:rPr>
        <w:rFonts w:cs="等线"/>
        <w:b/>
        <w:bCs/>
      </w:rPr>
      <w:tblPr/>
      <w:tcPr>
        <w:tcBorders>
          <w:top w:val="nil"/>
          <w:left w:val="nil"/>
          <w:bottom w:val="single" w:color="000000" w:sz="6" w:space="0"/>
          <w:right w:val="nil"/>
          <w:insideH w:val="nil"/>
          <w:insideV w:val="nil"/>
          <w:tl2br w:val="nil"/>
          <w:tr2bl w:val="nil"/>
        </w:tcBorders>
      </w:tcPr>
    </w:tblStylePr>
    <w:tblStylePr w:type="lastRow">
      <w:rPr>
        <w:rFonts w:cs="等线"/>
        <w:color w:val="auto"/>
      </w:rPr>
      <w:tblPr/>
      <w:tcPr>
        <w:tcBorders>
          <w:top w:val="single" w:color="000000" w:sz="6" w:space="0"/>
          <w:left w:val="nil"/>
          <w:bottom w:val="nil"/>
          <w:right w:val="nil"/>
          <w:insideH w:val="nil"/>
          <w:insideV w:val="nil"/>
          <w:tl2br w:val="nil"/>
          <w:tr2bl w:val="nil"/>
        </w:tcBorders>
      </w:tcPr>
    </w:tblStylePr>
    <w:tblStylePr w:type="firstCol">
      <w:rPr>
        <w:rFonts w:cs="等线"/>
        <w:b/>
        <w:bCs/>
      </w:rPr>
      <w:tblPr/>
      <w:tcPr>
        <w:tcBorders>
          <w:top w:val="nil"/>
          <w:left w:val="nil"/>
          <w:bottom w:val="nil"/>
          <w:right w:val="nil"/>
          <w:insideH w:val="nil"/>
          <w:insideV w:val="nil"/>
          <w:tl2br w:val="nil"/>
          <w:tr2bl w:val="nil"/>
        </w:tcBorders>
      </w:tcPr>
    </w:tblStylePr>
    <w:tblStylePr w:type="nwCell">
      <w:rPr>
        <w:rFonts w:cs="等线"/>
      </w:rPr>
      <w:tblPr/>
      <w:tcPr>
        <w:tcBorders>
          <w:top w:val="nil"/>
          <w:left w:val="nil"/>
          <w:bottom w:val="nil"/>
          <w:right w:val="nil"/>
          <w:insideH w:val="nil"/>
          <w:insideV w:val="nil"/>
          <w:tl2br w:val="single" w:color="000000" w:sz="6" w:space="0"/>
          <w:tr2bl w:val="nil"/>
        </w:tcBorders>
      </w:tcPr>
    </w:tblStylePr>
  </w:style>
  <w:style w:type="table" w:styleId="117">
    <w:name w:val="Table Grid 7"/>
    <w:basedOn w:val="78"/>
    <w:semiHidden/>
    <w:qFormat/>
    <w:uiPriority w:val="99"/>
    <w:pPr>
      <w:widowControl w:val="0"/>
      <w:spacing w:after="200" w:line="276" w:lineRule="auto"/>
    </w:pPr>
    <w:rPr>
      <w:rFonts w:ascii="Calibri" w:hAnsi="Calibri"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等线"/>
        <w:b w:val="0"/>
        <w:bCs w:val="0"/>
      </w:rPr>
      <w:tblPr/>
      <w:tcPr>
        <w:tcBorders>
          <w:top w:val="nil"/>
          <w:left w:val="nil"/>
          <w:bottom w:val="single" w:color="000000" w:sz="12" w:space="0"/>
          <w:right w:val="nil"/>
          <w:insideH w:val="nil"/>
          <w:insideV w:val="nil"/>
          <w:tl2br w:val="nil"/>
          <w:tr2bl w:val="nil"/>
        </w:tcBorders>
      </w:tcPr>
    </w:tblStylePr>
    <w:tblStylePr w:type="lastRow">
      <w:rPr>
        <w:rFonts w:cs="等线"/>
        <w:b w:val="0"/>
        <w:bCs w:val="0"/>
      </w:rPr>
      <w:tblPr/>
      <w:tcPr>
        <w:tcBorders>
          <w:top w:val="single" w:color="000000" w:sz="6" w:space="0"/>
          <w:left w:val="nil"/>
          <w:bottom w:val="nil"/>
          <w:right w:val="nil"/>
          <w:insideH w:val="nil"/>
          <w:insideV w:val="nil"/>
          <w:tl2br w:val="nil"/>
          <w:tr2bl w:val="nil"/>
        </w:tcBorders>
      </w:tcPr>
    </w:tblStylePr>
    <w:tblStylePr w:type="firstCol">
      <w:rPr>
        <w:rFonts w:cs="等线"/>
        <w:b w:val="0"/>
        <w:bCs w:val="0"/>
      </w:rPr>
      <w:tblPr/>
      <w:tcPr>
        <w:tcBorders>
          <w:top w:val="nil"/>
          <w:left w:val="nil"/>
          <w:bottom w:val="nil"/>
          <w:right w:val="nil"/>
          <w:insideH w:val="nil"/>
          <w:insideV w:val="nil"/>
          <w:tl2br w:val="nil"/>
          <w:tr2bl w:val="nil"/>
        </w:tcBorders>
      </w:tcPr>
    </w:tblStylePr>
    <w:tblStylePr w:type="lastCol">
      <w:rPr>
        <w:rFonts w:cs="等线"/>
        <w:b w:val="0"/>
        <w:bCs w:val="0"/>
      </w:rPr>
      <w:tblPr/>
      <w:tcPr>
        <w:tcBorders>
          <w:top w:val="nil"/>
          <w:left w:val="nil"/>
          <w:bottom w:val="nil"/>
          <w:right w:val="nil"/>
          <w:insideH w:val="nil"/>
          <w:insideV w:val="nil"/>
          <w:tl2br w:val="nil"/>
          <w:tr2bl w:val="nil"/>
        </w:tcBorders>
      </w:tcPr>
    </w:tblStylePr>
    <w:tblStylePr w:type="nwCell">
      <w:rPr>
        <w:rFonts w:cs="等线"/>
      </w:rPr>
      <w:tblPr/>
      <w:tcPr>
        <w:tcBorders>
          <w:top w:val="nil"/>
          <w:left w:val="nil"/>
          <w:bottom w:val="nil"/>
          <w:right w:val="nil"/>
          <w:insideH w:val="nil"/>
          <w:insideV w:val="nil"/>
          <w:tl2br w:val="single" w:color="000000" w:sz="6" w:space="0"/>
          <w:tr2bl w:val="nil"/>
        </w:tcBorders>
      </w:tcPr>
    </w:tblStylePr>
  </w:style>
  <w:style w:type="table" w:styleId="118">
    <w:name w:val="Table Grid 8"/>
    <w:basedOn w:val="78"/>
    <w:semiHidden/>
    <w:qFormat/>
    <w:uiPriority w:val="99"/>
    <w:pPr>
      <w:widowControl w:val="0"/>
      <w:spacing w:after="200" w:line="276" w:lineRule="auto"/>
    </w:pPr>
    <w:rPr>
      <w:rFonts w:ascii="Calibri" w:hAnsi="Calibri" w:cs="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blStylePr w:type="firstRow">
      <w:rPr>
        <w:rFonts w:cs="等线"/>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等线"/>
        <w:b/>
        <w:bCs/>
        <w:color w:val="auto"/>
      </w:rPr>
      <w:tblPr/>
      <w:tcPr>
        <w:tcBorders>
          <w:top w:val="nil"/>
          <w:left w:val="nil"/>
          <w:bottom w:val="nil"/>
          <w:right w:val="nil"/>
          <w:insideH w:val="nil"/>
          <w:insideV w:val="nil"/>
          <w:tl2br w:val="nil"/>
          <w:tr2bl w:val="nil"/>
        </w:tcBorders>
      </w:tcPr>
    </w:tblStylePr>
    <w:tblStylePr w:type="lastCol">
      <w:rPr>
        <w:rFonts w:cs="等线"/>
        <w:b/>
        <w:bCs/>
        <w:color w:val="auto"/>
      </w:rPr>
      <w:tblPr/>
      <w:tcPr>
        <w:tcBorders>
          <w:top w:val="nil"/>
          <w:left w:val="nil"/>
          <w:bottom w:val="nil"/>
          <w:right w:val="nil"/>
          <w:insideH w:val="nil"/>
          <w:insideV w:val="nil"/>
          <w:tl2br w:val="nil"/>
          <w:tr2bl w:val="nil"/>
        </w:tcBorders>
      </w:tcPr>
    </w:tblStylePr>
  </w:style>
  <w:style w:type="table" w:styleId="119">
    <w:name w:val="Table Web 1"/>
    <w:basedOn w:val="78"/>
    <w:semiHidden/>
    <w:qFormat/>
    <w:uiPriority w:val="99"/>
    <w:pPr>
      <w:widowControl w:val="0"/>
      <w:spacing w:after="200" w:line="276" w:lineRule="auto"/>
    </w:pPr>
    <w:rPr>
      <w:rFonts w:ascii="Calibri" w:hAnsi="Calibri" w:cs="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等线"/>
        <w:color w:val="auto"/>
      </w:rPr>
      <w:tblPr/>
      <w:tcPr>
        <w:tcBorders>
          <w:top w:val="nil"/>
          <w:left w:val="nil"/>
          <w:bottom w:val="nil"/>
          <w:right w:val="nil"/>
          <w:insideH w:val="nil"/>
          <w:insideV w:val="nil"/>
          <w:tl2br w:val="nil"/>
          <w:tr2bl w:val="nil"/>
        </w:tcBorders>
      </w:tcPr>
    </w:tblStylePr>
  </w:style>
  <w:style w:type="table" w:styleId="120">
    <w:name w:val="Table Web 2"/>
    <w:basedOn w:val="78"/>
    <w:semiHidden/>
    <w:qFormat/>
    <w:uiPriority w:val="99"/>
    <w:pPr>
      <w:widowControl w:val="0"/>
      <w:spacing w:after="200" w:line="276" w:lineRule="auto"/>
    </w:pPr>
    <w:rPr>
      <w:rFonts w:ascii="Calibri" w:hAnsi="Calibri" w:cs="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blStylePr w:type="firstRow">
      <w:rPr>
        <w:rFonts w:cs="等线"/>
        <w:color w:val="auto"/>
      </w:rPr>
      <w:tblPr/>
      <w:tcPr>
        <w:tcBorders>
          <w:top w:val="nil"/>
          <w:left w:val="nil"/>
          <w:bottom w:val="nil"/>
          <w:right w:val="nil"/>
          <w:insideH w:val="nil"/>
          <w:insideV w:val="nil"/>
          <w:tl2br w:val="nil"/>
          <w:tr2bl w:val="nil"/>
        </w:tcBorders>
      </w:tcPr>
    </w:tblStylePr>
  </w:style>
  <w:style w:type="table" w:styleId="121">
    <w:name w:val="Table Web 3"/>
    <w:basedOn w:val="78"/>
    <w:semiHidden/>
    <w:qFormat/>
    <w:uiPriority w:val="99"/>
    <w:pPr>
      <w:widowControl w:val="0"/>
      <w:spacing w:after="200" w:line="276" w:lineRule="auto"/>
    </w:pPr>
    <w:rPr>
      <w:rFonts w:ascii="Calibri" w:hAnsi="Calibri" w:cs="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等线"/>
        <w:color w:val="auto"/>
      </w:rPr>
      <w:tblPr/>
      <w:tcPr>
        <w:tcBorders>
          <w:top w:val="nil"/>
          <w:left w:val="nil"/>
          <w:bottom w:val="nil"/>
          <w:right w:val="nil"/>
          <w:insideH w:val="nil"/>
          <w:insideV w:val="nil"/>
          <w:tl2br w:val="nil"/>
          <w:tr2bl w:val="nil"/>
        </w:tcBorders>
      </w:tcPr>
    </w:tblStylePr>
  </w:style>
  <w:style w:type="table" w:styleId="122">
    <w:name w:val="Table Professional"/>
    <w:basedOn w:val="78"/>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等线"/>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4">
    <w:name w:val="Strong"/>
    <w:qFormat/>
    <w:uiPriority w:val="0"/>
    <w:rPr>
      <w:rFonts w:cs="Times New Roman"/>
      <w:b/>
      <w:bCs/>
    </w:rPr>
  </w:style>
  <w:style w:type="character" w:styleId="125">
    <w:name w:val="page number"/>
    <w:qFormat/>
    <w:uiPriority w:val="0"/>
    <w:rPr>
      <w:rFonts w:cs="Times New Roman"/>
    </w:rPr>
  </w:style>
  <w:style w:type="character" w:styleId="126">
    <w:name w:val="FollowedHyperlink"/>
    <w:qFormat/>
    <w:uiPriority w:val="0"/>
    <w:rPr>
      <w:rFonts w:cs="Times New Roman"/>
      <w:color w:val="1F4F88"/>
      <w:u w:val="none"/>
    </w:rPr>
  </w:style>
  <w:style w:type="character" w:styleId="127">
    <w:name w:val="Emphasis"/>
    <w:qFormat/>
    <w:uiPriority w:val="99"/>
    <w:rPr>
      <w:rFonts w:cs="Times New Roman"/>
      <w:color w:val="auto"/>
    </w:rPr>
  </w:style>
  <w:style w:type="character" w:styleId="128">
    <w:name w:val="line number"/>
    <w:qFormat/>
    <w:uiPriority w:val="99"/>
    <w:rPr>
      <w:rFonts w:cs="Times New Roman"/>
    </w:rPr>
  </w:style>
  <w:style w:type="character" w:styleId="129">
    <w:name w:val="HTML Definition"/>
    <w:semiHidden/>
    <w:qFormat/>
    <w:uiPriority w:val="99"/>
    <w:rPr>
      <w:rFonts w:cs="Times New Roman"/>
      <w:i/>
      <w:iCs/>
    </w:rPr>
  </w:style>
  <w:style w:type="character" w:styleId="130">
    <w:name w:val="HTML Typewriter"/>
    <w:semiHidden/>
    <w:qFormat/>
    <w:uiPriority w:val="99"/>
    <w:rPr>
      <w:rFonts w:ascii="Courier New" w:hAnsi="Courier New" w:cs="Courier New"/>
      <w:sz w:val="20"/>
      <w:szCs w:val="20"/>
    </w:rPr>
  </w:style>
  <w:style w:type="character" w:styleId="131">
    <w:name w:val="HTML Acronym"/>
    <w:semiHidden/>
    <w:qFormat/>
    <w:uiPriority w:val="99"/>
    <w:rPr>
      <w:rFonts w:cs="Times New Roman"/>
    </w:rPr>
  </w:style>
  <w:style w:type="character" w:styleId="132">
    <w:name w:val="HTML Variable"/>
    <w:semiHidden/>
    <w:qFormat/>
    <w:uiPriority w:val="99"/>
    <w:rPr>
      <w:rFonts w:cs="Times New Roman"/>
      <w:i/>
      <w:iCs/>
    </w:rPr>
  </w:style>
  <w:style w:type="character" w:styleId="133">
    <w:name w:val="Hyperlink"/>
    <w:qFormat/>
    <w:uiPriority w:val="99"/>
    <w:rPr>
      <w:rFonts w:cs="Times New Roman"/>
      <w:color w:val="1F4F88"/>
      <w:u w:val="none"/>
    </w:rPr>
  </w:style>
  <w:style w:type="character" w:styleId="134">
    <w:name w:val="HTML Code"/>
    <w:semiHidden/>
    <w:qFormat/>
    <w:uiPriority w:val="99"/>
    <w:rPr>
      <w:rFonts w:ascii="Courier New" w:hAnsi="Courier New" w:cs="Courier New"/>
      <w:sz w:val="20"/>
      <w:szCs w:val="20"/>
    </w:rPr>
  </w:style>
  <w:style w:type="character" w:styleId="135">
    <w:name w:val="annotation reference"/>
    <w:qFormat/>
    <w:uiPriority w:val="99"/>
    <w:rPr>
      <w:rFonts w:cs="Times New Roman"/>
      <w:sz w:val="21"/>
      <w:szCs w:val="21"/>
    </w:rPr>
  </w:style>
  <w:style w:type="character" w:styleId="136">
    <w:name w:val="HTML Cite"/>
    <w:semiHidden/>
    <w:qFormat/>
    <w:uiPriority w:val="99"/>
    <w:rPr>
      <w:rFonts w:cs="Times New Roman"/>
      <w:i/>
      <w:iCs/>
    </w:rPr>
  </w:style>
  <w:style w:type="character" w:styleId="137">
    <w:name w:val="footnote reference"/>
    <w:semiHidden/>
    <w:qFormat/>
    <w:locked/>
    <w:uiPriority w:val="0"/>
    <w:rPr>
      <w:vertAlign w:val="superscript"/>
    </w:rPr>
  </w:style>
  <w:style w:type="character" w:styleId="138">
    <w:name w:val="HTML Keyboard"/>
    <w:semiHidden/>
    <w:qFormat/>
    <w:uiPriority w:val="99"/>
    <w:rPr>
      <w:rFonts w:ascii="Courier New" w:hAnsi="Courier New" w:cs="Courier New"/>
      <w:sz w:val="20"/>
      <w:szCs w:val="20"/>
    </w:rPr>
  </w:style>
  <w:style w:type="character" w:styleId="139">
    <w:name w:val="HTML Sample"/>
    <w:semiHidden/>
    <w:qFormat/>
    <w:uiPriority w:val="99"/>
    <w:rPr>
      <w:rFonts w:ascii="Courier New" w:hAnsi="Courier New" w:cs="Courier New"/>
    </w:rPr>
  </w:style>
  <w:style w:type="character" w:customStyle="1" w:styleId="140">
    <w:name w:val="Default Char"/>
    <w:link w:val="2"/>
    <w:qFormat/>
    <w:uiPriority w:val="0"/>
    <w:rPr>
      <w:rFonts w:ascii="宋体"/>
      <w:color w:val="000000"/>
      <w:sz w:val="24"/>
      <w:szCs w:val="24"/>
      <w:lang w:val="en-US" w:eastAsia="zh-CN" w:bidi="ar-SA"/>
    </w:rPr>
  </w:style>
  <w:style w:type="character" w:customStyle="1" w:styleId="141">
    <w:name w:val="标题 1 字符"/>
    <w:link w:val="3"/>
    <w:qFormat/>
    <w:locked/>
    <w:uiPriority w:val="99"/>
    <w:rPr>
      <w:b/>
      <w:iCs/>
      <w:kern w:val="2"/>
      <w:sz w:val="36"/>
    </w:rPr>
  </w:style>
  <w:style w:type="character" w:customStyle="1" w:styleId="142">
    <w:name w:val="标题 3 字符"/>
    <w:link w:val="6"/>
    <w:qFormat/>
    <w:locked/>
    <w:uiPriority w:val="99"/>
    <w:rPr>
      <w:bCs/>
      <w:sz w:val="24"/>
      <w:szCs w:val="32"/>
    </w:rPr>
  </w:style>
  <w:style w:type="character" w:customStyle="1" w:styleId="143">
    <w:name w:val="标题2 字符"/>
    <w:link w:val="5"/>
    <w:qFormat/>
    <w:uiPriority w:val="0"/>
    <w:rPr>
      <w:bCs/>
      <w:sz w:val="24"/>
      <w:szCs w:val="32"/>
    </w:rPr>
  </w:style>
  <w:style w:type="character" w:customStyle="1" w:styleId="144">
    <w:name w:val="正文文本 字符"/>
    <w:link w:val="7"/>
    <w:semiHidden/>
    <w:qFormat/>
    <w:locked/>
    <w:uiPriority w:val="99"/>
    <w:rPr>
      <w:rFonts w:cs="Times New Roman"/>
      <w:sz w:val="21"/>
      <w:szCs w:val="21"/>
    </w:rPr>
  </w:style>
  <w:style w:type="character" w:customStyle="1" w:styleId="145">
    <w:name w:val="标题 2 字符"/>
    <w:link w:val="4"/>
    <w:qFormat/>
    <w:locked/>
    <w:uiPriority w:val="0"/>
    <w:rPr>
      <w:b/>
      <w:sz w:val="24"/>
      <w:szCs w:val="32"/>
    </w:rPr>
  </w:style>
  <w:style w:type="character" w:customStyle="1" w:styleId="146">
    <w:name w:val="标题 4 字符"/>
    <w:link w:val="8"/>
    <w:qFormat/>
    <w:locked/>
    <w:uiPriority w:val="99"/>
    <w:rPr>
      <w:rFonts w:ascii="Arial" w:hAnsi="Arial" w:eastAsia="黑体"/>
      <w:b/>
      <w:bCs/>
      <w:sz w:val="28"/>
      <w:szCs w:val="28"/>
    </w:rPr>
  </w:style>
  <w:style w:type="character" w:customStyle="1" w:styleId="147">
    <w:name w:val="标题 5 字符"/>
    <w:link w:val="9"/>
    <w:qFormat/>
    <w:locked/>
    <w:uiPriority w:val="99"/>
    <w:rPr>
      <w:b/>
      <w:bCs/>
      <w:sz w:val="28"/>
      <w:szCs w:val="28"/>
    </w:rPr>
  </w:style>
  <w:style w:type="character" w:customStyle="1" w:styleId="148">
    <w:name w:val="标题 6 字符"/>
    <w:link w:val="10"/>
    <w:qFormat/>
    <w:locked/>
    <w:uiPriority w:val="99"/>
    <w:rPr>
      <w:rFonts w:ascii="Arial" w:hAnsi="Arial" w:eastAsia="黑体"/>
      <w:b/>
      <w:bCs/>
    </w:rPr>
  </w:style>
  <w:style w:type="character" w:customStyle="1" w:styleId="149">
    <w:name w:val="标题 7 字符"/>
    <w:link w:val="11"/>
    <w:qFormat/>
    <w:locked/>
    <w:uiPriority w:val="99"/>
    <w:rPr>
      <w:b/>
      <w:bCs/>
      <w:sz w:val="24"/>
      <w:szCs w:val="24"/>
    </w:rPr>
  </w:style>
  <w:style w:type="character" w:customStyle="1" w:styleId="150">
    <w:name w:val="标题 8 字符"/>
    <w:link w:val="12"/>
    <w:qFormat/>
    <w:locked/>
    <w:uiPriority w:val="99"/>
    <w:rPr>
      <w:rFonts w:ascii="Cambria" w:hAnsi="Cambria"/>
      <w:sz w:val="24"/>
      <w:szCs w:val="24"/>
    </w:rPr>
  </w:style>
  <w:style w:type="character" w:customStyle="1" w:styleId="151">
    <w:name w:val="标题 9 字符"/>
    <w:link w:val="13"/>
    <w:qFormat/>
    <w:locked/>
    <w:uiPriority w:val="99"/>
    <w:rPr>
      <w:rFonts w:ascii="Cambria" w:hAnsi="Cambria"/>
      <w:sz w:val="21"/>
      <w:szCs w:val="21"/>
    </w:rPr>
  </w:style>
  <w:style w:type="character" w:customStyle="1" w:styleId="152">
    <w:name w:val="注释标题 字符"/>
    <w:link w:val="18"/>
    <w:semiHidden/>
    <w:qFormat/>
    <w:locked/>
    <w:uiPriority w:val="99"/>
    <w:rPr>
      <w:rFonts w:cs="Times New Roman"/>
      <w:sz w:val="21"/>
      <w:szCs w:val="21"/>
    </w:rPr>
  </w:style>
  <w:style w:type="character" w:customStyle="1" w:styleId="153">
    <w:name w:val="电子邮件签名 字符"/>
    <w:link w:val="20"/>
    <w:semiHidden/>
    <w:locked/>
    <w:uiPriority w:val="99"/>
    <w:rPr>
      <w:rFonts w:cs="Times New Roman"/>
      <w:sz w:val="21"/>
      <w:szCs w:val="21"/>
    </w:rPr>
  </w:style>
  <w:style w:type="character" w:customStyle="1" w:styleId="154">
    <w:name w:val="正文缩进 字符"/>
    <w:link w:val="22"/>
    <w:qFormat/>
    <w:locked/>
    <w:uiPriority w:val="99"/>
    <w:rPr>
      <w:rFonts w:eastAsia="宋体" w:cs="Times New Roman"/>
      <w:sz w:val="21"/>
      <w:szCs w:val="21"/>
    </w:rPr>
  </w:style>
  <w:style w:type="character" w:customStyle="1" w:styleId="155">
    <w:name w:val="文档结构图 字符"/>
    <w:link w:val="26"/>
    <w:qFormat/>
    <w:locked/>
    <w:uiPriority w:val="0"/>
    <w:rPr>
      <w:rFonts w:cs="Times New Roman"/>
      <w:sz w:val="2"/>
      <w:szCs w:val="2"/>
    </w:rPr>
  </w:style>
  <w:style w:type="character" w:customStyle="1" w:styleId="156">
    <w:name w:val="批注文字 字符"/>
    <w:link w:val="28"/>
    <w:qFormat/>
    <w:locked/>
    <w:uiPriority w:val="99"/>
    <w:rPr>
      <w:rFonts w:cs="Times New Roman"/>
      <w:sz w:val="21"/>
      <w:szCs w:val="21"/>
    </w:rPr>
  </w:style>
  <w:style w:type="character" w:customStyle="1" w:styleId="157">
    <w:name w:val="称呼 字符"/>
    <w:link w:val="29"/>
    <w:semiHidden/>
    <w:qFormat/>
    <w:locked/>
    <w:uiPriority w:val="99"/>
    <w:rPr>
      <w:rFonts w:cs="Times New Roman"/>
      <w:sz w:val="21"/>
      <w:szCs w:val="21"/>
    </w:rPr>
  </w:style>
  <w:style w:type="character" w:customStyle="1" w:styleId="158">
    <w:name w:val="正文文本 3 字符"/>
    <w:link w:val="30"/>
    <w:semiHidden/>
    <w:qFormat/>
    <w:locked/>
    <w:uiPriority w:val="99"/>
    <w:rPr>
      <w:rFonts w:cs="Times New Roman"/>
      <w:sz w:val="16"/>
      <w:szCs w:val="16"/>
    </w:rPr>
  </w:style>
  <w:style w:type="character" w:customStyle="1" w:styleId="159">
    <w:name w:val="结束语 字符"/>
    <w:link w:val="31"/>
    <w:semiHidden/>
    <w:qFormat/>
    <w:locked/>
    <w:uiPriority w:val="99"/>
    <w:rPr>
      <w:rFonts w:cs="Times New Roman"/>
      <w:sz w:val="21"/>
      <w:szCs w:val="21"/>
    </w:rPr>
  </w:style>
  <w:style w:type="character" w:customStyle="1" w:styleId="160">
    <w:name w:val="正文文本缩进 字符"/>
    <w:link w:val="33"/>
    <w:qFormat/>
    <w:locked/>
    <w:uiPriority w:val="0"/>
    <w:rPr>
      <w:rFonts w:cs="Times New Roman"/>
      <w:sz w:val="21"/>
      <w:szCs w:val="21"/>
    </w:rPr>
  </w:style>
  <w:style w:type="character" w:customStyle="1" w:styleId="161">
    <w:name w:val="HTML 地址 字符"/>
    <w:link w:val="39"/>
    <w:semiHidden/>
    <w:qFormat/>
    <w:locked/>
    <w:uiPriority w:val="99"/>
    <w:rPr>
      <w:rFonts w:cs="Times New Roman"/>
      <w:i/>
      <w:iCs/>
      <w:sz w:val="21"/>
      <w:szCs w:val="21"/>
    </w:rPr>
  </w:style>
  <w:style w:type="character" w:customStyle="1" w:styleId="162">
    <w:name w:val="纯文本 字符1"/>
    <w:link w:val="42"/>
    <w:qFormat/>
    <w:locked/>
    <w:uiPriority w:val="0"/>
    <w:rPr>
      <w:rFonts w:ascii="宋体" w:hAnsi="Courier New" w:cs="宋体"/>
      <w:sz w:val="21"/>
      <w:szCs w:val="21"/>
    </w:rPr>
  </w:style>
  <w:style w:type="character" w:customStyle="1" w:styleId="163">
    <w:name w:val="日期 字符"/>
    <w:link w:val="46"/>
    <w:qFormat/>
    <w:locked/>
    <w:uiPriority w:val="0"/>
    <w:rPr>
      <w:rFonts w:cs="Times New Roman"/>
      <w:sz w:val="21"/>
      <w:szCs w:val="21"/>
    </w:rPr>
  </w:style>
  <w:style w:type="character" w:customStyle="1" w:styleId="164">
    <w:name w:val="正文文本缩进 2 字符"/>
    <w:link w:val="47"/>
    <w:qFormat/>
    <w:locked/>
    <w:uiPriority w:val="0"/>
    <w:rPr>
      <w:rFonts w:cs="Times New Roman"/>
      <w:sz w:val="21"/>
      <w:szCs w:val="21"/>
    </w:rPr>
  </w:style>
  <w:style w:type="character" w:customStyle="1" w:styleId="165">
    <w:name w:val="批注框文本 字符"/>
    <w:link w:val="49"/>
    <w:qFormat/>
    <w:uiPriority w:val="99"/>
    <w:rPr>
      <w:kern w:val="2"/>
      <w:sz w:val="18"/>
      <w:szCs w:val="18"/>
    </w:rPr>
  </w:style>
  <w:style w:type="character" w:customStyle="1" w:styleId="166">
    <w:name w:val="页脚 字符"/>
    <w:link w:val="50"/>
    <w:qFormat/>
    <w:locked/>
    <w:uiPriority w:val="99"/>
    <w:rPr>
      <w:rFonts w:cs="Times New Roman"/>
      <w:sz w:val="18"/>
      <w:szCs w:val="18"/>
    </w:rPr>
  </w:style>
  <w:style w:type="character" w:customStyle="1" w:styleId="167">
    <w:name w:val="页眉 字符"/>
    <w:link w:val="52"/>
    <w:qFormat/>
    <w:locked/>
    <w:uiPriority w:val="99"/>
    <w:rPr>
      <w:rFonts w:cs="Times New Roman"/>
      <w:sz w:val="18"/>
      <w:szCs w:val="18"/>
    </w:rPr>
  </w:style>
  <w:style w:type="character" w:customStyle="1" w:styleId="168">
    <w:name w:val="签名 字符"/>
    <w:link w:val="53"/>
    <w:semiHidden/>
    <w:qFormat/>
    <w:locked/>
    <w:uiPriority w:val="99"/>
    <w:rPr>
      <w:rFonts w:cs="Times New Roman"/>
      <w:sz w:val="21"/>
      <w:szCs w:val="21"/>
    </w:rPr>
  </w:style>
  <w:style w:type="character" w:customStyle="1" w:styleId="169">
    <w:name w:val="副标题 字符"/>
    <w:link w:val="57"/>
    <w:locked/>
    <w:uiPriority w:val="99"/>
    <w:rPr>
      <w:rFonts w:ascii="Cambria" w:hAnsi="Cambria" w:cs="Cambria"/>
      <w:b/>
      <w:bCs/>
      <w:kern w:val="28"/>
      <w:sz w:val="32"/>
      <w:szCs w:val="32"/>
    </w:rPr>
  </w:style>
  <w:style w:type="character" w:customStyle="1" w:styleId="170">
    <w:name w:val="正文文本缩进 3 字符"/>
    <w:link w:val="63"/>
    <w:qFormat/>
    <w:locked/>
    <w:uiPriority w:val="0"/>
    <w:rPr>
      <w:rFonts w:cs="Times New Roman"/>
      <w:sz w:val="16"/>
      <w:szCs w:val="16"/>
    </w:rPr>
  </w:style>
  <w:style w:type="character" w:customStyle="1" w:styleId="171">
    <w:name w:val="正文文本 2 字符"/>
    <w:link w:val="66"/>
    <w:semiHidden/>
    <w:qFormat/>
    <w:locked/>
    <w:uiPriority w:val="99"/>
    <w:rPr>
      <w:rFonts w:cs="Times New Roman"/>
      <w:sz w:val="21"/>
      <w:szCs w:val="21"/>
    </w:rPr>
  </w:style>
  <w:style w:type="character" w:customStyle="1" w:styleId="172">
    <w:name w:val="信息标题 字符"/>
    <w:link w:val="69"/>
    <w:semiHidden/>
    <w:qFormat/>
    <w:locked/>
    <w:uiPriority w:val="99"/>
    <w:rPr>
      <w:rFonts w:ascii="Cambria" w:hAnsi="Cambria" w:eastAsia="宋体" w:cs="Cambria"/>
      <w:sz w:val="24"/>
      <w:szCs w:val="24"/>
      <w:shd w:val="pct20" w:color="auto" w:fill="auto"/>
    </w:rPr>
  </w:style>
  <w:style w:type="character" w:customStyle="1" w:styleId="173">
    <w:name w:val="HTML 预设格式 字符"/>
    <w:link w:val="70"/>
    <w:semiHidden/>
    <w:qFormat/>
    <w:locked/>
    <w:uiPriority w:val="99"/>
    <w:rPr>
      <w:rFonts w:ascii="Courier New" w:hAnsi="Courier New" w:cs="Courier New"/>
      <w:sz w:val="20"/>
      <w:szCs w:val="20"/>
    </w:rPr>
  </w:style>
  <w:style w:type="character" w:customStyle="1" w:styleId="174">
    <w:name w:val="标题 字符"/>
    <w:link w:val="74"/>
    <w:qFormat/>
    <w:locked/>
    <w:uiPriority w:val="0"/>
    <w:rPr>
      <w:b/>
      <w:bCs/>
      <w:sz w:val="32"/>
      <w:szCs w:val="32"/>
    </w:rPr>
  </w:style>
  <w:style w:type="character" w:customStyle="1" w:styleId="175">
    <w:name w:val="批注主题 字符"/>
    <w:link w:val="75"/>
    <w:semiHidden/>
    <w:qFormat/>
    <w:locked/>
    <w:uiPriority w:val="99"/>
    <w:rPr>
      <w:rFonts w:ascii="Calibri" w:hAnsi="Calibri" w:eastAsia="宋体" w:cs="Calibri"/>
      <w:b/>
      <w:bCs/>
      <w:sz w:val="21"/>
      <w:szCs w:val="21"/>
      <w:lang w:val="en-US" w:eastAsia="en-US"/>
    </w:rPr>
  </w:style>
  <w:style w:type="character" w:customStyle="1" w:styleId="176">
    <w:name w:val="正文文本首行缩进 字符"/>
    <w:link w:val="76"/>
    <w:semiHidden/>
    <w:locked/>
    <w:uiPriority w:val="99"/>
    <w:rPr>
      <w:rFonts w:eastAsia="宋体" w:cs="Times New Roman"/>
      <w:sz w:val="21"/>
      <w:szCs w:val="21"/>
    </w:rPr>
  </w:style>
  <w:style w:type="character" w:customStyle="1" w:styleId="177">
    <w:name w:val="正文文本首行缩进 2 字符"/>
    <w:link w:val="77"/>
    <w:semiHidden/>
    <w:qFormat/>
    <w:locked/>
    <w:uiPriority w:val="99"/>
    <w:rPr>
      <w:rFonts w:cs="Times New Roman"/>
      <w:sz w:val="21"/>
      <w:szCs w:val="21"/>
    </w:rPr>
  </w:style>
  <w:style w:type="character" w:customStyle="1" w:styleId="178">
    <w:name w:val="Footer Char"/>
    <w:semiHidden/>
    <w:qFormat/>
    <w:locked/>
    <w:uiPriority w:val="99"/>
    <w:rPr>
      <w:rFonts w:eastAsia="宋体"/>
      <w:sz w:val="18"/>
    </w:rPr>
  </w:style>
  <w:style w:type="character" w:customStyle="1" w:styleId="179">
    <w:name w:val="正文（缩进） Char"/>
    <w:link w:val="180"/>
    <w:qFormat/>
    <w:locked/>
    <w:uiPriority w:val="99"/>
    <w:rPr>
      <w:rFonts w:eastAsia="宋体"/>
      <w:sz w:val="24"/>
    </w:rPr>
  </w:style>
  <w:style w:type="paragraph" w:customStyle="1" w:styleId="180">
    <w:name w:val="正文（缩进）"/>
    <w:basedOn w:val="1"/>
    <w:link w:val="179"/>
    <w:semiHidden/>
    <w:qFormat/>
    <w:uiPriority w:val="99"/>
    <w:pPr>
      <w:spacing w:beforeLines="50" w:afterLines="50" w:line="360" w:lineRule="auto"/>
      <w:ind w:firstLine="480" w:firstLineChars="200"/>
    </w:pPr>
    <w:rPr>
      <w:kern w:val="0"/>
      <w:sz w:val="24"/>
      <w:szCs w:val="20"/>
    </w:rPr>
  </w:style>
  <w:style w:type="character" w:customStyle="1" w:styleId="181">
    <w:name w:val="Comment Text Char"/>
    <w:qFormat/>
    <w:locked/>
    <w:uiPriority w:val="99"/>
    <w:rPr>
      <w:rFonts w:ascii="Calibri" w:hAnsi="Calibri" w:eastAsia="宋体"/>
      <w:sz w:val="22"/>
      <w:lang w:val="en-US" w:eastAsia="en-US"/>
    </w:rPr>
  </w:style>
  <w:style w:type="character" w:customStyle="1" w:styleId="182">
    <w:name w:val="style61"/>
    <w:qFormat/>
    <w:uiPriority w:val="0"/>
    <w:rPr>
      <w:color w:val="CCCCCC"/>
    </w:rPr>
  </w:style>
  <w:style w:type="character" w:customStyle="1" w:styleId="183">
    <w:name w:val="List Paragraph Char"/>
    <w:link w:val="184"/>
    <w:qFormat/>
    <w:locked/>
    <w:uiPriority w:val="0"/>
    <w:rPr>
      <w:color w:val="262626"/>
    </w:rPr>
  </w:style>
  <w:style w:type="paragraph" w:customStyle="1" w:styleId="184">
    <w:name w:val="列出段落2"/>
    <w:basedOn w:val="1"/>
    <w:link w:val="183"/>
    <w:qFormat/>
    <w:uiPriority w:val="0"/>
    <w:pPr>
      <w:ind w:firstLine="420" w:firstLineChars="200"/>
    </w:pPr>
    <w:rPr>
      <w:color w:val="262626"/>
      <w:kern w:val="0"/>
      <w:sz w:val="20"/>
      <w:szCs w:val="20"/>
    </w:rPr>
  </w:style>
  <w:style w:type="character" w:customStyle="1" w:styleId="185">
    <w:name w:val="HR正文 Char"/>
    <w:link w:val="186"/>
    <w:qFormat/>
    <w:uiPriority w:val="0"/>
    <w:rPr>
      <w:rFonts w:ascii="Calibri" w:hAnsi="Calibri"/>
      <w:kern w:val="2"/>
      <w:sz w:val="24"/>
      <w:szCs w:val="24"/>
    </w:rPr>
  </w:style>
  <w:style w:type="paragraph" w:customStyle="1" w:styleId="186">
    <w:name w:val="HR正文"/>
    <w:basedOn w:val="1"/>
    <w:link w:val="185"/>
    <w:qFormat/>
    <w:uiPriority w:val="0"/>
    <w:pPr>
      <w:spacing w:line="300" w:lineRule="auto"/>
      <w:ind w:firstLine="200" w:firstLineChars="200"/>
    </w:pPr>
    <w:rPr>
      <w:rFonts w:ascii="Calibri" w:hAnsi="Calibri"/>
      <w:sz w:val="24"/>
      <w:szCs w:val="24"/>
    </w:rPr>
  </w:style>
  <w:style w:type="character" w:customStyle="1" w:styleId="187">
    <w:name w:val="HTML Markup"/>
    <w:qFormat/>
    <w:uiPriority w:val="0"/>
    <w:rPr>
      <w:vanish/>
      <w:color w:val="FF0000"/>
    </w:rPr>
  </w:style>
  <w:style w:type="character" w:customStyle="1" w:styleId="188">
    <w:name w:val="ewm"/>
    <w:qFormat/>
    <w:uiPriority w:val="0"/>
  </w:style>
  <w:style w:type="character" w:customStyle="1" w:styleId="189">
    <w:name w:val="段 Char"/>
    <w:link w:val="190"/>
    <w:qFormat/>
    <w:locked/>
    <w:uiPriority w:val="99"/>
    <w:rPr>
      <w:rFonts w:ascii="宋体" w:cs="宋体"/>
      <w:sz w:val="21"/>
      <w:szCs w:val="21"/>
      <w:lang w:val="en-US" w:eastAsia="zh-CN" w:bidi="ar-SA"/>
    </w:rPr>
  </w:style>
  <w:style w:type="paragraph" w:customStyle="1" w:styleId="190">
    <w:name w:val="段"/>
    <w:link w:val="189"/>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191">
    <w:name w:val="r-search"/>
    <w:qFormat/>
    <w:uiPriority w:val="0"/>
  </w:style>
  <w:style w:type="character" w:customStyle="1" w:styleId="192">
    <w:name w:val="Header Char"/>
    <w:semiHidden/>
    <w:qFormat/>
    <w:locked/>
    <w:uiPriority w:val="99"/>
    <w:rPr>
      <w:rFonts w:eastAsia="宋体"/>
      <w:sz w:val="18"/>
    </w:rPr>
  </w:style>
  <w:style w:type="character" w:customStyle="1" w:styleId="193">
    <w:name w:val="hover39"/>
    <w:qFormat/>
    <w:uiPriority w:val="99"/>
    <w:rPr>
      <w:rFonts w:cs="Times New Roman"/>
      <w:color w:val="FFFFFF"/>
      <w:shd w:val="clear" w:color="auto" w:fill="auto"/>
    </w:rPr>
  </w:style>
  <w:style w:type="character" w:customStyle="1" w:styleId="194">
    <w:name w:val="param-name1"/>
    <w:qFormat/>
    <w:uiPriority w:val="99"/>
    <w:rPr>
      <w:rFonts w:cs="Times New Roman"/>
      <w:b/>
      <w:bCs/>
    </w:rPr>
  </w:style>
  <w:style w:type="character" w:customStyle="1" w:styleId="195">
    <w:name w:val="hover40"/>
    <w:qFormat/>
    <w:uiPriority w:val="99"/>
    <w:rPr>
      <w:rFonts w:cs="Times New Roman"/>
      <w:color w:val="auto"/>
      <w:u w:val="single"/>
    </w:rPr>
  </w:style>
  <w:style w:type="character" w:customStyle="1" w:styleId="196">
    <w:name w:val="Body Text Char"/>
    <w:qFormat/>
    <w:locked/>
    <w:uiPriority w:val="99"/>
    <w:rPr>
      <w:rFonts w:eastAsia="宋体"/>
      <w:sz w:val="21"/>
    </w:rPr>
  </w:style>
  <w:style w:type="character" w:customStyle="1" w:styleId="197">
    <w:name w:val="hover34"/>
    <w:qFormat/>
    <w:uiPriority w:val="0"/>
    <w:rPr>
      <w:color w:val="FFFFFF"/>
      <w:bdr w:val="single" w:color="5294E5" w:sz="4" w:space="0"/>
      <w:shd w:val="clear" w:color="auto" w:fill="5294E5"/>
    </w:rPr>
  </w:style>
  <w:style w:type="character" w:customStyle="1" w:styleId="198">
    <w:name w:val="标题 1 Char"/>
    <w:qFormat/>
    <w:uiPriority w:val="0"/>
    <w:rPr>
      <w:rFonts w:eastAsia="宋体" w:cs="Times New Roman"/>
      <w:b/>
      <w:bCs/>
      <w:kern w:val="44"/>
      <w:sz w:val="44"/>
      <w:szCs w:val="44"/>
      <w:lang w:val="en-US" w:eastAsia="zh-CN"/>
    </w:rPr>
  </w:style>
  <w:style w:type="character" w:customStyle="1" w:styleId="199">
    <w:name w:val="bds_more"/>
    <w:qFormat/>
    <w:uiPriority w:val="99"/>
    <w:rPr>
      <w:rFonts w:ascii="Arial" w:hAnsi="Arial" w:cs="Arial"/>
    </w:rPr>
  </w:style>
  <w:style w:type="character" w:customStyle="1" w:styleId="200">
    <w:name w:val="z-crt3"/>
    <w:qFormat/>
    <w:uiPriority w:val="0"/>
    <w:rPr>
      <w:color w:val="FFFFFF"/>
      <w:bdr w:val="single" w:color="5295E6" w:sz="4" w:space="0"/>
      <w:shd w:val="clear" w:color="auto" w:fill="5295E6"/>
    </w:rPr>
  </w:style>
  <w:style w:type="character" w:customStyle="1" w:styleId="201">
    <w:name w:val="hei14"/>
    <w:semiHidden/>
    <w:qFormat/>
    <w:uiPriority w:val="99"/>
    <w:rPr>
      <w:rFonts w:cs="Times New Roman"/>
    </w:rPr>
  </w:style>
  <w:style w:type="character" w:customStyle="1" w:styleId="202">
    <w:name w:val="hover38"/>
    <w:qFormat/>
    <w:uiPriority w:val="99"/>
    <w:rPr>
      <w:rFonts w:cs="Times New Roman"/>
      <w:color w:val="auto"/>
      <w:u w:val="single"/>
    </w:rPr>
  </w:style>
  <w:style w:type="character" w:customStyle="1" w:styleId="203">
    <w:name w:val="Document Map Char"/>
    <w:semiHidden/>
    <w:qFormat/>
    <w:locked/>
    <w:uiPriority w:val="99"/>
    <w:rPr>
      <w:rFonts w:eastAsia="宋体"/>
      <w:sz w:val="21"/>
    </w:rPr>
  </w:style>
  <w:style w:type="character" w:customStyle="1" w:styleId="204">
    <w:name w:val="r-search1"/>
    <w:qFormat/>
    <w:uiPriority w:val="0"/>
  </w:style>
  <w:style w:type="character" w:customStyle="1" w:styleId="205">
    <w:name w:val="Body Text First Indent Char"/>
    <w:qFormat/>
    <w:locked/>
    <w:uiPriority w:val="99"/>
    <w:rPr>
      <w:rFonts w:ascii="宋体" w:hAnsi="宋体" w:eastAsia="宋体"/>
      <w:spacing w:val="20"/>
      <w:sz w:val="24"/>
    </w:rPr>
  </w:style>
  <w:style w:type="character" w:customStyle="1" w:styleId="206">
    <w:name w:val="z-crt4"/>
    <w:qFormat/>
    <w:uiPriority w:val="0"/>
    <w:rPr>
      <w:color w:val="FFFFFF"/>
      <w:bdr w:val="single" w:color="5294E5" w:sz="4" w:space="0"/>
      <w:shd w:val="clear" w:color="auto" w:fill="5294E5"/>
    </w:rPr>
  </w:style>
  <w:style w:type="character" w:customStyle="1" w:styleId="207">
    <w:name w:val="Char Char3"/>
    <w:qFormat/>
    <w:uiPriority w:val="99"/>
    <w:rPr>
      <w:rFonts w:ascii="Calibri" w:hAnsi="Calibri" w:eastAsia="宋体" w:cs="Calibri"/>
      <w:sz w:val="22"/>
      <w:szCs w:val="22"/>
      <w:lang w:eastAsia="en-US"/>
    </w:rPr>
  </w:style>
  <w:style w:type="character" w:customStyle="1" w:styleId="208">
    <w:name w:val="hover43"/>
    <w:qFormat/>
    <w:uiPriority w:val="99"/>
    <w:rPr>
      <w:rFonts w:cs="Times New Roman"/>
      <w:color w:val="auto"/>
      <w:u w:val="single"/>
    </w:rPr>
  </w:style>
  <w:style w:type="character" w:customStyle="1" w:styleId="209">
    <w:name w:val="纯文本 Char1"/>
    <w:semiHidden/>
    <w:qFormat/>
    <w:locked/>
    <w:uiPriority w:val="99"/>
    <w:rPr>
      <w:rFonts w:ascii="宋体" w:hAnsi="Courier New"/>
      <w:kern w:val="2"/>
      <w:sz w:val="21"/>
    </w:rPr>
  </w:style>
  <w:style w:type="character" w:customStyle="1" w:styleId="210">
    <w:name w:val="页眉 Char1"/>
    <w:semiHidden/>
    <w:qFormat/>
    <w:locked/>
    <w:uiPriority w:val="0"/>
    <w:rPr>
      <w:rFonts w:ascii="Calibri" w:hAnsi="Calibri"/>
      <w:sz w:val="18"/>
      <w:szCs w:val="18"/>
    </w:rPr>
  </w:style>
  <w:style w:type="character" w:customStyle="1" w:styleId="211">
    <w:name w:val="纯文本 字符"/>
    <w:qFormat/>
    <w:uiPriority w:val="0"/>
    <w:rPr>
      <w:rFonts w:ascii="宋体" w:hAnsi="Courier New"/>
      <w:kern w:val="2"/>
      <w:sz w:val="21"/>
      <w:szCs w:val="21"/>
    </w:rPr>
  </w:style>
  <w:style w:type="character" w:customStyle="1" w:styleId="212">
    <w:name w:val="first-child"/>
    <w:qFormat/>
    <w:uiPriority w:val="0"/>
  </w:style>
  <w:style w:type="character" w:customStyle="1" w:styleId="213">
    <w:name w:val="hover44"/>
    <w:qFormat/>
    <w:uiPriority w:val="99"/>
    <w:rPr>
      <w:rFonts w:ascii="微软雅黑" w:hAnsi="微软雅黑" w:eastAsia="微软雅黑" w:cs="微软雅黑"/>
      <w:b/>
      <w:bCs/>
      <w:color w:val="auto"/>
      <w:sz w:val="22"/>
      <w:szCs w:val="22"/>
      <w:u w:val="single"/>
    </w:rPr>
  </w:style>
  <w:style w:type="character" w:customStyle="1" w:styleId="214">
    <w:name w:val="apple-converted-space"/>
    <w:qFormat/>
    <w:uiPriority w:val="99"/>
  </w:style>
  <w:style w:type="character" w:customStyle="1" w:styleId="215">
    <w:name w:val="正文文本缩进 2 Char1"/>
    <w:semiHidden/>
    <w:qFormat/>
    <w:locked/>
    <w:uiPriority w:val="99"/>
    <w:rPr>
      <w:sz w:val="21"/>
      <w:szCs w:val="21"/>
    </w:rPr>
  </w:style>
  <w:style w:type="character" w:customStyle="1" w:styleId="216">
    <w:name w:val="hover42"/>
    <w:qFormat/>
    <w:uiPriority w:val="99"/>
    <w:rPr>
      <w:rFonts w:cs="Times New Roman"/>
      <w:color w:val="FFFFFF"/>
      <w:shd w:val="clear" w:color="auto" w:fill="auto"/>
    </w:rPr>
  </w:style>
  <w:style w:type="character" w:customStyle="1" w:styleId="217">
    <w:name w:val="列出段落 Char"/>
    <w:link w:val="218"/>
    <w:qFormat/>
    <w:locked/>
    <w:uiPriority w:val="34"/>
    <w:rPr>
      <w:rFonts w:eastAsia="宋体" w:cs="Times New Roman"/>
      <w:color w:val="262626"/>
    </w:rPr>
  </w:style>
  <w:style w:type="paragraph" w:customStyle="1" w:styleId="218">
    <w:name w:val="List Paragraph1"/>
    <w:basedOn w:val="1"/>
    <w:link w:val="217"/>
    <w:qFormat/>
    <w:uiPriority w:val="34"/>
    <w:pPr>
      <w:spacing w:line="360" w:lineRule="auto"/>
      <w:ind w:firstLine="480" w:firstLineChars="200"/>
    </w:pPr>
    <w:rPr>
      <w:color w:val="262626"/>
      <w:kern w:val="0"/>
      <w:sz w:val="20"/>
      <w:szCs w:val="20"/>
    </w:rPr>
  </w:style>
  <w:style w:type="character" w:customStyle="1" w:styleId="219">
    <w:name w:val="列出段落 字符"/>
    <w:qFormat/>
    <w:locked/>
    <w:uiPriority w:val="34"/>
    <w:rPr>
      <w:kern w:val="2"/>
      <w:sz w:val="21"/>
      <w:szCs w:val="24"/>
    </w:rPr>
  </w:style>
  <w:style w:type="character" w:customStyle="1" w:styleId="220">
    <w:name w:val="HR标题3 Char"/>
    <w:link w:val="221"/>
    <w:qFormat/>
    <w:uiPriority w:val="0"/>
    <w:rPr>
      <w:rFonts w:ascii="Calibri" w:hAnsi="Calibri"/>
      <w:kern w:val="2"/>
      <w:sz w:val="24"/>
      <w:szCs w:val="24"/>
    </w:rPr>
  </w:style>
  <w:style w:type="paragraph" w:customStyle="1" w:styleId="221">
    <w:name w:val="HR标题3"/>
    <w:basedOn w:val="1"/>
    <w:next w:val="186"/>
    <w:link w:val="220"/>
    <w:qFormat/>
    <w:uiPriority w:val="0"/>
    <w:pPr>
      <w:numPr>
        <w:ilvl w:val="2"/>
        <w:numId w:val="2"/>
      </w:numPr>
      <w:tabs>
        <w:tab w:val="left" w:pos="624"/>
      </w:tabs>
      <w:spacing w:line="360" w:lineRule="auto"/>
      <w:outlineLvl w:val="2"/>
    </w:pPr>
    <w:rPr>
      <w:rFonts w:ascii="Calibri" w:hAnsi="Calibri"/>
      <w:sz w:val="24"/>
      <w:szCs w:val="24"/>
    </w:rPr>
  </w:style>
  <w:style w:type="character" w:customStyle="1" w:styleId="222">
    <w:name w:val="HR正文 Char1"/>
    <w:qFormat/>
    <w:uiPriority w:val="0"/>
    <w:rPr>
      <w:kern w:val="2"/>
      <w:sz w:val="24"/>
      <w:szCs w:val="24"/>
    </w:rPr>
  </w:style>
  <w:style w:type="paragraph" w:customStyle="1" w:styleId="223">
    <w:name w:val="样式5"/>
    <w:basedOn w:val="1"/>
    <w:next w:val="41"/>
    <w:qFormat/>
    <w:uiPriority w:val="99"/>
    <w:pPr>
      <w:tabs>
        <w:tab w:val="left" w:pos="980"/>
      </w:tabs>
      <w:spacing w:line="360" w:lineRule="auto"/>
      <w:ind w:left="140" w:right="-20"/>
      <w:outlineLvl w:val="0"/>
    </w:pPr>
    <w:rPr>
      <w:b/>
      <w:bCs/>
      <w:kern w:val="0"/>
      <w:sz w:val="28"/>
      <w:szCs w:val="28"/>
    </w:rPr>
  </w:style>
  <w:style w:type="paragraph" w:customStyle="1" w:styleId="224">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25">
    <w:name w:val="Char Char 字元 字元 字元 Char Char Char Char"/>
    <w:basedOn w:val="1"/>
    <w:uiPriority w:val="99"/>
    <w:pPr>
      <w:adjustRightInd w:val="0"/>
      <w:spacing w:line="360" w:lineRule="auto"/>
    </w:pPr>
    <w:rPr>
      <w:kern w:val="0"/>
      <w:sz w:val="24"/>
      <w:szCs w:val="24"/>
    </w:rPr>
  </w:style>
  <w:style w:type="paragraph" w:customStyle="1" w:styleId="226">
    <w:name w:val="标题 5（有编号）（绿盟科技）"/>
    <w:basedOn w:val="1"/>
    <w:next w:val="1"/>
    <w:semiHidden/>
    <w:qFormat/>
    <w:uiPriority w:val="99"/>
    <w:pPr>
      <w:keepNext/>
      <w:keepLines/>
      <w:tabs>
        <w:tab w:val="left" w:pos="840"/>
      </w:tabs>
      <w:spacing w:line="377" w:lineRule="auto"/>
      <w:ind w:left="1560" w:hanging="1134"/>
      <w:jc w:val="left"/>
      <w:outlineLvl w:val="4"/>
    </w:pPr>
    <w:rPr>
      <w:rFonts w:ascii="Arial" w:hAnsi="Arial" w:eastAsia="黑体" w:cs="Arial"/>
      <w:b/>
      <w:bCs/>
      <w:kern w:val="0"/>
      <w:sz w:val="24"/>
      <w:szCs w:val="24"/>
    </w:rPr>
  </w:style>
  <w:style w:type="paragraph" w:customStyle="1" w:styleId="227">
    <w:name w:val="xl2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2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29">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表格"/>
    <w:basedOn w:val="1"/>
    <w:next w:val="1"/>
    <w:qFormat/>
    <w:uiPriority w:val="0"/>
    <w:pPr>
      <w:spacing w:beforeLines="50" w:afterLines="50"/>
      <w:jc w:val="left"/>
    </w:pPr>
    <w:rPr>
      <w:rFonts w:ascii="宋体" w:hAnsi="宋体" w:cs="Times New Roman"/>
    </w:rPr>
  </w:style>
  <w:style w:type="paragraph" w:customStyle="1" w:styleId="231">
    <w:name w:val="111111"/>
    <w:basedOn w:val="74"/>
    <w:qFormat/>
    <w:uiPriority w:val="99"/>
    <w:pPr>
      <w:jc w:val="both"/>
    </w:pPr>
  </w:style>
  <w:style w:type="paragraph" w:customStyle="1" w:styleId="232">
    <w:name w:val="HR标题7"/>
    <w:basedOn w:val="1"/>
    <w:next w:val="186"/>
    <w:qFormat/>
    <w:uiPriority w:val="0"/>
    <w:pPr>
      <w:numPr>
        <w:ilvl w:val="6"/>
        <w:numId w:val="2"/>
      </w:numPr>
      <w:tabs>
        <w:tab w:val="left" w:pos="1332"/>
      </w:tabs>
      <w:spacing w:line="360" w:lineRule="auto"/>
      <w:outlineLvl w:val="6"/>
    </w:pPr>
    <w:rPr>
      <w:sz w:val="24"/>
      <w:szCs w:val="24"/>
    </w:rPr>
  </w:style>
  <w:style w:type="paragraph" w:customStyle="1" w:styleId="233">
    <w:name w:val="xl4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34">
    <w:name w:val="HR标题8"/>
    <w:basedOn w:val="1"/>
    <w:next w:val="186"/>
    <w:qFormat/>
    <w:uiPriority w:val="0"/>
    <w:pPr>
      <w:numPr>
        <w:ilvl w:val="7"/>
        <w:numId w:val="2"/>
      </w:numPr>
      <w:tabs>
        <w:tab w:val="left" w:pos="1531"/>
      </w:tabs>
      <w:spacing w:line="360" w:lineRule="auto"/>
      <w:outlineLvl w:val="7"/>
    </w:pPr>
    <w:rPr>
      <w:sz w:val="24"/>
      <w:szCs w:val="24"/>
    </w:rPr>
  </w:style>
  <w:style w:type="paragraph" w:customStyle="1" w:styleId="235">
    <w:name w:val="列出段落1"/>
    <w:basedOn w:val="1"/>
    <w:qFormat/>
    <w:uiPriority w:val="34"/>
    <w:pPr>
      <w:ind w:firstLine="420" w:firstLineChars="200"/>
    </w:pPr>
  </w:style>
  <w:style w:type="paragraph" w:customStyle="1" w:styleId="236">
    <w:name w:val="xl30"/>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37">
    <w:name w:val="HR标题2"/>
    <w:basedOn w:val="1"/>
    <w:next w:val="186"/>
    <w:qFormat/>
    <w:uiPriority w:val="0"/>
    <w:pPr>
      <w:numPr>
        <w:ilvl w:val="1"/>
        <w:numId w:val="2"/>
      </w:numPr>
      <w:tabs>
        <w:tab w:val="left" w:pos="454"/>
      </w:tabs>
      <w:spacing w:line="360" w:lineRule="auto"/>
      <w:outlineLvl w:val="1"/>
    </w:pPr>
    <w:rPr>
      <w:rFonts w:eastAsia="黑体"/>
      <w:sz w:val="24"/>
      <w:szCs w:val="24"/>
    </w:rPr>
  </w:style>
  <w:style w:type="paragraph" w:customStyle="1" w:styleId="238">
    <w:name w:val="HR标题4"/>
    <w:basedOn w:val="1"/>
    <w:next w:val="186"/>
    <w:qFormat/>
    <w:uiPriority w:val="0"/>
    <w:pPr>
      <w:numPr>
        <w:ilvl w:val="3"/>
        <w:numId w:val="2"/>
      </w:numPr>
      <w:tabs>
        <w:tab w:val="left" w:pos="974"/>
      </w:tabs>
      <w:spacing w:line="360" w:lineRule="auto"/>
      <w:outlineLvl w:val="3"/>
    </w:pPr>
    <w:rPr>
      <w:sz w:val="24"/>
      <w:szCs w:val="24"/>
    </w:rPr>
  </w:style>
  <w:style w:type="paragraph" w:customStyle="1" w:styleId="239">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40">
    <w:name w:val="style0"/>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41">
    <w:name w:val="样式1"/>
    <w:basedOn w:val="8"/>
    <w:uiPriority w:val="99"/>
    <w:pPr>
      <w:autoSpaceDE w:val="0"/>
      <w:autoSpaceDN w:val="0"/>
      <w:adjustRightInd w:val="0"/>
      <w:spacing w:line="500" w:lineRule="exact"/>
      <w:ind w:firstLine="490" w:firstLineChars="204"/>
      <w:jc w:val="left"/>
    </w:pPr>
    <w:rPr>
      <w:rFonts w:ascii="宋体" w:hAnsi="宋体" w:cs="宋体"/>
      <w:sz w:val="24"/>
      <w:szCs w:val="24"/>
    </w:rPr>
  </w:style>
  <w:style w:type="paragraph" w:customStyle="1" w:styleId="242">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3">
    <w:name w:val="HR标题6"/>
    <w:basedOn w:val="1"/>
    <w:next w:val="186"/>
    <w:qFormat/>
    <w:uiPriority w:val="0"/>
    <w:pPr>
      <w:numPr>
        <w:ilvl w:val="5"/>
        <w:numId w:val="2"/>
      </w:numPr>
      <w:tabs>
        <w:tab w:val="left" w:pos="1134"/>
      </w:tabs>
      <w:spacing w:line="360" w:lineRule="auto"/>
      <w:outlineLvl w:val="5"/>
    </w:pPr>
    <w:rPr>
      <w:sz w:val="24"/>
      <w:szCs w:val="24"/>
    </w:rPr>
  </w:style>
  <w:style w:type="paragraph" w:customStyle="1" w:styleId="244">
    <w:name w:val="样式4"/>
    <w:basedOn w:val="245"/>
    <w:qFormat/>
    <w:uiPriority w:val="99"/>
    <w:pPr>
      <w:keepNext w:val="0"/>
      <w:keepLines w:val="0"/>
      <w:numPr>
        <w:ilvl w:val="4"/>
        <w:numId w:val="1"/>
      </w:numPr>
      <w:tabs>
        <w:tab w:val="left" w:pos="360"/>
      </w:tabs>
      <w:autoSpaceDE/>
      <w:autoSpaceDN/>
      <w:adjustRightInd/>
      <w:spacing w:before="0" w:after="200" w:line="276" w:lineRule="auto"/>
      <w:ind w:left="360" w:firstLine="0" w:firstLineChars="0"/>
      <w:jc w:val="both"/>
      <w:outlineLvl w:val="9"/>
    </w:pPr>
    <w:rPr>
      <w:rFonts w:ascii="Calibri" w:hAnsi="Calibri" w:cs="Calibri"/>
    </w:rPr>
  </w:style>
  <w:style w:type="paragraph" w:customStyle="1" w:styleId="245">
    <w:name w:val="样式2"/>
    <w:basedOn w:val="9"/>
    <w:uiPriority w:val="99"/>
    <w:pPr>
      <w:autoSpaceDE w:val="0"/>
      <w:autoSpaceDN w:val="0"/>
      <w:adjustRightInd w:val="0"/>
      <w:spacing w:before="240" w:after="240" w:line="500" w:lineRule="exact"/>
      <w:ind w:firstLine="204" w:firstLineChars="204"/>
      <w:jc w:val="left"/>
    </w:pPr>
    <w:rPr>
      <w:rFonts w:ascii="宋体" w:hAnsi="宋体" w:cs="宋体"/>
      <w:sz w:val="24"/>
      <w:szCs w:val="24"/>
    </w:rPr>
  </w:style>
  <w:style w:type="paragraph" w:customStyle="1" w:styleId="246">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表题"/>
    <w:basedOn w:val="42"/>
    <w:qFormat/>
    <w:uiPriority w:val="99"/>
    <w:pPr>
      <w:adjustRightInd w:val="0"/>
      <w:spacing w:line="480" w:lineRule="auto"/>
      <w:jc w:val="center"/>
    </w:pPr>
    <w:rPr>
      <w:rFonts w:ascii="Times New Roman" w:hAnsi="Times New Roman" w:eastAsia="黑体"/>
      <w:sz w:val="18"/>
      <w:szCs w:val="18"/>
    </w:rPr>
  </w:style>
  <w:style w:type="paragraph" w:customStyle="1" w:styleId="248">
    <w:name w:val="日期11"/>
    <w:basedOn w:val="1"/>
    <w:next w:val="1"/>
    <w:qFormat/>
    <w:uiPriority w:val="0"/>
    <w:pPr>
      <w:adjustRightInd w:val="0"/>
      <w:textAlignment w:val="baseline"/>
    </w:pPr>
    <w:rPr>
      <w:sz w:val="28"/>
      <w:szCs w:val="20"/>
    </w:rPr>
  </w:style>
  <w:style w:type="paragraph" w:customStyle="1" w:styleId="249">
    <w:name w:val="xl72"/>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250">
    <w:name w:val="xl3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51">
    <w:name w:val="xl27"/>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52">
    <w:name w:val="PP 行"/>
    <w:basedOn w:val="53"/>
    <w:qFormat/>
    <w:uiPriority w:val="99"/>
  </w:style>
  <w:style w:type="paragraph" w:customStyle="1" w:styleId="25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4">
    <w:name w:val="xl4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55">
    <w:name w:val="HR标题1"/>
    <w:basedOn w:val="1"/>
    <w:next w:val="186"/>
    <w:qFormat/>
    <w:uiPriority w:val="0"/>
    <w:pPr>
      <w:numPr>
        <w:ilvl w:val="0"/>
        <w:numId w:val="2"/>
      </w:numPr>
      <w:tabs>
        <w:tab w:val="left" w:pos="284"/>
      </w:tabs>
      <w:spacing w:line="360" w:lineRule="auto"/>
      <w:outlineLvl w:val="0"/>
    </w:pPr>
    <w:rPr>
      <w:rFonts w:eastAsia="黑体"/>
      <w:sz w:val="24"/>
      <w:szCs w:val="24"/>
    </w:rPr>
  </w:style>
  <w:style w:type="paragraph" w:customStyle="1" w:styleId="256">
    <w:name w:val="Char Char1 Char Char Char Char"/>
    <w:basedOn w:val="1"/>
    <w:qFormat/>
    <w:uiPriority w:val="99"/>
    <w:pPr>
      <w:keepNext/>
      <w:keepLines/>
      <w:adjustRightInd w:val="0"/>
      <w:spacing w:beforeLines="100" w:afterLines="100" w:line="300" w:lineRule="auto"/>
      <w:ind w:firstLine="200" w:firstLineChars="200"/>
      <w:textAlignment w:val="center"/>
    </w:pPr>
    <w:rPr>
      <w:rFonts w:ascii="仿宋_GB2312" w:hAnsi="宋体" w:eastAsia="仿宋_GB2312" w:cs="仿宋_GB2312"/>
      <w:kern w:val="0"/>
      <w:sz w:val="24"/>
      <w:szCs w:val="24"/>
    </w:rPr>
  </w:style>
  <w:style w:type="paragraph" w:customStyle="1" w:styleId="257">
    <w:name w:val="Char Char1 Char Char Char Char1"/>
    <w:basedOn w:val="1"/>
    <w:qFormat/>
    <w:uiPriority w:val="99"/>
    <w:pPr>
      <w:keepNext/>
      <w:keepLines/>
      <w:adjustRightInd w:val="0"/>
      <w:spacing w:beforeLines="100" w:afterLines="100" w:line="300" w:lineRule="auto"/>
      <w:ind w:firstLine="200" w:firstLineChars="200"/>
    </w:pPr>
    <w:rPr>
      <w:rFonts w:ascii="仿宋_GB2312" w:hAnsi="宋体" w:eastAsia="仿宋_GB2312" w:cs="仿宋_GB2312"/>
      <w:kern w:val="0"/>
      <w:sz w:val="24"/>
      <w:szCs w:val="24"/>
    </w:rPr>
  </w:style>
  <w:style w:type="paragraph" w:customStyle="1" w:styleId="258">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59">
    <w:name w:val="xl4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60">
    <w:name w:val="示例"/>
    <w:qFormat/>
    <w:uiPriority w:val="99"/>
    <w:pPr>
      <w:jc w:val="both"/>
    </w:pPr>
    <w:rPr>
      <w:rFonts w:ascii="宋体" w:hAnsi="Times New Roman" w:eastAsia="宋体" w:cs="宋体"/>
      <w:sz w:val="18"/>
      <w:szCs w:val="18"/>
      <w:lang w:val="en-US" w:eastAsia="zh-CN" w:bidi="ar-SA"/>
    </w:rPr>
  </w:style>
  <w:style w:type="paragraph" w:customStyle="1" w:styleId="261">
    <w:name w:val="A Lieferumfang Aufzählung"/>
    <w:basedOn w:val="1"/>
    <w:qFormat/>
    <w:uiPriority w:val="99"/>
    <w:pPr>
      <w:keepNext/>
      <w:widowControl/>
      <w:numPr>
        <w:ilvl w:val="0"/>
        <w:numId w:val="4"/>
      </w:numPr>
      <w:tabs>
        <w:tab w:val="left" w:pos="1701"/>
      </w:tabs>
      <w:spacing w:line="360" w:lineRule="auto"/>
      <w:jc w:val="left"/>
    </w:pPr>
    <w:rPr>
      <w:rFonts w:ascii="Arial" w:hAnsi="Arial"/>
      <w:kern w:val="0"/>
      <w:sz w:val="20"/>
      <w:szCs w:val="20"/>
      <w:lang w:val="de-DE" w:eastAsia="de-DE"/>
    </w:rPr>
  </w:style>
  <w:style w:type="paragraph" w:customStyle="1" w:styleId="262">
    <w:name w:val="_Style 3"/>
    <w:basedOn w:val="3"/>
    <w:next w:val="1"/>
    <w:qFormat/>
    <w:uiPriority w:val="39"/>
    <w:pPr>
      <w:keepNext/>
      <w:keepLines/>
      <w:tabs>
        <w:tab w:val="clear" w:pos="9061"/>
      </w:tabs>
      <w:spacing w:before="340" w:after="330" w:line="578" w:lineRule="auto"/>
      <w:ind w:left="0"/>
      <w:jc w:val="both"/>
      <w:outlineLvl w:val="9"/>
    </w:pPr>
    <w:rPr>
      <w:bCs/>
      <w:iCs w:val="0"/>
      <w:kern w:val="44"/>
      <w:sz w:val="44"/>
      <w:szCs w:val="44"/>
      <w:lang w:val="en-US" w:eastAsia="zh-CN"/>
    </w:rPr>
  </w:style>
  <w:style w:type="paragraph" w:customStyle="1" w:styleId="263">
    <w:name w:val="_Style 262"/>
    <w:unhideWhenUsed/>
    <w:qFormat/>
    <w:uiPriority w:val="99"/>
    <w:rPr>
      <w:rFonts w:ascii="Times New Roman" w:hAnsi="Times New Roman" w:eastAsia="宋体" w:cs="Times New Roman"/>
      <w:kern w:val="2"/>
      <w:sz w:val="21"/>
      <w:szCs w:val="21"/>
      <w:lang w:val="en-US" w:eastAsia="zh-CN" w:bidi="ar-SA"/>
    </w:rPr>
  </w:style>
  <w:style w:type="paragraph" w:customStyle="1" w:styleId="264">
    <w:name w:val="t4_2"/>
    <w:basedOn w:val="1"/>
    <w:qFormat/>
    <w:uiPriority w:val="99"/>
    <w:pPr>
      <w:widowControl/>
      <w:tabs>
        <w:tab w:val="left" w:pos="360"/>
      </w:tabs>
      <w:spacing w:line="360" w:lineRule="auto"/>
      <w:ind w:left="420"/>
      <w:jc w:val="left"/>
    </w:pPr>
    <w:rPr>
      <w:b/>
      <w:bCs/>
    </w:rPr>
  </w:style>
  <w:style w:type="paragraph" w:customStyle="1" w:styleId="265">
    <w:name w:val="font6"/>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266">
    <w:name w:val="a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7">
    <w:name w:val="正文文本 (2)1"/>
    <w:basedOn w:val="1"/>
    <w:qFormat/>
    <w:uiPriority w:val="0"/>
    <w:pPr>
      <w:shd w:val="clear" w:color="auto" w:fill="FFFFFF"/>
      <w:adjustRightInd w:val="0"/>
      <w:spacing w:before="300" w:line="466" w:lineRule="exact"/>
      <w:jc w:val="distribute"/>
      <w:textAlignment w:val="baseline"/>
    </w:pPr>
    <w:rPr>
      <w:rFonts w:ascii="宋体" w:hAnsi="宋体" w:cs="宋体"/>
      <w:kern w:val="0"/>
      <w:sz w:val="22"/>
      <w:szCs w:val="22"/>
    </w:rPr>
  </w:style>
  <w:style w:type="paragraph" w:customStyle="1" w:styleId="268">
    <w:name w:val="_Style 267"/>
    <w:basedOn w:val="3"/>
    <w:next w:val="1"/>
    <w:qFormat/>
    <w:uiPriority w:val="39"/>
    <w:pPr>
      <w:keepNext/>
      <w:keepLines/>
      <w:tabs>
        <w:tab w:val="clear" w:pos="9061"/>
      </w:tabs>
      <w:spacing w:before="340" w:after="330" w:line="578" w:lineRule="auto"/>
      <w:ind w:left="0"/>
      <w:jc w:val="both"/>
      <w:outlineLvl w:val="9"/>
    </w:pPr>
    <w:rPr>
      <w:bCs/>
      <w:iCs w:val="0"/>
      <w:kern w:val="44"/>
      <w:sz w:val="44"/>
      <w:szCs w:val="44"/>
      <w:lang w:val="en-US" w:eastAsia="zh-CN"/>
    </w:rPr>
  </w:style>
  <w:style w:type="paragraph" w:customStyle="1" w:styleId="26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70">
    <w:name w:val="xl39"/>
    <w:basedOn w:val="1"/>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71">
    <w:name w:val="HR标题5"/>
    <w:basedOn w:val="1"/>
    <w:next w:val="186"/>
    <w:uiPriority w:val="0"/>
    <w:pPr>
      <w:numPr>
        <w:ilvl w:val="4"/>
        <w:numId w:val="2"/>
      </w:numPr>
      <w:tabs>
        <w:tab w:val="left" w:pos="1504"/>
      </w:tabs>
      <w:spacing w:line="360" w:lineRule="auto"/>
      <w:outlineLvl w:val="4"/>
    </w:pPr>
    <w:rPr>
      <w:sz w:val="24"/>
      <w:szCs w:val="24"/>
    </w:rPr>
  </w:style>
  <w:style w:type="paragraph" w:customStyle="1" w:styleId="272">
    <w:name w:val="本文項目"/>
    <w:basedOn w:val="1"/>
    <w:semiHidden/>
    <w:qFormat/>
    <w:uiPriority w:val="99"/>
    <w:pPr>
      <w:tabs>
        <w:tab w:val="left" w:pos="360"/>
      </w:tabs>
      <w:autoSpaceDE w:val="0"/>
      <w:autoSpaceDN w:val="0"/>
      <w:adjustRightInd w:val="0"/>
      <w:spacing w:beforeLines="50" w:afterLines="50" w:line="360" w:lineRule="auto"/>
      <w:ind w:left="360" w:hanging="360"/>
      <w:textAlignment w:val="baseline"/>
    </w:pPr>
    <w:rPr>
      <w:b/>
      <w:bCs/>
      <w:kern w:val="0"/>
      <w:sz w:val="24"/>
      <w:szCs w:val="24"/>
    </w:rPr>
  </w:style>
  <w:style w:type="paragraph" w:customStyle="1" w:styleId="273">
    <w:name w:val="xl3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74">
    <w:name w:val="样式7"/>
    <w:basedOn w:val="1"/>
    <w:qFormat/>
    <w:uiPriority w:val="0"/>
    <w:pPr>
      <w:widowControl/>
      <w:spacing w:line="480" w:lineRule="exact"/>
      <w:jc w:val="center"/>
    </w:pPr>
    <w:rPr>
      <w:rFonts w:eastAsia="方正大标宋简体"/>
      <w:spacing w:val="6"/>
      <w:kern w:val="0"/>
      <w:sz w:val="44"/>
      <w:szCs w:val="20"/>
    </w:rPr>
  </w:style>
  <w:style w:type="paragraph" w:customStyle="1" w:styleId="27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黑体" w:hAnsi="宋体" w:eastAsia="黑体" w:cs="黑体"/>
      <w:b/>
      <w:bCs/>
      <w:kern w:val="0"/>
      <w:sz w:val="28"/>
      <w:szCs w:val="28"/>
    </w:rPr>
  </w:style>
  <w:style w:type="paragraph" w:customStyle="1" w:styleId="276">
    <w:name w:val="xl2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77">
    <w:name w:val="xl4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78">
    <w:name w:val="xl47"/>
    <w:basedOn w:val="1"/>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79">
    <w:name w:val="正文1"/>
    <w:basedOn w:val="1"/>
    <w:qFormat/>
    <w:uiPriority w:val="0"/>
    <w:pPr>
      <w:adjustRightInd w:val="0"/>
      <w:spacing w:line="400" w:lineRule="atLeast"/>
      <w:ind w:firstLine="1134"/>
      <w:jc w:val="left"/>
      <w:textAlignment w:val="baseline"/>
    </w:pPr>
    <w:rPr>
      <w:rFonts w:ascii="宋体"/>
      <w:kern w:val="0"/>
      <w:sz w:val="24"/>
      <w:szCs w:val="20"/>
    </w:rPr>
  </w:style>
  <w:style w:type="paragraph" w:customStyle="1" w:styleId="280">
    <w:name w:val="Normal_0"/>
    <w:qFormat/>
    <w:uiPriority w:val="0"/>
    <w:pPr>
      <w:spacing w:before="120" w:after="240"/>
      <w:jc w:val="both"/>
    </w:pPr>
    <w:rPr>
      <w:rFonts w:ascii="Times New Roman" w:hAnsi="Times New Roman" w:eastAsia="宋体" w:cs="Times New Roman"/>
      <w:sz w:val="22"/>
      <w:szCs w:val="22"/>
      <w:lang w:val="en-US" w:eastAsia="en-US" w:bidi="ar-SA"/>
    </w:rPr>
  </w:style>
  <w:style w:type="paragraph" w:customStyle="1" w:styleId="281">
    <w:name w:val="xl33"/>
    <w:basedOn w:val="240"/>
    <w:uiPriority w:val="99"/>
    <w:pPr>
      <w:pBdr>
        <w:bottom w:val="single" w:color="auto" w:sz="4" w:space="0"/>
        <w:right w:val="single" w:color="auto" w:sz="4" w:space="0"/>
      </w:pBdr>
      <w:jc w:val="center"/>
    </w:pPr>
    <w:rPr>
      <w:sz w:val="20"/>
      <w:szCs w:val="20"/>
    </w:rPr>
  </w:style>
  <w:style w:type="paragraph" w:customStyle="1" w:styleId="282">
    <w:name w:val="scfErstekopfzeile"/>
    <w:basedOn w:val="1"/>
    <w:qFormat/>
    <w:uiPriority w:val="99"/>
    <w:pPr>
      <w:widowControl/>
      <w:tabs>
        <w:tab w:val="left" w:pos="1701"/>
      </w:tabs>
      <w:jc w:val="left"/>
    </w:pPr>
    <w:rPr>
      <w:rFonts w:ascii="Arial" w:hAnsi="Arial"/>
      <w:vanish/>
      <w:kern w:val="0"/>
      <w:sz w:val="16"/>
      <w:szCs w:val="20"/>
      <w:lang w:val="de-DE" w:eastAsia="en-US"/>
    </w:rPr>
  </w:style>
  <w:style w:type="paragraph" w:customStyle="1" w:styleId="283">
    <w:name w:val="xl2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84">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8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6">
    <w:name w:val="标题 4（绿盟科技）"/>
    <w:basedOn w:val="8"/>
    <w:next w:val="1"/>
    <w:semiHidden/>
    <w:qFormat/>
    <w:uiPriority w:val="99"/>
    <w:pPr>
      <w:widowControl/>
      <w:tabs>
        <w:tab w:val="left" w:pos="360"/>
      </w:tabs>
      <w:ind w:left="1447" w:hanging="1021"/>
      <w:jc w:val="left"/>
    </w:pPr>
  </w:style>
  <w:style w:type="paragraph" w:customStyle="1" w:styleId="287">
    <w:name w:val="xl50"/>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88">
    <w:name w:val="日期5"/>
    <w:basedOn w:val="1"/>
    <w:next w:val="1"/>
    <w:qFormat/>
    <w:uiPriority w:val="0"/>
    <w:pPr>
      <w:widowControl w:val="0"/>
      <w:adjustRightInd w:val="0"/>
      <w:jc w:val="both"/>
      <w:textAlignment w:val="baseline"/>
    </w:pPr>
    <w:rPr>
      <w:rFonts w:ascii="Calibri" w:hAnsi="Calibri" w:cs="黑体"/>
      <w:kern w:val="2"/>
      <w:sz w:val="21"/>
    </w:rPr>
  </w:style>
  <w:style w:type="paragraph" w:customStyle="1" w:styleId="289">
    <w:name w:val="正文居中"/>
    <w:basedOn w:val="1"/>
    <w:next w:val="76"/>
    <w:qFormat/>
    <w:uiPriority w:val="99"/>
    <w:pPr>
      <w:jc w:val="center"/>
    </w:pPr>
    <w:rPr>
      <w:sz w:val="24"/>
      <w:szCs w:val="24"/>
    </w:rPr>
  </w:style>
  <w:style w:type="paragraph" w:customStyle="1" w:styleId="290">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91">
    <w:name w:val="样式目录三"/>
    <w:basedOn w:val="41"/>
    <w:semiHidden/>
    <w:uiPriority w:val="99"/>
    <w:pPr>
      <w:numPr>
        <w:ilvl w:val="5"/>
        <w:numId w:val="2"/>
      </w:numPr>
      <w:tabs>
        <w:tab w:val="left" w:pos="1320"/>
        <w:tab w:val="right" w:leader="dot" w:pos="8597"/>
      </w:tabs>
      <w:ind w:left="0" w:firstLine="0"/>
      <w:outlineLvl w:val="2"/>
    </w:pPr>
    <w:rPr>
      <w:iCs w:val="0"/>
      <w:sz w:val="24"/>
      <w:szCs w:val="24"/>
    </w:rPr>
  </w:style>
  <w:style w:type="paragraph" w:styleId="292">
    <w:name w:val="List Paragraph"/>
    <w:basedOn w:val="1"/>
    <w:qFormat/>
    <w:uiPriority w:val="99"/>
    <w:pPr>
      <w:ind w:firstLine="420" w:firstLineChars="200"/>
    </w:pPr>
    <w:rPr>
      <w:szCs w:val="24"/>
    </w:rPr>
  </w:style>
  <w:style w:type="paragraph" w:customStyle="1" w:styleId="293">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94">
    <w:name w:val="xl3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95">
    <w:name w:val="xl43"/>
    <w:basedOn w:val="240"/>
    <w:qFormat/>
    <w:uiPriority w:val="99"/>
    <w:pPr>
      <w:pBdr>
        <w:bottom w:val="single" w:color="auto" w:sz="4" w:space="0"/>
        <w:right w:val="single" w:color="auto" w:sz="4" w:space="0"/>
      </w:pBdr>
      <w:jc w:val="center"/>
    </w:pPr>
    <w:rPr>
      <w:sz w:val="21"/>
      <w:szCs w:val="21"/>
    </w:rPr>
  </w:style>
  <w:style w:type="paragraph" w:customStyle="1" w:styleId="296">
    <w:name w:val="默认段落字体 Para Char Char Char Char Char Char Char Char Char Char Char Char Char Char Char1 Char Char Char Char"/>
    <w:basedOn w:val="26"/>
    <w:qFormat/>
    <w:uiPriority w:val="99"/>
    <w:pPr>
      <w:adjustRightInd w:val="0"/>
      <w:spacing w:line="436" w:lineRule="exact"/>
      <w:ind w:left="357"/>
      <w:jc w:val="left"/>
      <w:outlineLvl w:val="3"/>
    </w:pPr>
    <w:rPr>
      <w:rFonts w:ascii="仿宋_GB2312" w:eastAsia="仿宋_GB2312" w:cs="仿宋_GB2312"/>
      <w:sz w:val="24"/>
      <w:szCs w:val="24"/>
    </w:rPr>
  </w:style>
  <w:style w:type="paragraph" w:customStyle="1" w:styleId="297">
    <w:name w:val="日期4"/>
    <w:basedOn w:val="1"/>
    <w:next w:val="1"/>
    <w:qFormat/>
    <w:uiPriority w:val="0"/>
    <w:pPr>
      <w:widowControl w:val="0"/>
      <w:adjustRightInd w:val="0"/>
      <w:jc w:val="both"/>
      <w:textAlignment w:val="baseline"/>
    </w:pPr>
    <w:rPr>
      <w:rFonts w:ascii="Calibri" w:hAnsi="Calibri" w:cs="黑体"/>
      <w:kern w:val="2"/>
      <w:sz w:val="21"/>
    </w:rPr>
  </w:style>
  <w:style w:type="paragraph" w:customStyle="1" w:styleId="298">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9">
    <w:name w:val="xl6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0">
    <w:name w:val="xl3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01">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02">
    <w:name w:val="标题 1（绿盟科技）"/>
    <w:basedOn w:val="3"/>
    <w:next w:val="1"/>
    <w:semiHidden/>
    <w:qFormat/>
    <w:uiPriority w:val="99"/>
    <w:pPr>
      <w:pBdr>
        <w:bottom w:val="single" w:color="auto" w:sz="48" w:space="1"/>
      </w:pBdr>
      <w:tabs>
        <w:tab w:val="left" w:pos="360"/>
      </w:tabs>
      <w:spacing w:line="576" w:lineRule="auto"/>
      <w:ind w:left="360" w:hanging="360"/>
      <w:jc w:val="left"/>
    </w:pPr>
    <w:rPr>
      <w:rFonts w:ascii="Arial" w:hAnsi="Arial" w:eastAsia="黑体" w:cs="Arial"/>
    </w:rPr>
  </w:style>
  <w:style w:type="paragraph" w:customStyle="1" w:styleId="303">
    <w:name w:val="xl74"/>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304">
    <w:name w:val="Char"/>
    <w:basedOn w:val="1"/>
    <w:qFormat/>
    <w:uiPriority w:val="99"/>
    <w:pPr>
      <w:tabs>
        <w:tab w:val="left" w:pos="708"/>
      </w:tabs>
      <w:ind w:firstLine="420"/>
    </w:pPr>
    <w:rPr>
      <w:rFonts w:ascii="仿宋_GB2312" w:eastAsia="仿宋_GB2312" w:cs="仿宋_GB2312"/>
      <w:sz w:val="24"/>
      <w:szCs w:val="24"/>
    </w:rPr>
  </w:style>
  <w:style w:type="paragraph" w:customStyle="1" w:styleId="305">
    <w:name w:val="p0"/>
    <w:basedOn w:val="1"/>
    <w:semiHidden/>
    <w:qFormat/>
    <w:uiPriority w:val="99"/>
    <w:pPr>
      <w:widowControl/>
      <w:spacing w:after="200" w:line="273" w:lineRule="auto"/>
      <w:jc w:val="left"/>
    </w:pPr>
    <w:rPr>
      <w:rFonts w:ascii="Calibri" w:hAnsi="Calibri" w:cs="Calibri"/>
      <w:kern w:val="0"/>
      <w:sz w:val="22"/>
      <w:szCs w:val="22"/>
    </w:rPr>
  </w:style>
  <w:style w:type="paragraph" w:customStyle="1" w:styleId="306">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07">
    <w:name w:val="列出段落3"/>
    <w:basedOn w:val="1"/>
    <w:qFormat/>
    <w:uiPriority w:val="0"/>
    <w:pPr>
      <w:ind w:firstLine="420" w:firstLineChars="200"/>
    </w:pPr>
    <w:rPr>
      <w:rFonts w:ascii="Calibri" w:hAnsi="Calibri"/>
      <w:sz w:val="22"/>
      <w:szCs w:val="22"/>
    </w:rPr>
  </w:style>
  <w:style w:type="paragraph" w:customStyle="1" w:styleId="308">
    <w:name w:val="五级无标题条"/>
    <w:basedOn w:val="1"/>
    <w:qFormat/>
    <w:uiPriority w:val="99"/>
    <w:pPr>
      <w:tabs>
        <w:tab w:val="left" w:pos="840"/>
      </w:tabs>
      <w:ind w:left="840" w:hanging="630"/>
    </w:pPr>
  </w:style>
  <w:style w:type="paragraph" w:customStyle="1" w:styleId="309">
    <w:name w:val="注×："/>
    <w:semiHidden/>
    <w:qFormat/>
    <w:uiPriority w:val="99"/>
    <w:pPr>
      <w:widowControl w:val="0"/>
      <w:tabs>
        <w:tab w:val="left" w:pos="360"/>
        <w:tab w:val="left" w:pos="630"/>
      </w:tabs>
      <w:autoSpaceDE w:val="0"/>
      <w:autoSpaceDN w:val="0"/>
      <w:ind w:left="360" w:hanging="360"/>
      <w:jc w:val="both"/>
    </w:pPr>
    <w:rPr>
      <w:rFonts w:ascii="宋体" w:hAnsi="Times New Roman" w:eastAsia="宋体" w:cs="宋体"/>
      <w:sz w:val="18"/>
      <w:szCs w:val="18"/>
      <w:lang w:val="en-US" w:eastAsia="zh-CN" w:bidi="ar-SA"/>
    </w:rPr>
  </w:style>
  <w:style w:type="paragraph" w:customStyle="1" w:styleId="310">
    <w:name w:val="文字正文"/>
    <w:basedOn w:val="1"/>
    <w:qFormat/>
    <w:uiPriority w:val="0"/>
    <w:rPr>
      <w:szCs w:val="24"/>
    </w:rPr>
  </w:style>
  <w:style w:type="paragraph" w:customStyle="1" w:styleId="311">
    <w:name w:val="xl73"/>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312">
    <w:name w:val="表内文字"/>
    <w:basedOn w:val="1"/>
    <w:qFormat/>
    <w:uiPriority w:val="0"/>
    <w:pPr>
      <w:spacing w:line="360" w:lineRule="auto"/>
      <w:jc w:val="center"/>
    </w:pPr>
    <w:rPr>
      <w:rFonts w:ascii="宋体" w:hAnsi="宋体"/>
      <w:b/>
      <w:bCs/>
      <w:sz w:val="28"/>
      <w:szCs w:val="24"/>
    </w:rPr>
  </w:style>
  <w:style w:type="paragraph" w:customStyle="1" w:styleId="313">
    <w:name w:val="Char Char Char"/>
    <w:basedOn w:val="1"/>
    <w:qFormat/>
    <w:uiPriority w:val="99"/>
    <w:rPr>
      <w:rFonts w:ascii="宋体" w:hAnsi="宋体" w:cs="宋体"/>
      <w:b/>
      <w:bCs/>
      <w:sz w:val="28"/>
      <w:szCs w:val="28"/>
    </w:rPr>
  </w:style>
  <w:style w:type="paragraph" w:customStyle="1" w:styleId="314">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15">
    <w:name w:val="标题 2（绿盟科技）"/>
    <w:basedOn w:val="4"/>
    <w:next w:val="1"/>
    <w:semiHidden/>
    <w:qFormat/>
    <w:uiPriority w:val="99"/>
    <w:pPr>
      <w:numPr>
        <w:ilvl w:val="1"/>
        <w:numId w:val="2"/>
      </w:numPr>
      <w:tabs>
        <w:tab w:val="left" w:pos="1440"/>
      </w:tabs>
      <w:spacing w:line="415" w:lineRule="auto"/>
    </w:pPr>
  </w:style>
  <w:style w:type="paragraph" w:customStyle="1" w:styleId="316">
    <w:name w:val="xl4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17">
    <w:name w:val="正文2"/>
    <w:basedOn w:val="1"/>
    <w:semiHidden/>
    <w:qFormat/>
    <w:uiPriority w:val="99"/>
    <w:pPr>
      <w:spacing w:before="156" w:line="360" w:lineRule="auto"/>
      <w:ind w:firstLine="510" w:firstLineChars="200"/>
    </w:pPr>
    <w:rPr>
      <w:sz w:val="24"/>
      <w:szCs w:val="24"/>
    </w:rPr>
  </w:style>
  <w:style w:type="paragraph" w:customStyle="1" w:styleId="318">
    <w:name w:val="表格标注（绿盟科技）"/>
    <w:basedOn w:val="319"/>
    <w:next w:val="1"/>
    <w:semiHidden/>
    <w:qFormat/>
    <w:uiPriority w:val="99"/>
    <w:pPr>
      <w:numPr>
        <w:ilvl w:val="4"/>
        <w:numId w:val="2"/>
      </w:numPr>
      <w:tabs>
        <w:tab w:val="left" w:pos="1620"/>
        <w:tab w:val="left" w:pos="1680"/>
      </w:tabs>
      <w:ind w:left="1620" w:hanging="360"/>
    </w:pPr>
  </w:style>
  <w:style w:type="paragraph" w:customStyle="1" w:styleId="319">
    <w:name w:val="插图标注（绿盟科技）"/>
    <w:next w:val="1"/>
    <w:semiHidden/>
    <w:qFormat/>
    <w:uiPriority w:val="99"/>
    <w:pPr>
      <w:numPr>
        <w:ilvl w:val="3"/>
        <w:numId w:val="2"/>
      </w:numPr>
      <w:spacing w:after="156"/>
      <w:ind w:left="426" w:firstLine="0"/>
      <w:jc w:val="center"/>
    </w:pPr>
    <w:rPr>
      <w:rFonts w:ascii="Arial" w:hAnsi="Arial" w:eastAsia="宋体" w:cs="Arial"/>
      <w:sz w:val="21"/>
      <w:szCs w:val="21"/>
      <w:lang w:val="en-US" w:eastAsia="zh-CN" w:bidi="ar-SA"/>
    </w:rPr>
  </w:style>
  <w:style w:type="paragraph" w:customStyle="1" w:styleId="320">
    <w:name w:val="样式 正文 + 小四 首行缩进:  2 字符"/>
    <w:basedOn w:val="1"/>
    <w:qFormat/>
    <w:uiPriority w:val="0"/>
    <w:pPr>
      <w:numPr>
        <w:ilvl w:val="1"/>
        <w:numId w:val="5"/>
      </w:numPr>
      <w:spacing w:line="440" w:lineRule="exact"/>
    </w:pPr>
    <w:rPr>
      <w:rFonts w:cs="宋体"/>
      <w:kern w:val="0"/>
      <w:sz w:val="24"/>
      <w:szCs w:val="20"/>
    </w:rPr>
  </w:style>
  <w:style w:type="paragraph" w:customStyle="1" w:styleId="321">
    <w:name w:val="xl5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322">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23">
    <w:name w:val="Char Char Char Char"/>
    <w:basedOn w:val="1"/>
    <w:qFormat/>
    <w:uiPriority w:val="99"/>
    <w:rPr>
      <w:rFonts w:ascii="Tahoma" w:hAnsi="Tahoma" w:cs="Tahoma"/>
      <w:sz w:val="24"/>
      <w:szCs w:val="24"/>
    </w:rPr>
  </w:style>
  <w:style w:type="paragraph" w:customStyle="1" w:styleId="324">
    <w:name w:val="1列"/>
    <w:basedOn w:val="1"/>
    <w:qFormat/>
    <w:uiPriority w:val="0"/>
    <w:pPr>
      <w:numPr>
        <w:ilvl w:val="0"/>
        <w:numId w:val="6"/>
      </w:numPr>
      <w:spacing w:line="360" w:lineRule="auto"/>
    </w:pPr>
    <w:rPr>
      <w:szCs w:val="24"/>
    </w:rPr>
  </w:style>
  <w:style w:type="paragraph" w:customStyle="1" w:styleId="325">
    <w:name w:val="xl4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326">
    <w:name w:val="列出段落4"/>
    <w:basedOn w:val="1"/>
    <w:qFormat/>
    <w:uiPriority w:val="0"/>
    <w:pPr>
      <w:ind w:firstLine="420" w:firstLineChars="200"/>
    </w:pPr>
    <w:rPr>
      <w:rFonts w:ascii="Calibri" w:hAnsi="Calibri" w:eastAsia="Times New Roman"/>
      <w:sz w:val="22"/>
      <w:szCs w:val="22"/>
    </w:rPr>
  </w:style>
  <w:style w:type="paragraph" w:customStyle="1" w:styleId="327">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28">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329">
    <w:name w:val="标题 6（有编号）（绿盟科技）"/>
    <w:basedOn w:val="1"/>
    <w:next w:val="1"/>
    <w:semiHidden/>
    <w:qFormat/>
    <w:uiPriority w:val="99"/>
    <w:pPr>
      <w:keepNext/>
      <w:keepLines/>
      <w:numPr>
        <w:ilvl w:val="2"/>
        <w:numId w:val="2"/>
      </w:numPr>
      <w:spacing w:line="319" w:lineRule="auto"/>
      <w:ind w:left="1673" w:hanging="1247"/>
      <w:jc w:val="left"/>
      <w:outlineLvl w:val="5"/>
    </w:pPr>
    <w:rPr>
      <w:rFonts w:ascii="Arial" w:hAnsi="Arial" w:eastAsia="黑体" w:cs="Arial"/>
      <w:b/>
      <w:bCs/>
      <w:kern w:val="0"/>
    </w:rPr>
  </w:style>
  <w:style w:type="paragraph" w:customStyle="1" w:styleId="330">
    <w:name w:val="简单回函地址"/>
    <w:basedOn w:val="1"/>
    <w:qFormat/>
    <w:uiPriority w:val="99"/>
  </w:style>
  <w:style w:type="paragraph" w:customStyle="1" w:styleId="331">
    <w:name w:val="需求书2"/>
    <w:basedOn w:val="1"/>
    <w:qFormat/>
    <w:uiPriority w:val="0"/>
    <w:pPr>
      <w:spacing w:line="400" w:lineRule="exact"/>
    </w:pPr>
    <w:rPr>
      <w:rFonts w:ascii="黑体" w:hAnsi="Calibri" w:eastAsia="黑体"/>
      <w:b/>
      <w:bCs/>
      <w:sz w:val="32"/>
      <w:szCs w:val="20"/>
    </w:rPr>
  </w:style>
  <w:style w:type="paragraph" w:customStyle="1" w:styleId="332">
    <w:name w:val="标题 3（绿盟科技）"/>
    <w:basedOn w:val="6"/>
    <w:next w:val="1"/>
    <w:semiHidden/>
    <w:qFormat/>
    <w:uiPriority w:val="99"/>
    <w:pPr>
      <w:tabs>
        <w:tab w:val="left" w:pos="960"/>
        <w:tab w:val="left" w:pos="1260"/>
      </w:tabs>
      <w:spacing w:line="415" w:lineRule="auto"/>
      <w:ind w:left="1260" w:firstLine="147" w:firstLineChars="147"/>
    </w:pPr>
    <w:rPr>
      <w:rFonts w:ascii="Arial" w:hAnsi="Arial" w:eastAsia="黑体" w:cs="Arial"/>
      <w:sz w:val="30"/>
      <w:szCs w:val="30"/>
    </w:rPr>
  </w:style>
  <w:style w:type="table" w:customStyle="1" w:styleId="333">
    <w:name w:val="浅色网格1"/>
    <w:basedOn w:val="78"/>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eastAsia="微软雅黑" w:cs="Times New Roman"/>
        <w:b/>
        <w:bCs/>
      </w:rPr>
      <w:tcPr>
        <w:tcBorders>
          <w:top w:val="single" w:color="000000" w:sz="8" w:space="0"/>
          <w:left w:val="single" w:color="000000" w:sz="18" w:space="0"/>
          <w:bottom w:val="single" w:color="000000" w:sz="8" w:space="0"/>
          <w:right w:val="single" w:color="000000" w:sz="8" w:space="0"/>
          <w:insideH w:val="nil"/>
          <w:insideV w:val="single" w:sz="8" w:space="0"/>
          <w:tl2br w:val="nil"/>
          <w:tr2bl w:val="nil"/>
        </w:tcBorders>
      </w:tcPr>
    </w:tblStylePr>
    <w:tblStylePr w:type="lastRow">
      <w:pPr>
        <w:spacing w:before="0" w:after="0" w:line="240" w:lineRule="auto"/>
      </w:pPr>
      <w:rPr>
        <w:rFonts w:eastAsia="微软雅黑" w:cs="Times New Roman"/>
        <w:b/>
        <w:bCs/>
      </w:r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eastAsia="微软雅黑" w:cs="Times New Roman"/>
        <w:b/>
        <w:bCs/>
      </w:rPr>
    </w:tblStylePr>
    <w:tblStylePr w:type="lastCol">
      <w:rPr>
        <w:rFonts w:eastAsia="微软雅黑" w:cs="Times New Roman"/>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customStyle="1" w:styleId="334">
    <w:name w:val="网格型4"/>
    <w:basedOn w:val="7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35">
    <w:name w:val="正文文本 Char"/>
    <w:semiHidden/>
    <w:qFormat/>
    <w:locked/>
    <w:uiPriority w:val="99"/>
    <w:rPr>
      <w:rFonts w:cs="Times New Roman"/>
      <w:sz w:val="21"/>
      <w:szCs w:val="21"/>
    </w:rPr>
  </w:style>
  <w:style w:type="character" w:customStyle="1" w:styleId="336">
    <w:name w:val="正文缩进 Char"/>
    <w:qFormat/>
    <w:locked/>
    <w:uiPriority w:val="99"/>
    <w:rPr>
      <w:rFonts w:eastAsia="宋体" w:cs="Times New Roman"/>
      <w:sz w:val="21"/>
      <w:szCs w:val="21"/>
    </w:rPr>
  </w:style>
  <w:style w:type="paragraph" w:customStyle="1" w:styleId="337">
    <w:name w:val="标书正文格式"/>
    <w:basedOn w:val="42"/>
    <w:qFormat/>
    <w:uiPriority w:val="0"/>
    <w:pPr>
      <w:spacing w:line="360" w:lineRule="auto"/>
      <w:ind w:firstLine="200" w:firstLineChars="200"/>
    </w:pPr>
    <w:rPr>
      <w:rFonts w:hAnsi="宋体"/>
      <w:color w:val="000000"/>
      <w:sz w:val="24"/>
      <w:szCs w:val="24"/>
    </w:rPr>
  </w:style>
  <w:style w:type="character" w:customStyle="1" w:styleId="338">
    <w:name w:val="_Style 337"/>
    <w:unhideWhenUsed/>
    <w:qFormat/>
    <w:uiPriority w:val="99"/>
    <w:rPr>
      <w:color w:val="605E5C"/>
      <w:shd w:val="clear" w:color="auto" w:fill="E1DFDD"/>
    </w:rPr>
  </w:style>
  <w:style w:type="paragraph" w:customStyle="1" w:styleId="339">
    <w:name w:val="文档正文-1"/>
    <w:basedOn w:val="1"/>
    <w:qFormat/>
    <w:uiPriority w:val="0"/>
    <w:pPr>
      <w:spacing w:line="360" w:lineRule="auto"/>
      <w:ind w:firstLine="200" w:firstLineChars="200"/>
    </w:pPr>
    <w:rPr>
      <w:rFonts w:ascii="Times New Roman" w:hAnsi="Times New Roman" w:eastAsia="宋体"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23224</Words>
  <Characters>24679</Characters>
  <Lines>225</Lines>
  <Paragraphs>63</Paragraphs>
  <TotalTime>18</TotalTime>
  <ScaleCrop>false</ScaleCrop>
  <LinksUpToDate>false</LinksUpToDate>
  <CharactersWithSpaces>26198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2023-08-25T06:10:00Z</dcterms:created>
  <dc:creator>USER</dc:creator>
  <cp:lastModifiedBy>WXQ</cp:lastModifiedBy>
  <cp:lastPrinted>2023-03-14T02:44:00Z</cp:lastPrinted>
  <dcterms:modified xsi:type="dcterms:W3CDTF">2023-11-11T00:51:21Z</dcterms:modified>
  <dc:title>招标文件目录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80559CDF326D490D8BC0AAAE566C9B8B</vt:lpwstr>
  </property>
</Properties>
</file>