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795" w:lineRule="exact"/>
        <w:ind w:left="843" w:leftChars="300" w:hanging="183" w:hangingChars="38"/>
        <w:rPr>
          <w:rFonts w:hint="eastAsia" w:ascii="宋体" w:hAnsi="宋体" w:eastAsia="宋体" w:cs="Times New Roman"/>
          <w:b/>
          <w:bCs w:val="0"/>
          <w:kern w:val="2"/>
          <w:sz w:val="48"/>
          <w:szCs w:val="48"/>
          <w:lang w:val="en-US" w:eastAsia="zh-CN" w:bidi="ar-SA"/>
        </w:rPr>
      </w:pPr>
    </w:p>
    <w:p>
      <w:pPr>
        <w:pStyle w:val="4"/>
        <w:spacing w:line="795" w:lineRule="exact"/>
        <w:ind w:left="40"/>
        <w:rPr>
          <w:rFonts w:hint="eastAsia" w:ascii="宋体" w:hAnsi="宋体" w:eastAsia="宋体" w:cs="Times New Roman"/>
          <w:b/>
          <w:bCs w:val="0"/>
          <w:kern w:val="2"/>
          <w:sz w:val="48"/>
          <w:szCs w:val="48"/>
          <w:lang w:val="en-US" w:eastAsia="zh-CN" w:bidi="ar-SA"/>
        </w:rPr>
      </w:pPr>
    </w:p>
    <w:p>
      <w:pPr>
        <w:pStyle w:val="4"/>
        <w:spacing w:line="795" w:lineRule="exact"/>
        <w:ind w:left="40"/>
        <w:rPr>
          <w:rFonts w:hint="eastAsia" w:ascii="宋体" w:hAnsi="宋体" w:eastAsia="宋体" w:cs="Times New Roman"/>
          <w:b/>
          <w:bCs w:val="0"/>
          <w:kern w:val="2"/>
          <w:sz w:val="48"/>
          <w:szCs w:val="48"/>
          <w:lang w:val="en-US" w:eastAsia="zh-CN" w:bidi="ar-SA"/>
        </w:rPr>
      </w:pPr>
    </w:p>
    <w:p>
      <w:pPr>
        <w:pStyle w:val="4"/>
        <w:spacing w:line="795" w:lineRule="exact"/>
        <w:ind w:left="40"/>
        <w:rPr>
          <w:rFonts w:ascii="微软雅黑" w:eastAsia="微软雅黑"/>
          <w:b/>
          <w:sz w:val="44"/>
        </w:rPr>
      </w:pPr>
      <w:r>
        <w:rPr>
          <w:rFonts w:hint="eastAsia" w:ascii="宋体" w:hAnsi="宋体" w:eastAsia="宋体" w:cs="Times New Roman"/>
          <w:b/>
          <w:bCs w:val="0"/>
          <w:kern w:val="2"/>
          <w:sz w:val="48"/>
          <w:szCs w:val="48"/>
          <w:lang w:val="en-US" w:eastAsia="zh-CN" w:bidi="ar-SA"/>
        </w:rPr>
        <w:t xml:space="preserve">  研发零部件运输项目</w:t>
      </w:r>
    </w:p>
    <w:p>
      <w:pPr>
        <w:pStyle w:val="10"/>
        <w:spacing w:before="5"/>
        <w:rPr>
          <w:rFonts w:ascii="微软雅黑"/>
          <w:b/>
          <w:sz w:val="69"/>
        </w:rPr>
      </w:pPr>
    </w:p>
    <w:p>
      <w:pPr>
        <w:spacing w:line="561" w:lineRule="auto"/>
        <w:ind w:right="4717" w:firstLine="5040" w:firstLineChars="600"/>
        <w:jc w:val="both"/>
        <w:rPr>
          <w:rFonts w:hint="eastAsia" w:ascii="黑体" w:eastAsia="黑体"/>
          <w:sz w:val="84"/>
        </w:rPr>
      </w:pPr>
      <w:r>
        <w:rPr>
          <w:rFonts w:hint="eastAsia" w:ascii="黑体" w:eastAsia="黑体"/>
          <w:sz w:val="84"/>
        </w:rPr>
        <w:t>招</w:t>
      </w:r>
    </w:p>
    <w:p>
      <w:pPr>
        <w:pStyle w:val="2"/>
        <w:ind w:left="220" w:leftChars="100" w:firstLine="440" w:firstLineChars="200"/>
        <w:rPr>
          <w:rFonts w:hint="eastAsia"/>
        </w:rPr>
      </w:pPr>
    </w:p>
    <w:p>
      <w:pPr>
        <w:pStyle w:val="2"/>
        <w:rPr>
          <w:rFonts w:hint="eastAsia"/>
        </w:rPr>
      </w:pPr>
    </w:p>
    <w:p>
      <w:pPr>
        <w:spacing w:line="561" w:lineRule="auto"/>
        <w:ind w:left="3353" w:leftChars="1524" w:right="4717" w:firstLine="1680" w:firstLineChars="200"/>
        <w:jc w:val="both"/>
        <w:rPr>
          <w:rFonts w:hint="eastAsia" w:ascii="黑体" w:eastAsia="黑体"/>
          <w:sz w:val="84"/>
        </w:rPr>
      </w:pPr>
      <w:r>
        <w:rPr>
          <w:rFonts w:hint="eastAsia" w:ascii="黑体" w:eastAsia="黑体"/>
          <w:sz w:val="84"/>
        </w:rPr>
        <w:t>标</w:t>
      </w:r>
    </w:p>
    <w:p>
      <w:pPr>
        <w:pStyle w:val="2"/>
        <w:rPr>
          <w:rFonts w:hint="eastAsia"/>
        </w:rPr>
      </w:pPr>
    </w:p>
    <w:p>
      <w:pPr>
        <w:pStyle w:val="2"/>
        <w:rPr>
          <w:rFonts w:hint="eastAsia"/>
        </w:rPr>
      </w:pPr>
    </w:p>
    <w:p>
      <w:pPr>
        <w:spacing w:line="561" w:lineRule="auto"/>
        <w:ind w:left="3353" w:leftChars="1524" w:right="4717" w:firstLine="1680" w:firstLineChars="200"/>
        <w:jc w:val="both"/>
        <w:rPr>
          <w:rFonts w:hint="eastAsia" w:ascii="黑体" w:eastAsia="黑体"/>
          <w:sz w:val="84"/>
        </w:rPr>
      </w:pPr>
      <w:r>
        <w:rPr>
          <w:rFonts w:hint="eastAsia" w:ascii="黑体" w:eastAsia="黑体"/>
          <w:sz w:val="84"/>
        </w:rPr>
        <w:t>书</w:t>
      </w:r>
    </w:p>
    <w:p>
      <w:pPr>
        <w:pStyle w:val="2"/>
      </w:pPr>
    </w:p>
    <w:p>
      <w:pPr>
        <w:pStyle w:val="2"/>
      </w:pPr>
    </w:p>
    <w:p>
      <w:pPr>
        <w:pStyle w:val="2"/>
      </w:pPr>
    </w:p>
    <w:p>
      <w:pPr>
        <w:pStyle w:val="2"/>
      </w:pPr>
    </w:p>
    <w:p>
      <w:pPr>
        <w:autoSpaceDE/>
        <w:autoSpaceDN/>
        <w:jc w:val="center"/>
        <w:rPr>
          <w:rFonts w:hint="eastAsia" w:ascii="宋体" w:hAnsi="宋体" w:cs="Times New Roman"/>
          <w:kern w:val="2"/>
          <w:sz w:val="28"/>
          <w:szCs w:val="28"/>
          <w:lang w:val="en-US" w:bidi="ar-SA"/>
        </w:rPr>
      </w:pPr>
      <w:bookmarkStart w:id="0" w:name="招_标_人：中国重汽集团济南地球村电子商务有限公司"/>
      <w:bookmarkEnd w:id="0"/>
      <w:r>
        <w:rPr>
          <w:rFonts w:hint="eastAsia" w:cs="Times New Roman"/>
          <w:kern w:val="2"/>
          <w:sz w:val="28"/>
          <w:szCs w:val="28"/>
          <w:lang w:val="en-US" w:eastAsia="zh-CN" w:bidi="ar-SA"/>
        </w:rPr>
        <w:t xml:space="preserve">  </w:t>
      </w:r>
      <w:r>
        <w:rPr>
          <w:rFonts w:hint="eastAsia" w:ascii="宋体" w:hAnsi="宋体" w:cs="Times New Roman"/>
          <w:kern w:val="2"/>
          <w:sz w:val="28"/>
          <w:szCs w:val="28"/>
          <w:lang w:val="en-US" w:bidi="ar-SA"/>
        </w:rPr>
        <w:t>招标人：中国重汽集团济南动力有限公司</w:t>
      </w:r>
    </w:p>
    <w:p>
      <w:pPr>
        <w:pStyle w:val="2"/>
        <w:rPr>
          <w:rFonts w:hint="eastAsia"/>
          <w:lang w:val="en-US"/>
        </w:rPr>
      </w:pPr>
    </w:p>
    <w:p>
      <w:pPr>
        <w:autoSpaceDE/>
        <w:autoSpaceDN/>
        <w:jc w:val="center"/>
        <w:rPr>
          <w:rFonts w:hint="eastAsia" w:ascii="宋体" w:hAnsi="宋体" w:cs="Times New Roman"/>
          <w:kern w:val="2"/>
          <w:sz w:val="28"/>
          <w:szCs w:val="28"/>
          <w:lang w:val="en-US" w:bidi="ar-SA"/>
        </w:rPr>
      </w:pPr>
      <w:bookmarkStart w:id="1" w:name="_bookmark0"/>
      <w:bookmarkEnd w:id="1"/>
      <w:r>
        <w:rPr>
          <w:rFonts w:hint="eastAsia" w:cs="Times New Roman"/>
          <w:kern w:val="2"/>
          <w:sz w:val="28"/>
          <w:szCs w:val="28"/>
          <w:lang w:val="en-US" w:eastAsia="zh-CN" w:bidi="ar-SA"/>
        </w:rPr>
        <w:t xml:space="preserve">       </w:t>
      </w:r>
      <w:r>
        <w:rPr>
          <w:rFonts w:hint="eastAsia" w:ascii="宋体" w:hAnsi="宋体" w:cs="Times New Roman"/>
          <w:kern w:val="2"/>
          <w:sz w:val="28"/>
          <w:szCs w:val="28"/>
          <w:lang w:val="en-US" w:bidi="ar-SA"/>
        </w:rPr>
        <w:t>202</w:t>
      </w:r>
      <w:r>
        <w:rPr>
          <w:rFonts w:hint="eastAsia" w:ascii="宋体" w:hAnsi="宋体" w:cs="Times New Roman"/>
          <w:kern w:val="2"/>
          <w:sz w:val="28"/>
          <w:szCs w:val="28"/>
          <w:lang w:val="en-US" w:eastAsia="zh-CN" w:bidi="ar-SA"/>
        </w:rPr>
        <w:t>3</w:t>
      </w:r>
      <w:r>
        <w:rPr>
          <w:rFonts w:hint="eastAsia" w:ascii="宋体" w:hAnsi="宋体" w:cs="Times New Roman"/>
          <w:kern w:val="2"/>
          <w:sz w:val="28"/>
          <w:szCs w:val="28"/>
          <w:lang w:val="en-US" w:bidi="ar-SA"/>
        </w:rPr>
        <w:t>年8月</w:t>
      </w:r>
    </w:p>
    <w:p>
      <w:pPr>
        <w:pStyle w:val="4"/>
        <w:keepNext w:val="0"/>
        <w:keepLines w:val="0"/>
        <w:pageBreakBefore w:val="0"/>
        <w:widowControl w:val="0"/>
        <w:kinsoku/>
        <w:wordWrap/>
        <w:overflowPunct/>
        <w:topLinePunct w:val="0"/>
        <w:bidi w:val="0"/>
        <w:adjustRightInd/>
        <w:snapToGrid/>
        <w:spacing w:line="480" w:lineRule="auto"/>
        <w:ind w:firstLine="3602" w:firstLineChars="1000"/>
        <w:jc w:val="both"/>
        <w:textAlignment w:val="auto"/>
        <w:rPr>
          <w:rFonts w:hint="eastAsia" w:ascii="黑体" w:hAnsi="黑体" w:cs="黑体"/>
          <w:sz w:val="36"/>
          <w:szCs w:val="36"/>
        </w:rPr>
      </w:pPr>
      <w:bookmarkStart w:id="2" w:name="_Toc10006"/>
      <w:r>
        <w:rPr>
          <w:rFonts w:hint="eastAsia" w:ascii="黑体" w:hAnsi="黑体" w:cs="黑体"/>
          <w:sz w:val="36"/>
          <w:szCs w:val="36"/>
        </w:rPr>
        <w:t>第一章  招标公告</w:t>
      </w:r>
      <w:bookmarkEnd w:id="2"/>
    </w:p>
    <w:p>
      <w:pPr>
        <w:pStyle w:val="11"/>
        <w:keepNext w:val="0"/>
        <w:keepLines w:val="0"/>
        <w:pageBreakBefore w:val="0"/>
        <w:widowControl w:val="0"/>
        <w:kinsoku/>
        <w:wordWrap/>
        <w:overflowPunct/>
        <w:topLinePunct w:val="0"/>
        <w:bidi w:val="0"/>
        <w:adjustRightInd/>
        <w:snapToGrid/>
        <w:spacing w:line="360" w:lineRule="auto"/>
        <w:ind w:left="0" w:leftChars="0" w:firstLine="643" w:firstLineChars="200"/>
        <w:textAlignment w:val="auto"/>
        <w:rPr>
          <w:rFonts w:hint="eastAsia" w:ascii="楷体" w:hAnsi="楷体" w:eastAsia="楷体" w:cs="楷体"/>
          <w:b/>
          <w:bCs/>
          <w:sz w:val="28"/>
        </w:rPr>
      </w:pPr>
      <w:r>
        <w:rPr>
          <w:rFonts w:hint="eastAsia" w:ascii="楷体" w:hAnsi="楷体" w:eastAsia="楷体" w:cs="楷体"/>
          <w:b/>
          <w:bCs/>
          <w:sz w:val="32"/>
          <w:szCs w:val="32"/>
        </w:rPr>
        <w:t>一、项目名称</w:t>
      </w:r>
    </w:p>
    <w:p>
      <w:pPr>
        <w:keepNext w:val="0"/>
        <w:keepLines w:val="0"/>
        <w:pageBreakBefore w:val="0"/>
        <w:widowControl w:val="0"/>
        <w:kinsoku/>
        <w:wordWrap/>
        <w:overflowPunct/>
        <w:topLinePunct w:val="0"/>
        <w:bidi w:val="0"/>
        <w:adjustRightInd/>
        <w:snapToGrid/>
        <w:spacing w:line="360" w:lineRule="auto"/>
        <w:ind w:firstLine="1400" w:firstLineChars="500"/>
        <w:textAlignment w:val="auto"/>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 w:val="0"/>
          <w:bCs/>
          <w:kern w:val="2"/>
          <w:sz w:val="28"/>
          <w:szCs w:val="28"/>
          <w:lang w:val="en-US" w:eastAsia="zh-CN" w:bidi="ar-SA"/>
        </w:rPr>
        <w:t>研发零部件运输项目（</w:t>
      </w:r>
      <w:r>
        <w:rPr>
          <w:rFonts w:hint="eastAsia" w:ascii="仿宋_GB2312" w:hAnsi="仿宋_GB2312" w:eastAsia="仿宋_GB2312" w:cs="仿宋_GB2312"/>
          <w:bCs/>
          <w:kern w:val="2"/>
          <w:sz w:val="28"/>
          <w:szCs w:val="28"/>
          <w:lang w:val="en-US" w:eastAsia="zh-CN"/>
        </w:rPr>
        <w:t>项目编号：</w:t>
      </w:r>
      <w:r>
        <w:rPr>
          <w:rFonts w:hint="eastAsia" w:ascii="仿宋_GB2312" w:hAnsi="仿宋_GB2312" w:eastAsia="仿宋_GB2312" w:cs="仿宋_GB2312"/>
          <w:bCs/>
          <w:i w:val="0"/>
          <w:iCs w:val="0"/>
          <w:caps w:val="0"/>
          <w:spacing w:val="0"/>
          <w:kern w:val="2"/>
          <w:sz w:val="28"/>
          <w:szCs w:val="28"/>
          <w:shd w:val="clear"/>
          <w:lang w:eastAsia="zh-CN"/>
        </w:rPr>
        <w:t>CGZX2023080212</w:t>
      </w:r>
      <w:r>
        <w:rPr>
          <w:rFonts w:hint="eastAsia" w:ascii="仿宋_GB2312" w:hAnsi="仿宋_GB2312" w:eastAsia="仿宋_GB2312" w:cs="仿宋_GB2312"/>
          <w:bCs/>
          <w:i w:val="0"/>
          <w:iCs w:val="0"/>
          <w:caps w:val="0"/>
          <w:spacing w:val="0"/>
          <w:kern w:val="2"/>
          <w:sz w:val="28"/>
          <w:szCs w:val="28"/>
          <w:shd w:val="clear"/>
          <w:lang w:val="en-US" w:eastAsia="zh-CN"/>
        </w:rPr>
        <w:t xml:space="preserve"> ）</w:t>
      </w:r>
    </w:p>
    <w:p>
      <w:pPr>
        <w:keepNext w:val="0"/>
        <w:keepLines w:val="0"/>
        <w:pageBreakBefore w:val="0"/>
        <w:widowControl w:val="0"/>
        <w:kinsoku/>
        <w:wordWrap/>
        <w:overflowPunct/>
        <w:topLinePunct w:val="0"/>
        <w:bidi w:val="0"/>
        <w:adjustRightInd/>
        <w:snapToGrid/>
        <w:spacing w:line="360" w:lineRule="auto"/>
        <w:ind w:left="319" w:leftChars="145" w:firstLine="321" w:firstLineChars="1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二、招标内容</w:t>
      </w:r>
    </w:p>
    <w:p>
      <w:pPr>
        <w:pStyle w:val="10"/>
        <w:keepNext w:val="0"/>
        <w:keepLines w:val="0"/>
        <w:pageBreakBefore w:val="0"/>
        <w:widowControl w:val="0"/>
        <w:kinsoku/>
        <w:wordWrap/>
        <w:overflowPunct/>
        <w:topLinePunct w:val="0"/>
        <w:bidi w:val="0"/>
        <w:adjustRightInd/>
        <w:snapToGrid/>
        <w:spacing w:before="111" w:line="360" w:lineRule="auto"/>
        <w:ind w:firstLine="1400" w:firstLineChars="500"/>
        <w:textAlignment w:val="auto"/>
        <w:rPr>
          <w:rFonts w:hint="default"/>
          <w:lang w:val="en-US"/>
        </w:rPr>
      </w:pPr>
      <w:r>
        <w:rPr>
          <w:rFonts w:hint="eastAsia" w:ascii="仿宋_GB2312" w:hAnsi="仿宋_GB2312" w:eastAsia="仿宋_GB2312" w:cs="仿宋_GB2312"/>
          <w:b w:val="0"/>
          <w:bCs/>
          <w:kern w:val="2"/>
          <w:sz w:val="28"/>
          <w:szCs w:val="28"/>
          <w:lang w:val="en-US" w:eastAsia="zh-CN" w:bidi="ar-SA"/>
        </w:rPr>
        <w:t>招标内容：研发单位研发零部件的运输路线。</w:t>
      </w:r>
    </w:p>
    <w:p>
      <w:pPr>
        <w:keepNext w:val="0"/>
        <w:keepLines w:val="0"/>
        <w:pageBreakBefore w:val="0"/>
        <w:widowControl w:val="0"/>
        <w:kinsoku/>
        <w:wordWrap/>
        <w:overflowPunct/>
        <w:topLinePunct w:val="0"/>
        <w:bidi w:val="0"/>
        <w:adjustRightInd/>
        <w:snapToGrid/>
        <w:spacing w:line="360" w:lineRule="auto"/>
        <w:ind w:left="319" w:leftChars="145" w:firstLine="321" w:firstLineChars="100"/>
        <w:textAlignment w:val="auto"/>
        <w:rPr>
          <w:rFonts w:hint="eastAsia" w:ascii="楷体" w:hAnsi="楷体" w:eastAsia="楷体" w:cs="楷体"/>
          <w:b/>
          <w:bCs/>
          <w:kern w:val="2"/>
          <w:sz w:val="32"/>
          <w:szCs w:val="32"/>
          <w:lang w:val="en-US" w:eastAsia="zh-CN" w:bidi="ar-SA"/>
        </w:rPr>
      </w:pPr>
      <w:bookmarkStart w:id="3" w:name="三、招标形式"/>
      <w:bookmarkEnd w:id="3"/>
      <w:r>
        <w:rPr>
          <w:rFonts w:hint="eastAsia" w:ascii="楷体" w:hAnsi="楷体" w:eastAsia="楷体" w:cs="楷体"/>
          <w:b/>
          <w:bCs/>
          <w:kern w:val="2"/>
          <w:sz w:val="32"/>
          <w:szCs w:val="32"/>
          <w:lang w:val="en-US" w:eastAsia="zh-CN" w:bidi="ar-SA"/>
        </w:rPr>
        <w:t>三、招标形式</w:t>
      </w:r>
    </w:p>
    <w:p>
      <w:pPr>
        <w:pStyle w:val="10"/>
        <w:keepNext w:val="0"/>
        <w:keepLines w:val="0"/>
        <w:pageBreakBefore w:val="0"/>
        <w:widowControl w:val="0"/>
        <w:kinsoku/>
        <w:wordWrap/>
        <w:overflowPunct/>
        <w:topLinePunct w:val="0"/>
        <w:bidi w:val="0"/>
        <w:adjustRightInd/>
        <w:snapToGrid/>
        <w:spacing w:before="99" w:line="360" w:lineRule="auto"/>
        <w:ind w:firstLine="1400" w:firstLineChars="500"/>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sz w:val="28"/>
          <w:szCs w:val="28"/>
        </w:rPr>
        <w:t>招</w:t>
      </w:r>
      <w:r>
        <w:rPr>
          <w:rFonts w:hint="eastAsia" w:ascii="仿宋_GB2312" w:hAnsi="仿宋_GB2312" w:eastAsia="仿宋_GB2312" w:cs="仿宋_GB2312"/>
          <w:b w:val="0"/>
          <w:bCs/>
          <w:kern w:val="2"/>
          <w:sz w:val="28"/>
          <w:szCs w:val="28"/>
          <w:lang w:val="en-US" w:eastAsia="zh-CN" w:bidi="ar-SA"/>
        </w:rPr>
        <w:t>标形式：公开招标。</w:t>
      </w:r>
    </w:p>
    <w:p>
      <w:pPr>
        <w:pStyle w:val="5"/>
        <w:numPr>
          <w:ilvl w:val="0"/>
          <w:numId w:val="1"/>
        </w:numPr>
        <w:spacing w:line="360" w:lineRule="auto"/>
        <w:ind w:left="218" w:leftChars="99" w:firstLine="443" w:firstLineChars="138"/>
        <w:rPr>
          <w:rFonts w:hint="eastAsia" w:ascii="楷体" w:hAnsi="楷体" w:eastAsia="楷体" w:cs="楷体"/>
          <w:b/>
          <w:bCs/>
          <w:kern w:val="2"/>
          <w:sz w:val="32"/>
          <w:szCs w:val="32"/>
          <w:lang w:val="en-US" w:eastAsia="zh-CN" w:bidi="ar-SA"/>
        </w:rPr>
      </w:pPr>
      <w:bookmarkStart w:id="4" w:name="四、议程安排"/>
      <w:bookmarkEnd w:id="4"/>
      <w:r>
        <w:rPr>
          <w:rFonts w:hint="eastAsia" w:ascii="楷体" w:hAnsi="楷体" w:eastAsia="楷体" w:cs="楷体"/>
          <w:b/>
          <w:bCs/>
          <w:kern w:val="2"/>
          <w:sz w:val="32"/>
          <w:szCs w:val="32"/>
          <w:lang w:val="en-US" w:eastAsia="zh-CN" w:bidi="ar-SA"/>
        </w:rPr>
        <w:t>议程安排</w:t>
      </w:r>
    </w:p>
    <w:p>
      <w:pPr>
        <w:pStyle w:val="2"/>
        <w:keepNext w:val="0"/>
        <w:keepLines w:val="0"/>
        <w:pageBreakBefore w:val="0"/>
        <w:widowControl w:val="0"/>
        <w:kinsoku/>
        <w:wordWrap/>
        <w:overflowPunct/>
        <w:topLinePunct w:val="0"/>
        <w:autoSpaceDE/>
        <w:autoSpaceDN/>
        <w:bidi w:val="0"/>
        <w:adjustRightInd/>
        <w:snapToGrid/>
        <w:ind w:left="0" w:leftChars="0" w:firstLine="996" w:firstLineChars="356"/>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1.发标时间：2023年8月18日</w:t>
      </w:r>
    </w:p>
    <w:p>
      <w:pPr>
        <w:pStyle w:val="2"/>
        <w:keepNext w:val="0"/>
        <w:keepLines w:val="0"/>
        <w:pageBreakBefore w:val="0"/>
        <w:widowControl w:val="0"/>
        <w:kinsoku/>
        <w:wordWrap/>
        <w:overflowPunct/>
        <w:topLinePunct w:val="0"/>
        <w:autoSpaceDE/>
        <w:autoSpaceDN/>
        <w:bidi w:val="0"/>
        <w:adjustRightInd/>
        <w:snapToGrid/>
        <w:ind w:left="0" w:leftChars="0" w:firstLine="935" w:firstLineChars="334"/>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发标方式：</w:t>
      </w:r>
    </w:p>
    <w:p>
      <w:pPr>
        <w:pStyle w:val="2"/>
        <w:keepNext w:val="0"/>
        <w:keepLines w:val="0"/>
        <w:pageBreakBefore w:val="0"/>
        <w:widowControl w:val="0"/>
        <w:kinsoku/>
        <w:wordWrap/>
        <w:overflowPunct/>
        <w:topLinePunct w:val="0"/>
        <w:autoSpaceDE/>
        <w:autoSpaceDN/>
        <w:bidi w:val="0"/>
        <w:adjustRightInd/>
        <w:snapToGrid/>
        <w:ind w:left="0" w:leftChars="0" w:right="220" w:rightChars="100" w:firstLine="879" w:firstLineChars="314"/>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（1）重汽官方网站：</w:t>
      </w:r>
    </w:p>
    <w:p>
      <w:pPr>
        <w:pStyle w:val="2"/>
        <w:keepNext w:val="0"/>
        <w:keepLines w:val="0"/>
        <w:pageBreakBefore w:val="0"/>
        <w:widowControl w:val="0"/>
        <w:kinsoku/>
        <w:wordWrap/>
        <w:overflowPunct/>
        <w:topLinePunct w:val="0"/>
        <w:autoSpaceDE/>
        <w:autoSpaceDN/>
        <w:bidi w:val="0"/>
        <w:adjustRightInd/>
        <w:snapToGrid/>
        <w:ind w:left="440" w:leftChars="200" w:firstLine="1050" w:firstLineChars="375"/>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color w:val="auto"/>
          <w:sz w:val="28"/>
          <w:szCs w:val="28"/>
          <w:u w:val="none"/>
          <w:lang w:val="en-US" w:eastAsia="zh-CN"/>
        </w:rPr>
        <w:t>http://www.cnhtc.com.cn/View/NewsLists.aspx?key=29</w:t>
      </w:r>
    </w:p>
    <w:p>
      <w:pPr>
        <w:pStyle w:val="2"/>
        <w:keepNext w:val="0"/>
        <w:keepLines w:val="0"/>
        <w:pageBreakBefore w:val="0"/>
        <w:widowControl w:val="0"/>
        <w:kinsoku/>
        <w:wordWrap/>
        <w:overflowPunct/>
        <w:topLinePunct w:val="0"/>
        <w:autoSpaceDE/>
        <w:autoSpaceDN/>
        <w:bidi w:val="0"/>
        <w:adjustRightInd/>
        <w:snapToGrid/>
        <w:ind w:left="0" w:leftChars="0" w:firstLine="1495" w:firstLineChars="534"/>
        <w:jc w:val="both"/>
        <w:textAlignment w:val="auto"/>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联 系 人：</w:t>
      </w:r>
      <w:r>
        <w:rPr>
          <w:rFonts w:hint="eastAsia" w:ascii="仿宋_GB2312" w:hAnsi="仿宋_GB2312" w:eastAsia="仿宋_GB2312" w:cs="仿宋_GB2312"/>
          <w:b w:val="0"/>
          <w:bCs w:val="0"/>
          <w:sz w:val="28"/>
          <w:szCs w:val="28"/>
          <w:lang w:val="en-US" w:eastAsia="zh-CN"/>
        </w:rPr>
        <w:t>赵莹</w:t>
      </w:r>
    </w:p>
    <w:p>
      <w:pPr>
        <w:pStyle w:val="2"/>
        <w:keepNext w:val="0"/>
        <w:keepLines w:val="0"/>
        <w:pageBreakBefore w:val="0"/>
        <w:widowControl w:val="0"/>
        <w:kinsoku/>
        <w:wordWrap/>
        <w:overflowPunct/>
        <w:topLinePunct w:val="0"/>
        <w:autoSpaceDE/>
        <w:autoSpaceDN/>
        <w:bidi w:val="0"/>
        <w:adjustRightInd/>
        <w:snapToGrid/>
        <w:ind w:left="0" w:leftChars="0" w:firstLine="1495" w:firstLineChars="534"/>
        <w:jc w:val="both"/>
        <w:textAlignment w:val="auto"/>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联系电话：</w:t>
      </w:r>
      <w:r>
        <w:rPr>
          <w:rFonts w:hint="eastAsia" w:ascii="仿宋_GB2312" w:hAnsi="仿宋_GB2312" w:eastAsia="仿宋_GB2312" w:cs="仿宋_GB2312"/>
          <w:b w:val="0"/>
          <w:bCs w:val="0"/>
          <w:sz w:val="28"/>
          <w:szCs w:val="28"/>
          <w:lang w:val="en-US" w:eastAsia="zh-CN"/>
        </w:rPr>
        <w:t>13791036243</w:t>
      </w:r>
    </w:p>
    <w:p>
      <w:pPr>
        <w:pStyle w:val="2"/>
        <w:keepNext w:val="0"/>
        <w:keepLines w:val="0"/>
        <w:pageBreakBefore w:val="0"/>
        <w:widowControl w:val="0"/>
        <w:kinsoku/>
        <w:wordWrap/>
        <w:overflowPunct/>
        <w:topLinePunct w:val="0"/>
        <w:autoSpaceDE/>
        <w:autoSpaceDN/>
        <w:bidi w:val="0"/>
        <w:adjustRightInd/>
        <w:snapToGrid/>
        <w:ind w:left="0" w:leftChars="0" w:firstLine="996" w:firstLineChars="356"/>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val="en-US" w:eastAsia="zh-CN"/>
        </w:rPr>
        <w:t>答疑时间：2023年</w:t>
      </w:r>
      <w:r>
        <w:rPr>
          <w:rFonts w:hint="eastAsia" w:ascii="仿宋_GB2312" w:hAnsi="仿宋_GB2312" w:eastAsia="仿宋_GB2312" w:cs="仿宋_GB2312"/>
          <w:b w:val="0"/>
          <w:bCs w:val="0"/>
          <w:sz w:val="28"/>
          <w:szCs w:val="28"/>
          <w:lang w:val="en-US" w:eastAsia="zh-CN"/>
        </w:rPr>
        <w:t>9月3日17点前</w:t>
      </w:r>
    </w:p>
    <w:p>
      <w:pPr>
        <w:pStyle w:val="2"/>
        <w:keepNext w:val="0"/>
        <w:keepLines w:val="0"/>
        <w:pageBreakBefore w:val="0"/>
        <w:widowControl w:val="0"/>
        <w:kinsoku/>
        <w:wordWrap/>
        <w:overflowPunct/>
        <w:topLinePunct w:val="0"/>
        <w:autoSpaceDE/>
        <w:autoSpaceDN/>
        <w:bidi w:val="0"/>
        <w:adjustRightInd/>
        <w:snapToGrid/>
        <w:ind w:left="0" w:leftChars="0" w:firstLine="1215" w:firstLineChars="434"/>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答疑方式：书面及邮件（电话不受理）</w:t>
      </w:r>
    </w:p>
    <w:p>
      <w:pPr>
        <w:pStyle w:val="2"/>
        <w:keepNext w:val="0"/>
        <w:keepLines w:val="0"/>
        <w:pageBreakBefore w:val="0"/>
        <w:widowControl w:val="0"/>
        <w:kinsoku/>
        <w:wordWrap/>
        <w:overflowPunct/>
        <w:topLinePunct w:val="0"/>
        <w:autoSpaceDE/>
        <w:autoSpaceDN/>
        <w:bidi w:val="0"/>
        <w:adjustRightInd/>
        <w:snapToGrid/>
        <w:ind w:left="0" w:leftChars="0" w:firstLine="1215" w:firstLineChars="434"/>
        <w:jc w:val="both"/>
        <w:textAlignment w:val="auto"/>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联 系 人：</w:t>
      </w:r>
      <w:r>
        <w:rPr>
          <w:rFonts w:hint="eastAsia" w:ascii="仿宋_GB2312" w:hAnsi="仿宋_GB2312" w:eastAsia="仿宋_GB2312" w:cs="仿宋_GB2312"/>
          <w:b w:val="0"/>
          <w:bCs w:val="0"/>
          <w:sz w:val="28"/>
          <w:szCs w:val="28"/>
          <w:lang w:val="en-US" w:eastAsia="zh-CN"/>
        </w:rPr>
        <w:t>赵 莹</w:t>
      </w:r>
    </w:p>
    <w:p>
      <w:pPr>
        <w:pStyle w:val="2"/>
        <w:keepNext w:val="0"/>
        <w:keepLines w:val="0"/>
        <w:pageBreakBefore w:val="0"/>
        <w:widowControl w:val="0"/>
        <w:kinsoku/>
        <w:wordWrap/>
        <w:overflowPunct/>
        <w:topLinePunct w:val="0"/>
        <w:autoSpaceDE/>
        <w:autoSpaceDN/>
        <w:bidi w:val="0"/>
        <w:adjustRightInd/>
        <w:snapToGrid/>
        <w:ind w:left="0" w:leftChars="0" w:firstLine="1215" w:firstLineChars="434"/>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邮    箱：</w:t>
      </w:r>
      <w:r>
        <w:rPr>
          <w:rFonts w:hint="eastAsia" w:ascii="仿宋_GB2312" w:hAnsi="仿宋_GB2312" w:eastAsia="仿宋_GB2312" w:cs="仿宋_GB2312"/>
          <w:b w:val="0"/>
          <w:bCs w:val="0"/>
          <w:sz w:val="28"/>
          <w:szCs w:val="28"/>
          <w:lang w:val="en-US" w:eastAsia="zh-CN"/>
        </w:rPr>
        <w:t>zhaoying@sinotruk.com</w:t>
      </w:r>
    </w:p>
    <w:p>
      <w:pPr>
        <w:pStyle w:val="2"/>
        <w:keepNext w:val="0"/>
        <w:keepLines w:val="0"/>
        <w:pageBreakBefore w:val="0"/>
        <w:widowControl w:val="0"/>
        <w:kinsoku/>
        <w:wordWrap/>
        <w:overflowPunct/>
        <w:topLinePunct w:val="0"/>
        <w:autoSpaceDE/>
        <w:autoSpaceDN/>
        <w:bidi w:val="0"/>
        <w:adjustRightInd/>
        <w:snapToGrid/>
        <w:ind w:right="-220" w:rightChars="-1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3.注册重汽e采通账号进行项目应标，注册账号网址为：http://ecaitong.sinotruk.com:8012/#/login（已注册过重汽e采通账号的，可以通过原注册账号进行登陆应标）。</w:t>
      </w:r>
    </w:p>
    <w:p>
      <w:pPr>
        <w:pStyle w:val="2"/>
        <w:keepNext w:val="0"/>
        <w:keepLines w:val="0"/>
        <w:pageBreakBefore w:val="0"/>
        <w:widowControl w:val="0"/>
        <w:tabs>
          <w:tab w:val="left" w:pos="0"/>
        </w:tabs>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4.“应标”截止时间：2023年9月1日17点以前，在重汽e采通网站内，找到本项目进行“应标”操作，规定时间未进行“应标”操作将无法参标。</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“应标”所上传资料：</w:t>
      </w:r>
    </w:p>
    <w:p>
      <w:pPr>
        <w:pStyle w:val="2"/>
        <w:keepNext w:val="0"/>
        <w:keepLines w:val="0"/>
        <w:pageBreakBefore w:val="0"/>
        <w:widowControl w:val="0"/>
        <w:kinsoku/>
        <w:wordWrap/>
        <w:overflowPunct/>
        <w:topLinePunct w:val="0"/>
        <w:autoSpaceDE/>
        <w:autoSpaceDN/>
        <w:bidi w:val="0"/>
        <w:adjustRightInd/>
        <w:snapToGrid/>
        <w:ind w:left="0" w:leftChars="0" w:firstLine="719" w:firstLineChars="257"/>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（1）企业资质：营业执照及其他资质证明；</w:t>
      </w:r>
    </w:p>
    <w:p>
      <w:pPr>
        <w:pStyle w:val="2"/>
        <w:keepNext w:val="0"/>
        <w:keepLines w:val="0"/>
        <w:pageBreakBefore w:val="0"/>
        <w:widowControl w:val="0"/>
        <w:kinsoku/>
        <w:wordWrap/>
        <w:overflowPunct/>
        <w:topLinePunct w:val="0"/>
        <w:autoSpaceDE/>
        <w:autoSpaceDN/>
        <w:bidi w:val="0"/>
        <w:adjustRightInd/>
        <w:snapToGrid/>
        <w:ind w:left="0" w:leftChars="0" w:firstLine="719" w:firstLineChars="257"/>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（2）企业简介：PDF版企业简介；</w:t>
      </w:r>
    </w:p>
    <w:p>
      <w:pPr>
        <w:pStyle w:val="2"/>
        <w:keepNext w:val="0"/>
        <w:keepLines w:val="0"/>
        <w:pageBreakBefore w:val="0"/>
        <w:widowControl w:val="0"/>
        <w:kinsoku/>
        <w:wordWrap/>
        <w:overflowPunct/>
        <w:topLinePunct w:val="0"/>
        <w:autoSpaceDE/>
        <w:autoSpaceDN/>
        <w:bidi w:val="0"/>
        <w:adjustRightInd/>
        <w:snapToGrid/>
        <w:ind w:left="0" w:leftChars="0" w:firstLine="719" w:firstLineChars="257"/>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（3）企业业绩：相关业绩合同；</w:t>
      </w:r>
    </w:p>
    <w:p>
      <w:pPr>
        <w:pStyle w:val="2"/>
        <w:keepNext w:val="0"/>
        <w:keepLines w:val="0"/>
        <w:pageBreakBefore w:val="0"/>
        <w:widowControl w:val="0"/>
        <w:kinsoku/>
        <w:wordWrap/>
        <w:overflowPunct/>
        <w:topLinePunct w:val="0"/>
        <w:autoSpaceDE/>
        <w:autoSpaceDN/>
        <w:bidi w:val="0"/>
        <w:adjustRightInd/>
        <w:snapToGrid/>
        <w:ind w:left="0" w:leftChars="0" w:firstLine="719" w:firstLineChars="257"/>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（4）其他：投标报名表</w:t>
      </w:r>
    </w:p>
    <w:p>
      <w:pPr>
        <w:pStyle w:val="2"/>
        <w:keepNext w:val="0"/>
        <w:keepLines w:val="0"/>
        <w:pageBreakBefore w:val="0"/>
        <w:widowControl w:val="0"/>
        <w:kinsoku/>
        <w:wordWrap/>
        <w:overflowPunct/>
        <w:topLinePunct w:val="0"/>
        <w:autoSpaceDE/>
        <w:autoSpaceDN/>
        <w:bidi w:val="0"/>
        <w:adjustRightInd/>
        <w:snapToGrid/>
        <w:ind w:left="458" w:leftChars="208" w:firstLine="663" w:firstLineChars="236"/>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备注：提供上述资料均须加盖单位公章，以PDF的形式在规定时间内上传至重汽e采通内。</w:t>
      </w:r>
    </w:p>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应标”后，招标方进行资料审核，如“应标”资质不符合要求，“淘汰”；如“应标”资料不完整，“驳回”，补充资料，被“驳回”的单位，应在“应标”时间截止前补充完资料上传，否则视为“淘汰”；如资料无问题，视为“应标”成功，开放“投标”环节。</w:t>
      </w:r>
    </w:p>
    <w:p>
      <w:pPr>
        <w:pStyle w:val="2"/>
        <w:keepNext w:val="0"/>
        <w:keepLines w:val="0"/>
        <w:pageBreakBefore w:val="0"/>
        <w:widowControl w:val="0"/>
        <w:kinsoku/>
        <w:wordWrap/>
        <w:overflowPunct/>
        <w:topLinePunct w:val="0"/>
        <w:autoSpaceDE/>
        <w:autoSpaceDN/>
        <w:bidi w:val="0"/>
        <w:adjustRightInd/>
        <w:snapToGrid/>
        <w:ind w:left="0" w:leftChars="0" w:firstLine="1124" w:firstLineChars="4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备注：“淘汰”、“驳回”不予做任何解释。</w:t>
      </w:r>
    </w:p>
    <w:p>
      <w:pPr>
        <w:pStyle w:val="2"/>
        <w:keepNext w:val="0"/>
        <w:keepLines w:val="0"/>
        <w:pageBreakBefore w:val="0"/>
        <w:widowControl w:val="0"/>
        <w:kinsoku/>
        <w:wordWrap/>
        <w:overflowPunct/>
        <w:topLinePunct w:val="0"/>
        <w:autoSpaceDE/>
        <w:autoSpaceDN/>
        <w:bidi w:val="0"/>
        <w:adjustRightInd/>
        <w:snapToGrid/>
        <w:ind w:left="440" w:leftChars="200" w:firstLine="554" w:firstLineChars="198"/>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投标”截止时间：2023年9月4日17点以前，在重汽e采通网站内，招标单位对投标单位进行资质初审，合格单位开放“投标”，不合格单位资料退回（不予做任何解释），投标单位进行“投标”操作，规定时间未进行“投标”操作将无法参标。</w:t>
      </w:r>
    </w:p>
    <w:p>
      <w:pPr>
        <w:pStyle w:val="2"/>
        <w:keepNext w:val="0"/>
        <w:keepLines w:val="0"/>
        <w:pageBreakBefore w:val="0"/>
        <w:widowControl w:val="0"/>
        <w:kinsoku/>
        <w:wordWrap/>
        <w:overflowPunct/>
        <w:topLinePunct w:val="0"/>
        <w:autoSpaceDE/>
        <w:autoSpaceDN/>
        <w:bidi w:val="0"/>
        <w:adjustRightInd/>
        <w:snapToGrid/>
        <w:ind w:left="440" w:leftChars="200"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7.“投标”时，请将投标内容以PDF的形式上传，并加盖公章。</w:t>
      </w:r>
    </w:p>
    <w:p>
      <w:pPr>
        <w:pStyle w:val="2"/>
        <w:keepNext w:val="0"/>
        <w:keepLines w:val="0"/>
        <w:pageBreakBefore w:val="0"/>
        <w:widowControl w:val="0"/>
        <w:kinsoku/>
        <w:wordWrap/>
        <w:overflowPunct/>
        <w:topLinePunct w:val="0"/>
        <w:autoSpaceDE/>
        <w:autoSpaceDN/>
        <w:bidi w:val="0"/>
        <w:adjustRightInd/>
        <w:snapToGrid/>
        <w:ind w:left="440" w:leftChars="200" w:firstLine="439" w:firstLineChars="157"/>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（1）公司简介；营业执照副本复印件；投标函；法人代表授权书原件；投标认为需提供的其他资质证明；主要技术状态说明；投标单位需提供近三年审计报告；投标单位三年内无违法及重大违规记录证明；</w:t>
      </w:r>
    </w:p>
    <w:p>
      <w:pPr>
        <w:pStyle w:val="2"/>
        <w:keepNext w:val="0"/>
        <w:keepLines w:val="0"/>
        <w:pageBreakBefore w:val="0"/>
        <w:widowControl w:val="0"/>
        <w:kinsoku/>
        <w:wordWrap/>
        <w:overflowPunct/>
        <w:topLinePunct w:val="0"/>
        <w:autoSpaceDE/>
        <w:autoSpaceDN/>
        <w:bidi w:val="0"/>
        <w:adjustRightInd/>
        <w:snapToGrid/>
        <w:ind w:left="0" w:leftChars="0" w:firstLine="840" w:firstLineChars="3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（2）报价单；</w:t>
      </w:r>
    </w:p>
    <w:p>
      <w:pPr>
        <w:pStyle w:val="2"/>
        <w:keepNext w:val="0"/>
        <w:keepLines w:val="0"/>
        <w:pageBreakBefore w:val="0"/>
        <w:widowControl w:val="0"/>
        <w:kinsoku/>
        <w:wordWrap/>
        <w:overflowPunct/>
        <w:topLinePunct w:val="0"/>
        <w:autoSpaceDE/>
        <w:autoSpaceDN/>
        <w:bidi w:val="0"/>
        <w:adjustRightInd/>
        <w:snapToGrid/>
        <w:ind w:left="0" w:leftChars="0" w:firstLine="840" w:firstLineChars="3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（3）投标保证金银行回执单。</w:t>
      </w:r>
    </w:p>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备注：提供上述资料均须加盖单位公章，以PDF的形式在规定时间内上传至重汽e采通内。</w:t>
      </w:r>
    </w:p>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8.开标时间：</w:t>
      </w:r>
    </w:p>
    <w:p>
      <w:pPr>
        <w:pStyle w:val="2"/>
        <w:keepNext w:val="0"/>
        <w:keepLines w:val="0"/>
        <w:pageBreakBefore w:val="0"/>
        <w:widowControl w:val="0"/>
        <w:kinsoku/>
        <w:wordWrap/>
        <w:overflowPunct/>
        <w:topLinePunct w:val="0"/>
        <w:autoSpaceDE/>
        <w:autoSpaceDN/>
        <w:bidi w:val="0"/>
        <w:adjustRightInd/>
        <w:snapToGrid/>
        <w:ind w:left="440" w:leftChars="200" w:firstLine="436" w:firstLineChars="156"/>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（1）开标时间：2023年9月5日(具体开标以实际电话通知为准，请留好联系方式)</w:t>
      </w:r>
    </w:p>
    <w:p>
      <w:pPr>
        <w:pStyle w:val="2"/>
        <w:keepNext w:val="0"/>
        <w:keepLines w:val="0"/>
        <w:pageBreakBefore w:val="0"/>
        <w:widowControl w:val="0"/>
        <w:kinsoku/>
        <w:wordWrap/>
        <w:overflowPunct/>
        <w:topLinePunct w:val="0"/>
        <w:autoSpaceDE/>
        <w:autoSpaceDN/>
        <w:bidi w:val="0"/>
        <w:adjustRightInd/>
        <w:snapToGrid/>
        <w:ind w:left="440" w:leftChars="200" w:firstLine="655" w:firstLineChars="234"/>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开标地点：山东省济南市历城区世纪大道7777号重汽工业园4号门济南变速箱西大厅231会议室</w:t>
      </w:r>
    </w:p>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备注：开标时，参标人员及单位自带能够上网的笔记本电脑，请提前调试好笔记本电脑，商务标报价采取网上标价的形式，在有效时间内未进行报价，视为弃权。</w:t>
      </w:r>
    </w:p>
    <w:p>
      <w:pPr>
        <w:pStyle w:val="11"/>
        <w:spacing w:line="360" w:lineRule="auto"/>
        <w:ind w:left="0" w:leftChars="0" w:firstLine="440" w:firstLineChars="137"/>
        <w:rPr>
          <w:rFonts w:hint="eastAsia" w:ascii="楷体_GB2312" w:hAnsi="楷体_GB2312" w:eastAsia="楷体_GB2312" w:cs="楷体_GB2312"/>
          <w:b/>
          <w:bCs/>
          <w:sz w:val="28"/>
          <w:lang w:eastAsia="zh-CN"/>
        </w:rPr>
      </w:pPr>
      <w:r>
        <w:rPr>
          <w:rFonts w:hint="eastAsia" w:ascii="楷体" w:hAnsi="楷体" w:eastAsia="楷体" w:cs="楷体"/>
          <w:b/>
          <w:bCs/>
          <w:kern w:val="2"/>
          <w:sz w:val="32"/>
          <w:szCs w:val="32"/>
          <w:lang w:val="en-US" w:eastAsia="zh-CN" w:bidi="ar-SA"/>
        </w:rPr>
        <w:t>五、</w:t>
      </w:r>
      <w:r>
        <w:rPr>
          <w:rFonts w:hint="eastAsia" w:ascii="楷体_GB2312" w:hAnsi="楷体_GB2312" w:eastAsia="楷体_GB2312" w:cs="楷体_GB2312"/>
          <w:b/>
          <w:bCs/>
          <w:sz w:val="28"/>
        </w:rPr>
        <w:t>投标</w:t>
      </w:r>
      <w:r>
        <w:rPr>
          <w:rFonts w:hint="eastAsia" w:ascii="楷体_GB2312" w:hAnsi="楷体_GB2312" w:eastAsia="楷体_GB2312" w:cs="楷体_GB2312"/>
          <w:b/>
          <w:bCs/>
          <w:sz w:val="28"/>
          <w:lang w:val="en-US" w:eastAsia="zh-CN"/>
        </w:rPr>
        <w:t>保证金</w:t>
      </w:r>
    </w:p>
    <w:p>
      <w:pPr>
        <w:pStyle w:val="11"/>
        <w:spacing w:line="360" w:lineRule="auto"/>
        <w:ind w:left="0" w:leftChars="0" w:firstLine="658" w:firstLineChars="2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1.投标保证金的缴纳：</w:t>
      </w:r>
    </w:p>
    <w:p>
      <w:pPr>
        <w:pStyle w:val="11"/>
        <w:spacing w:line="360" w:lineRule="auto"/>
        <w:ind w:left="440" w:leftChars="200" w:firstLine="397" w:firstLineChars="142"/>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1）投标人向招标人财务部门缴纳</w:t>
      </w:r>
      <w:r>
        <w:rPr>
          <w:rFonts w:hint="eastAsia" w:ascii="仿宋_GB2312" w:hAnsi="仿宋_GB2312" w:eastAsia="仿宋_GB2312" w:cs="仿宋_GB2312"/>
          <w:color w:val="000000"/>
          <w:sz w:val="28"/>
          <w:szCs w:val="28"/>
        </w:rPr>
        <w:t>5000元（人民币）</w:t>
      </w:r>
      <w:r>
        <w:rPr>
          <w:rFonts w:hint="eastAsia" w:ascii="仿宋_GB2312" w:hAnsi="仿宋_GB2312" w:eastAsia="仿宋_GB2312" w:cs="仿宋_GB2312"/>
          <w:sz w:val="28"/>
          <w:szCs w:val="28"/>
        </w:rPr>
        <w:t>，作为投标人本次投标的保证金</w:t>
      </w:r>
      <w:r>
        <w:rPr>
          <w:rFonts w:hint="eastAsia" w:ascii="仿宋_GB2312" w:hAnsi="仿宋_GB2312" w:eastAsia="仿宋_GB2312" w:cs="仿宋_GB2312"/>
          <w:b/>
          <w:bCs/>
          <w:sz w:val="28"/>
          <w:szCs w:val="28"/>
        </w:rPr>
        <w:t>（缴纳保证金前请先与招标方确认信息，确认无误后方可上交，如若不然，后果自负）。</w:t>
      </w:r>
    </w:p>
    <w:p>
      <w:pPr>
        <w:pStyle w:val="11"/>
        <w:spacing w:line="360" w:lineRule="auto"/>
        <w:ind w:left="0" w:leftChars="0" w:firstLine="879" w:firstLineChars="314"/>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2）缴纳方式：基本账户转账；</w:t>
      </w:r>
    </w:p>
    <w:p>
      <w:pPr>
        <w:pStyle w:val="11"/>
        <w:spacing w:line="360" w:lineRule="auto"/>
        <w:ind w:firstLine="840" w:firstLineChars="30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3）接收单位：</w:t>
      </w:r>
      <w:r>
        <w:rPr>
          <w:rFonts w:hint="eastAsia" w:ascii="仿宋_GB2312" w:hAnsi="仿宋_GB2312" w:eastAsia="仿宋_GB2312" w:cs="仿宋_GB2312"/>
          <w:color w:val="333333"/>
          <w:sz w:val="28"/>
          <w:szCs w:val="28"/>
          <w:shd w:val="clear" w:color="auto" w:fill="FFFFFF"/>
        </w:rPr>
        <w:t>中国重汽集团济南动力有限公司</w:t>
      </w:r>
    </w:p>
    <w:p>
      <w:pPr>
        <w:pStyle w:val="11"/>
        <w:ind w:firstLine="840" w:firstLineChars="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4）转账信息：</w:t>
      </w:r>
    </w:p>
    <w:tbl>
      <w:tblPr>
        <w:tblStyle w:val="12"/>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88" w:type="dxa"/>
            <w:noWrap w:val="0"/>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开户银行：</w:t>
            </w:r>
            <w:r>
              <w:rPr>
                <w:rFonts w:hint="default" w:ascii="仿宋_GB2312" w:hAnsi="仿宋_GB2312" w:eastAsia="仿宋_GB2312" w:cs="仿宋_GB2312"/>
                <w:b w:val="0"/>
                <w:bCs w:val="0"/>
                <w:sz w:val="28"/>
                <w:szCs w:val="28"/>
                <w:lang w:val="en-US" w:eastAsia="zh-CN"/>
              </w:rPr>
              <w:t>中国建设银行济南市天桥区支行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88" w:type="dxa"/>
            <w:noWrap w:val="0"/>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户名：</w:t>
            </w:r>
            <w:r>
              <w:rPr>
                <w:rFonts w:hint="default" w:ascii="仿宋_GB2312" w:hAnsi="仿宋_GB2312" w:eastAsia="仿宋_GB2312" w:cs="仿宋_GB2312"/>
                <w:b w:val="0"/>
                <w:bCs w:val="0"/>
                <w:sz w:val="28"/>
                <w:szCs w:val="28"/>
                <w:lang w:val="en-US" w:eastAsia="zh-CN"/>
              </w:rPr>
              <w:t>中国重汽集团济南动力有限公司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88" w:type="dxa"/>
            <w:noWrap w:val="0"/>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账号：</w:t>
            </w:r>
            <w:r>
              <w:rPr>
                <w:rFonts w:hint="default" w:ascii="仿宋_GB2312" w:hAnsi="仿宋_GB2312" w:eastAsia="仿宋_GB2312" w:cs="仿宋_GB2312"/>
                <w:b w:val="0"/>
                <w:bCs w:val="0"/>
                <w:sz w:val="28"/>
                <w:szCs w:val="28"/>
                <w:lang w:val="en-US" w:eastAsia="zh-CN"/>
              </w:rPr>
              <w:t>37001616508050150300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688" w:type="dxa"/>
            <w:noWrap w:val="0"/>
            <w:vAlign w:val="center"/>
          </w:tcPr>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宋体" w:hAnsi="Courier New" w:eastAsia="宋体"/>
                <w:szCs w:val="22"/>
                <w:lang w:val="en-US" w:eastAsia="zh-CN"/>
              </w:rPr>
            </w:pPr>
            <w:r>
              <w:rPr>
                <w:rFonts w:hint="default" w:ascii="仿宋_GB2312" w:hAnsi="仿宋_GB2312" w:eastAsia="仿宋_GB2312" w:cs="仿宋_GB2312"/>
                <w:b w:val="0"/>
                <w:bCs w:val="0"/>
                <w:sz w:val="28"/>
                <w:szCs w:val="28"/>
                <w:lang w:val="en-US" w:eastAsia="zh-CN"/>
              </w:rPr>
              <w:t>纳税人识别号：91370100787411873C</w:t>
            </w:r>
          </w:p>
        </w:tc>
      </w:tr>
    </w:tbl>
    <w:p>
      <w:pPr>
        <w:pStyle w:val="11"/>
        <w:numPr>
          <w:ilvl w:val="0"/>
          <w:numId w:val="0"/>
        </w:numPr>
        <w:spacing w:line="360" w:lineRule="auto"/>
        <w:ind w:left="0" w:leftChars="0" w:firstLine="879" w:firstLineChars="31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保证金截止时间：202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下午17</w:t>
      </w:r>
      <w:r>
        <w:rPr>
          <w:rFonts w:hint="eastAsia" w:ascii="仿宋_GB2312" w:hAnsi="仿宋_GB2312" w:eastAsia="仿宋_GB2312" w:cs="仿宋_GB2312"/>
          <w:sz w:val="28"/>
          <w:szCs w:val="28"/>
        </w:rPr>
        <w:t>时</w:t>
      </w:r>
    </w:p>
    <w:p>
      <w:pPr>
        <w:pStyle w:val="11"/>
        <w:numPr>
          <w:ilvl w:val="0"/>
          <w:numId w:val="0"/>
        </w:numPr>
        <w:spacing w:line="360" w:lineRule="auto"/>
        <w:ind w:left="0" w:leftChars="0" w:firstLine="879" w:firstLineChars="314"/>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lang w:val="en-US" w:eastAsia="zh-CN"/>
        </w:rPr>
        <w:t>6）</w:t>
      </w:r>
      <w:r>
        <w:rPr>
          <w:rFonts w:hint="eastAsia" w:ascii="仿宋_GB2312" w:hAnsi="仿宋_GB2312" w:eastAsia="仿宋_GB2312" w:cs="仿宋_GB2312"/>
          <w:color w:val="333333"/>
          <w:sz w:val="28"/>
          <w:szCs w:val="28"/>
          <w:shd w:val="clear" w:color="auto" w:fill="FFFFFF"/>
        </w:rPr>
        <w:t>备注：</w:t>
      </w:r>
      <w:r>
        <w:rPr>
          <w:rFonts w:hint="eastAsia" w:ascii="仿宋_GB2312" w:hAnsi="仿宋_GB2312" w:eastAsia="仿宋_GB2312" w:cs="仿宋_GB2312"/>
          <w:b/>
          <w:bCs/>
          <w:color w:val="333333"/>
          <w:sz w:val="28"/>
          <w:szCs w:val="28"/>
          <w:shd w:val="clear" w:color="auto" w:fill="FFFFFF"/>
        </w:rPr>
        <w:t>保证金项目名称</w:t>
      </w:r>
      <w:bookmarkStart w:id="11" w:name="_GoBack"/>
      <w:bookmarkEnd w:id="11"/>
    </w:p>
    <w:p>
      <w:pPr>
        <w:pStyle w:val="11"/>
        <w:spacing w:line="360" w:lineRule="auto"/>
        <w:ind w:left="0" w:leftChars="0" w:firstLine="658" w:firstLineChars="2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2.投标保证金的退回：</w:t>
      </w:r>
    </w:p>
    <w:p>
      <w:pPr>
        <w:pStyle w:val="2"/>
        <w:keepNext w:val="0"/>
        <w:keepLines w:val="0"/>
        <w:pageBreakBefore w:val="0"/>
        <w:widowControl w:val="0"/>
        <w:kinsoku/>
        <w:wordWrap/>
        <w:overflowPunct/>
        <w:topLinePunct w:val="0"/>
        <w:autoSpaceDE/>
        <w:autoSpaceDN/>
        <w:bidi w:val="0"/>
        <w:adjustRightInd/>
        <w:snapToGrid/>
        <w:ind w:left="458" w:leftChars="208" w:firstLine="417" w:firstLineChars="149"/>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（1）截止开标前3天，供应商无正当理由、未以书面形式递交说明而在投标截止日不来参标的；</w:t>
      </w:r>
    </w:p>
    <w:p>
      <w:pPr>
        <w:pStyle w:val="2"/>
        <w:keepNext w:val="0"/>
        <w:keepLines w:val="0"/>
        <w:pageBreakBefore w:val="0"/>
        <w:widowControl w:val="0"/>
        <w:kinsoku/>
        <w:wordWrap/>
        <w:overflowPunct/>
        <w:topLinePunct w:val="0"/>
        <w:autoSpaceDE/>
        <w:autoSpaceDN/>
        <w:bidi w:val="0"/>
        <w:adjustRightInd/>
        <w:snapToGrid/>
        <w:ind w:left="0" w:leftChars="0" w:firstLine="840" w:firstLineChars="3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（2）供应商应标交招标保证金后，无正当理由放弃投标的；</w:t>
      </w:r>
    </w:p>
    <w:p>
      <w:pPr>
        <w:pStyle w:val="2"/>
        <w:keepNext w:val="0"/>
        <w:keepLines w:val="0"/>
        <w:pageBreakBefore w:val="0"/>
        <w:widowControl w:val="0"/>
        <w:kinsoku/>
        <w:wordWrap/>
        <w:overflowPunct/>
        <w:topLinePunct w:val="0"/>
        <w:autoSpaceDE/>
        <w:autoSpaceDN/>
        <w:bidi w:val="0"/>
        <w:adjustRightInd/>
        <w:snapToGrid/>
        <w:ind w:left="440" w:leftChars="200" w:right="-220" w:rightChars="-100" w:firstLine="439" w:firstLineChars="157"/>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（3）自中标（成交）通知书发出之日起 30 日内，中标（成交）供应商无正当理由不签订合同的,在签订合同时向招标人或合同签订单位提出无理附加条件的；</w:t>
      </w:r>
    </w:p>
    <w:p>
      <w:pPr>
        <w:pStyle w:val="2"/>
        <w:keepNext w:val="0"/>
        <w:keepLines w:val="0"/>
        <w:pageBreakBefore w:val="0"/>
        <w:widowControl w:val="0"/>
        <w:kinsoku/>
        <w:wordWrap/>
        <w:overflowPunct/>
        <w:topLinePunct w:val="0"/>
        <w:autoSpaceDE/>
        <w:autoSpaceDN/>
        <w:bidi w:val="0"/>
        <w:adjustRightInd/>
        <w:snapToGrid/>
        <w:ind w:left="0" w:leftChars="0" w:firstLine="879" w:firstLineChars="314"/>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（4）投标过程中被查实有串标、围标、陪标等违规违纪行为的；</w:t>
      </w:r>
    </w:p>
    <w:p>
      <w:pPr>
        <w:pStyle w:val="2"/>
        <w:keepNext w:val="0"/>
        <w:keepLines w:val="0"/>
        <w:pageBreakBefore w:val="0"/>
        <w:widowControl w:val="0"/>
        <w:kinsoku/>
        <w:wordWrap/>
        <w:overflowPunct/>
        <w:topLinePunct w:val="0"/>
        <w:autoSpaceDE/>
        <w:autoSpaceDN/>
        <w:bidi w:val="0"/>
        <w:adjustRightInd/>
        <w:snapToGrid/>
        <w:ind w:left="438" w:leftChars="199" w:firstLine="0" w:firstLineChars="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出现以上情况，投标保证金不予返还</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供应商有违约违规行为或被投诉、举报的，在调查处理期间，保证金暂不退还，待调查处理结束后按有关规定处理。</w:t>
      </w:r>
    </w:p>
    <w:p>
      <w:pPr>
        <w:pStyle w:val="2"/>
        <w:keepNext w:val="0"/>
        <w:keepLines w:val="0"/>
        <w:pageBreakBefore w:val="0"/>
        <w:widowControl w:val="0"/>
        <w:kinsoku/>
        <w:wordWrap/>
        <w:overflowPunct/>
        <w:topLinePunct w:val="0"/>
        <w:autoSpaceDE/>
        <w:autoSpaceDN/>
        <w:bidi w:val="0"/>
        <w:adjustRightInd/>
        <w:snapToGrid/>
        <w:ind w:left="440" w:leftChars="20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不存在以上违规情况的投标人，招标人在确定中标人后45个工作日内按投标人所提供的投标保证金退付表退还投标保证金（本金，不计息）。</w:t>
      </w:r>
    </w:p>
    <w:p>
      <w:pPr>
        <w:pStyle w:val="5"/>
        <w:spacing w:before="54" w:line="360" w:lineRule="auto"/>
        <w:ind w:left="319" w:leftChars="145" w:firstLine="321" w:firstLineChars="100"/>
        <w:rPr>
          <w:rFonts w:hint="eastAsia" w:ascii="楷体" w:hAnsi="楷体" w:eastAsia="楷体" w:cs="楷体"/>
        </w:rPr>
      </w:pPr>
      <w:r>
        <w:rPr>
          <w:rFonts w:hint="eastAsia" w:ascii="楷体" w:hAnsi="楷体" w:eastAsia="楷体" w:cs="楷体"/>
        </w:rPr>
        <w:t>六、投标须知</w:t>
      </w:r>
    </w:p>
    <w:p>
      <w:pPr>
        <w:pStyle w:val="8"/>
        <w:numPr>
          <w:ilvl w:val="0"/>
          <w:numId w:val="2"/>
        </w:numPr>
        <w:tabs>
          <w:tab w:val="left" w:pos="1100"/>
        </w:tabs>
        <w:spacing w:before="11" w:line="360" w:lineRule="auto"/>
        <w:ind w:left="880" w:leftChars="0" w:firstLine="0" w:firstLineChars="0"/>
        <w:rPr>
          <w:rFonts w:hint="eastAsia" w:ascii="仿宋_GB2312" w:hAnsi="仿宋_GB2312" w:eastAsia="仿宋_GB2312" w:cs="仿宋_GB2312"/>
          <w:sz w:val="28"/>
          <w:szCs w:val="28"/>
        </w:rPr>
      </w:pPr>
      <w:bookmarkStart w:id="5" w:name="1.合格投标人："/>
      <w:bookmarkEnd w:id="5"/>
      <w:r>
        <w:rPr>
          <w:rFonts w:hint="eastAsia" w:ascii="仿宋_GB2312" w:hAnsi="仿宋_GB2312" w:eastAsia="仿宋_GB2312" w:cs="仿宋_GB2312"/>
          <w:spacing w:val="2"/>
          <w:sz w:val="28"/>
          <w:szCs w:val="28"/>
        </w:rPr>
        <w:t>合格投标人：</w:t>
      </w:r>
    </w:p>
    <w:p>
      <w:pPr>
        <w:pStyle w:val="10"/>
        <w:numPr>
          <w:ilvl w:val="0"/>
          <w:numId w:val="0"/>
        </w:numPr>
        <w:tabs>
          <w:tab w:val="left" w:pos="440"/>
        </w:tabs>
        <w:spacing w:line="360" w:lineRule="auto"/>
        <w:ind w:left="440" w:leftChars="200" w:right="-53" w:rightChars="-24" w:firstLine="431" w:firstLineChars="154"/>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投标人须遵守《中华人民共和国招标投标法》、《</w:t>
      </w:r>
      <w:r>
        <w:rPr>
          <w:rFonts w:hint="eastAsia" w:ascii="仿宋_GB2312" w:hAnsi="仿宋_GB2312" w:eastAsia="仿宋_GB2312" w:cs="仿宋_GB2312"/>
          <w:color w:val="auto"/>
          <w:sz w:val="28"/>
          <w:szCs w:val="28"/>
          <w:lang w:val="en-US"/>
        </w:rPr>
        <w:t>中华人民共和国民法典</w:t>
      </w:r>
      <w:r>
        <w:rPr>
          <w:rFonts w:hint="eastAsia" w:ascii="仿宋_GB2312" w:hAnsi="仿宋_GB2312" w:eastAsia="仿宋_GB2312" w:cs="仿宋_GB2312"/>
          <w:color w:val="auto"/>
          <w:sz w:val="28"/>
          <w:szCs w:val="28"/>
        </w:rPr>
        <w:t>》及其它有关的法律和法规；为中华人民共和国境内注册的独立法人机构，具有独立承担民事责任的能力；</w:t>
      </w:r>
      <w:r>
        <w:rPr>
          <w:rFonts w:hint="eastAsia" w:ascii="仿宋_GB2312" w:hAnsi="仿宋_GB2312" w:eastAsia="仿宋_GB2312" w:cs="仿宋_GB2312"/>
          <w:b w:val="0"/>
          <w:bCs w:val="0"/>
          <w:color w:val="auto"/>
          <w:sz w:val="28"/>
          <w:szCs w:val="28"/>
        </w:rPr>
        <w:t>公司成立三年以上（以营业执照成立日期到开标当日满三年为准）；注册资金1000万元人民币以上；经营范围满足招标项目需求；</w:t>
      </w:r>
      <w:r>
        <w:rPr>
          <w:rFonts w:hint="eastAsia" w:ascii="仿宋_GB2312" w:hAnsi="仿宋_GB2312" w:eastAsia="仿宋_GB2312" w:cs="仿宋_GB2312"/>
          <w:b w:val="0"/>
          <w:bCs w:val="0"/>
          <w:color w:val="auto"/>
          <w:sz w:val="28"/>
          <w:szCs w:val="28"/>
          <w:highlight w:val="none"/>
        </w:rPr>
        <w:t>投标</w:t>
      </w:r>
      <w:r>
        <w:rPr>
          <w:rFonts w:hint="eastAsia" w:ascii="仿宋_GB2312" w:hAnsi="仿宋_GB2312" w:eastAsia="仿宋_GB2312" w:cs="仿宋_GB2312"/>
          <w:b w:val="0"/>
          <w:bCs w:val="0"/>
          <w:color w:val="auto"/>
          <w:sz w:val="28"/>
          <w:szCs w:val="28"/>
          <w:highlight w:val="none"/>
          <w:lang w:val="en-US" w:eastAsia="zh-CN"/>
        </w:rPr>
        <w:t>人</w:t>
      </w:r>
      <w:r>
        <w:rPr>
          <w:rFonts w:hint="eastAsia" w:ascii="仿宋_GB2312" w:hAnsi="仿宋_GB2312" w:eastAsia="仿宋_GB2312" w:cs="仿宋_GB2312"/>
          <w:b w:val="0"/>
          <w:bCs w:val="0"/>
          <w:color w:val="auto"/>
          <w:sz w:val="28"/>
          <w:szCs w:val="28"/>
          <w:highlight w:val="none"/>
        </w:rPr>
        <w:t>的直接或间接股东、法定代表人、董事、监事、高管非重汽员工及其亲属</w:t>
      </w:r>
      <w:r>
        <w:rPr>
          <w:rFonts w:hint="eastAsia" w:ascii="仿宋_GB2312" w:hAnsi="仿宋_GB2312" w:eastAsia="仿宋_GB2312" w:cs="仿宋_GB2312"/>
          <w:b w:val="0"/>
          <w:bCs w:val="0"/>
          <w:color w:val="auto"/>
          <w:sz w:val="28"/>
          <w:szCs w:val="28"/>
          <w:highlight w:val="none"/>
          <w:lang w:eastAsia="zh-CN"/>
        </w:rPr>
        <w:t>；</w:t>
      </w:r>
    </w:p>
    <w:p>
      <w:pPr>
        <w:pStyle w:val="10"/>
        <w:numPr>
          <w:ilvl w:val="0"/>
          <w:numId w:val="0"/>
        </w:numPr>
        <w:tabs>
          <w:tab w:val="left" w:pos="440"/>
        </w:tabs>
        <w:spacing w:line="360" w:lineRule="auto"/>
        <w:ind w:left="438" w:leftChars="199" w:right="0" w:rightChars="0" w:firstLine="439" w:firstLineChars="157"/>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rPr>
        <w:t>投标人须于投标时提供具有统一社会信用代码的三证合一的营业执照副本原件及复印件（加盖公章）；</w:t>
      </w:r>
    </w:p>
    <w:p>
      <w:pPr>
        <w:pStyle w:val="10"/>
        <w:numPr>
          <w:ilvl w:val="0"/>
          <w:numId w:val="0"/>
        </w:numPr>
        <w:tabs>
          <w:tab w:val="left" w:pos="440"/>
        </w:tabs>
        <w:spacing w:line="360" w:lineRule="auto"/>
        <w:ind w:left="440" w:leftChars="200" w:right="0" w:rightChars="0" w:firstLine="436" w:firstLineChars="156"/>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rPr>
        <w:t>投标人需提供《道路运输经营许可证》原件及复印件（加盖公章）、《道路危险货物运输许可证》原件及复印件（加盖公章），并保证行政许可在有效期内。</w:t>
      </w:r>
    </w:p>
    <w:p>
      <w:pPr>
        <w:pStyle w:val="10"/>
        <w:numPr>
          <w:ilvl w:val="0"/>
          <w:numId w:val="0"/>
        </w:numPr>
        <w:tabs>
          <w:tab w:val="left" w:pos="440"/>
        </w:tabs>
        <w:spacing w:line="360" w:lineRule="auto"/>
        <w:ind w:left="431" w:leftChars="196" w:right="0" w:rightChars="0" w:firstLine="447" w:firstLineChars="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rPr>
        <w:t>具有良好的商业信誉，在国家企业信用信息公示系统中无行政处罚、列入经营异常名录和列入严重违法失信企业名单（黑名单）信息或上述信息已被移除的声明；</w:t>
      </w:r>
    </w:p>
    <w:p>
      <w:pPr>
        <w:pStyle w:val="10"/>
        <w:spacing w:before="3" w:line="360" w:lineRule="auto"/>
        <w:ind w:left="11" w:leftChars="5" w:firstLine="865" w:firstLineChars="30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t>投标人在近三年内在经营活动中无重大违法、违规的不良记录；</w:t>
      </w:r>
    </w:p>
    <w:p>
      <w:pPr>
        <w:pStyle w:val="10"/>
        <w:spacing w:before="1" w:line="360" w:lineRule="auto"/>
        <w:ind w:left="438" w:leftChars="0" w:right="0" w:rightChars="0" w:firstLine="442" w:firstLineChars="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6）</w:t>
      </w:r>
      <w:r>
        <w:rPr>
          <w:rFonts w:hint="eastAsia" w:ascii="仿宋_GB2312" w:hAnsi="仿宋_GB2312" w:eastAsia="仿宋_GB2312" w:cs="仿宋_GB2312"/>
          <w:b w:val="0"/>
          <w:bCs w:val="0"/>
          <w:color w:val="auto"/>
          <w:sz w:val="28"/>
          <w:szCs w:val="28"/>
        </w:rPr>
        <w:t>投标人应能提供其正在或曾经从事过类似相关行业产品或服务经历的从业证明（可使用正在或曾经从事过的包装服务的合同文本原件或复印件加盖公章加以证明）；</w:t>
      </w:r>
    </w:p>
    <w:p>
      <w:pPr>
        <w:pStyle w:val="10"/>
        <w:tabs>
          <w:tab w:val="left" w:pos="440"/>
          <w:tab w:val="left" w:pos="880"/>
        </w:tabs>
        <w:spacing w:before="1" w:line="360" w:lineRule="auto"/>
        <w:ind w:left="559" w:leftChars="254" w:right="0" w:rightChars="0" w:firstLine="319" w:firstLineChars="114"/>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7）</w:t>
      </w:r>
      <w:r>
        <w:rPr>
          <w:rFonts w:hint="eastAsia" w:ascii="仿宋_GB2312" w:hAnsi="仿宋_GB2312" w:eastAsia="仿宋_GB2312" w:cs="仿宋_GB2312"/>
          <w:b w:val="0"/>
          <w:bCs w:val="0"/>
          <w:color w:val="auto"/>
          <w:sz w:val="28"/>
          <w:szCs w:val="28"/>
        </w:rPr>
        <w:t>具有健全的财务会计制度，财务状况和市场行为良好。没有处于被有权机关吊销营业执照、吊销资质、停业整顿、取消投标资格以及财产被接管、冻结或进入破产程序等；</w:t>
      </w:r>
    </w:p>
    <w:p>
      <w:pPr>
        <w:pStyle w:val="10"/>
        <w:spacing w:line="360" w:lineRule="auto"/>
        <w:ind w:left="559" w:leftChars="254" w:right="0" w:rightChars="0" w:firstLine="319" w:firstLineChars="114"/>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8）</w:t>
      </w:r>
      <w:r>
        <w:rPr>
          <w:rFonts w:hint="eastAsia" w:ascii="仿宋_GB2312" w:hAnsi="仿宋_GB2312" w:eastAsia="仿宋_GB2312" w:cs="仿宋_GB2312"/>
          <w:b w:val="0"/>
          <w:bCs w:val="0"/>
          <w:color w:val="auto"/>
          <w:sz w:val="28"/>
          <w:szCs w:val="28"/>
        </w:rPr>
        <w:t>投标人没有被列入招标人处《黑名单》（《黑名单》指投标人与招标人在以往或正在进行的合作中，存在招标人认为的违反合同约定或违反法律法规等的失信行为）的；</w:t>
      </w:r>
    </w:p>
    <w:p>
      <w:pPr>
        <w:pStyle w:val="10"/>
        <w:spacing w:before="1" w:line="360" w:lineRule="auto"/>
        <w:ind w:left="438" w:leftChars="199" w:right="0" w:rightChars="0" w:firstLine="442" w:firstLineChars="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9）</w:t>
      </w:r>
      <w:r>
        <w:rPr>
          <w:rFonts w:hint="eastAsia" w:ascii="仿宋_GB2312" w:hAnsi="仿宋_GB2312" w:eastAsia="仿宋_GB2312" w:cs="仿宋_GB2312"/>
          <w:b w:val="0"/>
          <w:bCs w:val="0"/>
          <w:color w:val="auto"/>
          <w:sz w:val="28"/>
          <w:szCs w:val="28"/>
        </w:rPr>
        <w:t>投标人须提供近三年的公司财务报表（资产负债表、损益表、现金流量表等）；</w:t>
      </w:r>
    </w:p>
    <w:p>
      <w:pPr>
        <w:pStyle w:val="10"/>
        <w:spacing w:before="1" w:line="360" w:lineRule="auto"/>
        <w:ind w:left="440" w:leftChars="200" w:right="0" w:rightChars="0" w:firstLine="422" w:firstLineChars="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10）</w:t>
      </w:r>
      <w:r>
        <w:rPr>
          <w:rFonts w:hint="eastAsia" w:ascii="仿宋_GB2312" w:hAnsi="仿宋_GB2312" w:eastAsia="仿宋_GB2312" w:cs="仿宋_GB2312"/>
          <w:b w:val="0"/>
          <w:bCs w:val="0"/>
          <w:color w:val="auto"/>
          <w:sz w:val="28"/>
          <w:szCs w:val="28"/>
        </w:rPr>
        <w:t>投标人须提供法人授权委托书原件（在投标文件副本中可用复印件并加盖公章）及投标单位的法定代表人或授权代表的身份证原件；</w:t>
      </w:r>
    </w:p>
    <w:p>
      <w:pPr>
        <w:pStyle w:val="10"/>
        <w:spacing w:before="1" w:line="360" w:lineRule="auto"/>
        <w:ind w:left="438" w:leftChars="199" w:right="0" w:rightChars="0" w:firstLine="442" w:firstLineChars="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11）</w:t>
      </w:r>
      <w:r>
        <w:rPr>
          <w:rFonts w:hint="eastAsia" w:ascii="仿宋_GB2312" w:hAnsi="仿宋_GB2312" w:eastAsia="仿宋_GB2312" w:cs="仿宋_GB2312"/>
          <w:b w:val="0"/>
          <w:bCs w:val="0"/>
          <w:color w:val="auto"/>
          <w:sz w:val="28"/>
          <w:szCs w:val="28"/>
        </w:rPr>
        <w:t>投标人须具有履行合同所必须的设备、财务、技术、服务等方面的资质和能力；</w:t>
      </w:r>
    </w:p>
    <w:p>
      <w:pPr>
        <w:pStyle w:val="10"/>
        <w:spacing w:before="1" w:line="360" w:lineRule="auto"/>
        <w:ind w:left="620" w:leftChars="282" w:right="0" w:rightChars="0" w:firstLine="254" w:firstLineChars="91"/>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12）</w:t>
      </w:r>
      <w:r>
        <w:rPr>
          <w:rFonts w:hint="eastAsia" w:ascii="仿宋_GB2312" w:hAnsi="仿宋_GB2312" w:eastAsia="仿宋_GB2312" w:cs="仿宋_GB2312"/>
          <w:b w:val="0"/>
          <w:bCs w:val="0"/>
          <w:color w:val="auto"/>
          <w:sz w:val="28"/>
          <w:szCs w:val="28"/>
        </w:rPr>
        <w:t>投标人须具有完全履行招标文件的所有要求的能力；</w:t>
      </w:r>
    </w:p>
    <w:p>
      <w:pPr>
        <w:pStyle w:val="10"/>
        <w:spacing w:before="1" w:line="360" w:lineRule="auto"/>
        <w:ind w:left="433" w:leftChars="197" w:right="0" w:rightChars="0" w:firstLine="439" w:firstLineChars="157"/>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auto"/>
          <w:sz w:val="28"/>
          <w:szCs w:val="28"/>
          <w:lang w:val="en-US" w:eastAsia="zh-CN"/>
        </w:rPr>
        <w:t>（13）</w:t>
      </w:r>
      <w:r>
        <w:rPr>
          <w:rFonts w:hint="eastAsia" w:ascii="仿宋_GB2312" w:hAnsi="仿宋_GB2312" w:eastAsia="仿宋_GB2312" w:cs="仿宋_GB2312"/>
          <w:b w:val="0"/>
          <w:bCs w:val="0"/>
          <w:color w:val="auto"/>
          <w:sz w:val="28"/>
          <w:szCs w:val="28"/>
        </w:rPr>
        <w:t>投标人须认可招标人终止合同后3个月无息退还履约保证金的招标</w:t>
      </w:r>
      <w:r>
        <w:rPr>
          <w:rFonts w:hint="eastAsia" w:ascii="仿宋_GB2312" w:hAnsi="仿宋_GB2312" w:eastAsia="仿宋_GB2312" w:cs="仿宋_GB2312"/>
          <w:sz w:val="28"/>
          <w:szCs w:val="28"/>
        </w:rPr>
        <w:t>要求；</w:t>
      </w:r>
    </w:p>
    <w:p>
      <w:pPr>
        <w:pStyle w:val="10"/>
        <w:spacing w:before="1" w:line="360" w:lineRule="auto"/>
        <w:ind w:left="583" w:leftChars="265" w:right="643" w:firstLine="308" w:firstLineChars="11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本次招标项目不接受联合体投标；</w:t>
      </w:r>
    </w:p>
    <w:p>
      <w:pPr>
        <w:pStyle w:val="10"/>
        <w:spacing w:before="3" w:line="360" w:lineRule="auto"/>
        <w:ind w:left="11" w:leftChars="5" w:firstLine="865" w:firstLineChars="30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投标人在向招标人出示《投标保证金缴纳凭证》后方可进行投标；</w:t>
      </w:r>
    </w:p>
    <w:p>
      <w:pPr>
        <w:pStyle w:val="10"/>
        <w:spacing w:line="360" w:lineRule="auto"/>
        <w:ind w:left="440" w:leftChars="200" w:firstLine="439" w:firstLineChars="15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投标文件1份正</w:t>
      </w:r>
      <w:r>
        <w:rPr>
          <w:rFonts w:hint="eastAsia" w:ascii="仿宋_GB2312" w:hAnsi="仿宋_GB2312" w:eastAsia="仿宋_GB2312" w:cs="仿宋_GB2312"/>
          <w:sz w:val="28"/>
          <w:szCs w:val="28"/>
          <w:lang w:val="en-US"/>
        </w:rPr>
        <w:t>7</w:t>
      </w:r>
      <w:r>
        <w:rPr>
          <w:rFonts w:hint="eastAsia" w:ascii="仿宋_GB2312" w:hAnsi="仿宋_GB2312" w:eastAsia="仿宋_GB2312" w:cs="仿宋_GB2312"/>
          <w:sz w:val="28"/>
          <w:szCs w:val="28"/>
        </w:rPr>
        <w:t>份副本，共计</w:t>
      </w:r>
      <w:r>
        <w:rPr>
          <w:rFonts w:hint="eastAsia" w:ascii="仿宋_GB2312" w:hAnsi="仿宋_GB2312" w:eastAsia="仿宋_GB2312" w:cs="仿宋_GB2312"/>
          <w:sz w:val="28"/>
          <w:szCs w:val="28"/>
          <w:lang w:val="en-US"/>
        </w:rPr>
        <w:t>8</w:t>
      </w:r>
      <w:r>
        <w:rPr>
          <w:rFonts w:hint="eastAsia" w:ascii="仿宋_GB2312" w:hAnsi="仿宋_GB2312" w:eastAsia="仿宋_GB2312" w:cs="仿宋_GB2312"/>
          <w:sz w:val="28"/>
          <w:szCs w:val="28"/>
        </w:rPr>
        <w:t>份并附U盘电子版（详见本招标文件“第二章投标文件编制”）；</w:t>
      </w:r>
    </w:p>
    <w:p>
      <w:pPr>
        <w:pStyle w:val="10"/>
        <w:tabs>
          <w:tab w:val="left" w:pos="440"/>
        </w:tabs>
        <w:spacing w:before="70" w:line="360" w:lineRule="auto"/>
        <w:ind w:left="440" w:leftChars="200" w:firstLine="422" w:firstLineChars="15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其他须具备的资格要求：投标单位应提供近三年相同或类似项目规模销售业绩。</w:t>
      </w:r>
    </w:p>
    <w:p>
      <w:pPr>
        <w:pStyle w:val="10"/>
        <w:numPr>
          <w:ilvl w:val="0"/>
          <w:numId w:val="0"/>
        </w:numPr>
        <w:tabs>
          <w:tab w:val="left" w:pos="0"/>
        </w:tabs>
        <w:spacing w:line="360" w:lineRule="auto"/>
        <w:ind w:left="440" w:leftChars="200" w:right="0" w:rightChars="0" w:firstLine="641" w:firstLineChars="229"/>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投标方必须携带以下证件的原件或公证件参加开标会并交验，否则视为自动放弃投标资格：</w:t>
      </w:r>
    </w:p>
    <w:p>
      <w:pPr>
        <w:pStyle w:val="10"/>
        <w:numPr>
          <w:ilvl w:val="0"/>
          <w:numId w:val="0"/>
        </w:numPr>
        <w:tabs>
          <w:tab w:val="left" w:pos="440"/>
        </w:tabs>
        <w:spacing w:line="360" w:lineRule="auto"/>
        <w:ind w:left="440" w:leftChars="200" w:right="0" w:rightChars="0" w:firstLine="439" w:firstLineChars="157"/>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rPr>
        <w:t>法人授权委托书及被授权人的身份证；法人到场的，提供法定代表人资格证明文件和身份证；</w:t>
      </w:r>
    </w:p>
    <w:p>
      <w:pPr>
        <w:pStyle w:val="10"/>
        <w:numPr>
          <w:ilvl w:val="0"/>
          <w:numId w:val="0"/>
        </w:numPr>
        <w:tabs>
          <w:tab w:val="left" w:pos="440"/>
        </w:tabs>
        <w:spacing w:line="360" w:lineRule="auto"/>
        <w:ind w:left="0" w:leftChars="0" w:right="0" w:rightChars="0" w:firstLine="879" w:firstLineChars="314"/>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rPr>
        <w:t>企业营业执照.</w:t>
      </w:r>
    </w:p>
    <w:p>
      <w:pPr>
        <w:pStyle w:val="10"/>
        <w:numPr>
          <w:ilvl w:val="0"/>
          <w:numId w:val="0"/>
        </w:numPr>
        <w:tabs>
          <w:tab w:val="left" w:pos="440"/>
        </w:tabs>
        <w:spacing w:line="360" w:lineRule="auto"/>
        <w:ind w:left="0" w:leftChars="0" w:right="0" w:rightChars="0" w:firstLine="1554" w:firstLineChars="555"/>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逾期的投标文件招标人不予受理。</w:t>
      </w:r>
    </w:p>
    <w:p>
      <w:pPr>
        <w:pStyle w:val="10"/>
        <w:numPr>
          <w:ilvl w:val="0"/>
          <w:numId w:val="0"/>
        </w:numPr>
        <w:tabs>
          <w:tab w:val="left" w:pos="440"/>
        </w:tabs>
        <w:spacing w:line="360" w:lineRule="auto"/>
        <w:ind w:left="0" w:leftChars="0" w:right="0" w:rightChars="0" w:firstLine="883" w:firstLineChars="314"/>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lang w:val="en-US"/>
        </w:rPr>
        <w:t>投标文件格式</w:t>
      </w:r>
    </w:p>
    <w:p>
      <w:pPr>
        <w:pStyle w:val="10"/>
        <w:numPr>
          <w:ilvl w:val="0"/>
          <w:numId w:val="0"/>
        </w:numPr>
        <w:tabs>
          <w:tab w:val="left" w:pos="0"/>
        </w:tabs>
        <w:spacing w:line="360" w:lineRule="auto"/>
        <w:ind w:right="0" w:rightChars="0" w:firstLine="840" w:firstLineChars="3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详见本招标文件“第二章投标文件编制”，请投标人按格式要求进行填写。</w:t>
      </w:r>
    </w:p>
    <w:p>
      <w:pPr>
        <w:pStyle w:val="10"/>
        <w:numPr>
          <w:ilvl w:val="0"/>
          <w:numId w:val="0"/>
        </w:numPr>
        <w:tabs>
          <w:tab w:val="left" w:pos="440"/>
        </w:tabs>
        <w:spacing w:line="360" w:lineRule="auto"/>
        <w:ind w:right="0" w:rightChars="0" w:firstLine="843" w:firstLineChars="300"/>
        <w:rPr>
          <w:rFonts w:hint="eastAsia" w:ascii="仿宋_GB2312" w:hAnsi="仿宋_GB2312" w:eastAsia="仿宋_GB2312" w:cs="仿宋_GB2312"/>
          <w:b/>
          <w:bCs/>
          <w:color w:val="auto"/>
          <w:sz w:val="28"/>
          <w:szCs w:val="28"/>
          <w:lang w:val="en-US"/>
        </w:rPr>
      </w:pPr>
      <w:r>
        <w:rPr>
          <w:rFonts w:hint="eastAsia" w:ascii="仿宋_GB2312" w:hAnsi="仿宋_GB2312" w:eastAsia="仿宋_GB2312" w:cs="仿宋_GB2312"/>
          <w:b/>
          <w:bCs/>
          <w:color w:val="auto"/>
          <w:sz w:val="28"/>
          <w:szCs w:val="28"/>
          <w:lang w:val="en-US"/>
        </w:rPr>
        <w:t>3.报价</w:t>
      </w:r>
    </w:p>
    <w:p>
      <w:pPr>
        <w:pStyle w:val="10"/>
        <w:spacing w:before="70" w:line="360" w:lineRule="auto"/>
        <w:ind w:left="275" w:leftChars="125" w:firstLine="604" w:firstLineChars="216"/>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rPr>
        <w:t>本次招标为公开招标，报价应为：</w:t>
      </w:r>
    </w:p>
    <w:p>
      <w:pPr>
        <w:pStyle w:val="10"/>
        <w:tabs>
          <w:tab w:val="left" w:pos="440"/>
        </w:tabs>
        <w:spacing w:before="70" w:line="360" w:lineRule="auto"/>
        <w:ind w:left="440" w:leftChars="200" w:firstLine="560"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在与招标人或其指派的答疑人员充分沟通确认基础上，投标人在满足招标人提出的所有关于</w:t>
      </w:r>
      <w:r>
        <w:rPr>
          <w:rFonts w:hint="eastAsia" w:ascii="仿宋_GB2312" w:hAnsi="仿宋_GB2312" w:eastAsia="仿宋_GB2312" w:cs="仿宋_GB2312"/>
          <w:sz w:val="28"/>
          <w:szCs w:val="28"/>
          <w:lang w:val="en-US" w:eastAsia="zh-CN"/>
        </w:rPr>
        <w:t>运输</w:t>
      </w:r>
      <w:r>
        <w:rPr>
          <w:rFonts w:hint="eastAsia" w:ascii="仿宋_GB2312" w:hAnsi="仿宋_GB2312" w:eastAsia="仿宋_GB2312" w:cs="仿宋_GB2312"/>
          <w:sz w:val="28"/>
          <w:szCs w:val="28"/>
          <w:lang w:val="en-US"/>
        </w:rPr>
        <w:t>项目全流程要求的前提下，与中标人签订合同的单位需支付给中标人的所有费用。</w:t>
      </w:r>
    </w:p>
    <w:p>
      <w:pPr>
        <w:pStyle w:val="10"/>
        <w:tabs>
          <w:tab w:val="left" w:pos="440"/>
        </w:tabs>
        <w:spacing w:before="70" w:line="360" w:lineRule="auto"/>
        <w:ind w:left="440" w:leftChars="200" w:firstLine="593" w:firstLineChars="212"/>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详见本招标书之“第二章投标文件编制”之“三、投标文件格式要求”之“格式3”。</w:t>
      </w:r>
    </w:p>
    <w:p>
      <w:pPr>
        <w:pStyle w:val="9"/>
        <w:ind w:left="438" w:leftChars="199" w:firstLine="439" w:firstLineChars="157"/>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rPr>
        <w:t>所有报价货币单位为：</w:t>
      </w:r>
      <w:r>
        <w:rPr>
          <w:rFonts w:hint="eastAsia" w:ascii="仿宋_GB2312" w:hAnsi="仿宋_GB2312" w:eastAsia="仿宋_GB2312" w:cs="仿宋_GB2312"/>
          <w:sz w:val="28"/>
          <w:szCs w:val="28"/>
          <w:lang w:val="en-US" w:eastAsia="zh-CN"/>
        </w:rPr>
        <w:t>报价表需明确含税金额、不含税金额及税率；e采通报价为万元含税。</w:t>
      </w:r>
    </w:p>
    <w:p>
      <w:pPr>
        <w:pStyle w:val="10"/>
        <w:spacing w:before="70" w:line="360" w:lineRule="auto"/>
        <w:ind w:left="440" w:leftChars="200" w:firstLine="439" w:firstLineChars="15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rPr>
        <w:t>付款结算方式：半年期商业汇票（包括银行承兑汇票和商承承兑汇票）；收到按招标人要求开具的增值税专用发票后挂账满60天</w:t>
      </w:r>
      <w:r>
        <w:rPr>
          <w:rFonts w:hint="eastAsia" w:ascii="仿宋_GB2312" w:hAnsi="仿宋_GB2312" w:eastAsia="仿宋_GB2312" w:cs="仿宋_GB2312"/>
          <w:sz w:val="28"/>
          <w:szCs w:val="28"/>
        </w:rPr>
        <w:t>起付。</w:t>
      </w:r>
    </w:p>
    <w:p>
      <w:pPr>
        <w:spacing w:before="1" w:line="360" w:lineRule="auto"/>
        <w:ind w:left="557" w:leftChars="253" w:right="4922" w:firstLine="323" w:firstLineChars="11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4.技术规范及服务</w:t>
      </w:r>
    </w:p>
    <w:p>
      <w:pPr>
        <w:pStyle w:val="10"/>
        <w:spacing w:before="70" w:line="360" w:lineRule="auto"/>
        <w:ind w:left="440" w:leftChars="200" w:firstLine="439" w:firstLineChars="157"/>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rPr>
        <w:t>投标人应与</w:t>
      </w:r>
      <w:bookmarkStart w:id="6" w:name="_Hlk56064956"/>
      <w:r>
        <w:rPr>
          <w:rFonts w:hint="eastAsia" w:ascii="仿宋_GB2312" w:hAnsi="仿宋_GB2312" w:eastAsia="仿宋_GB2312" w:cs="仿宋_GB2312"/>
          <w:sz w:val="28"/>
          <w:szCs w:val="28"/>
          <w:lang w:val="en-US"/>
        </w:rPr>
        <w:t>招标人</w:t>
      </w:r>
      <w:bookmarkEnd w:id="6"/>
      <w:r>
        <w:rPr>
          <w:rFonts w:hint="eastAsia" w:ascii="仿宋_GB2312" w:hAnsi="仿宋_GB2312" w:eastAsia="仿宋_GB2312" w:cs="仿宋_GB2312"/>
          <w:sz w:val="28"/>
          <w:szCs w:val="28"/>
          <w:lang w:val="en-US"/>
        </w:rPr>
        <w:t>指派的答疑人员充分沟通，理解认可并接受相关技术规范及服务要求。</w:t>
      </w:r>
    </w:p>
    <w:p>
      <w:pPr>
        <w:pStyle w:val="10"/>
        <w:spacing w:before="70" w:line="360" w:lineRule="auto"/>
        <w:ind w:left="440" w:leftChars="0" w:firstLine="218" w:firstLineChars="78"/>
        <w:rPr>
          <w:rFonts w:hint="eastAsia" w:ascii="仿宋_GB2312" w:hAnsi="仿宋_GB2312" w:eastAsia="仿宋_GB2312" w:cs="仿宋_GB2312"/>
          <w:sz w:val="28"/>
          <w:szCs w:val="28"/>
          <w:lang w:val="en-US"/>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rPr>
        <w:t>投标人可免费提供的、包含但不限于招标人所要求的其他相关服务内容，按本招标书“第二章投标文件编制”要求，在其“开标一览表”中一并说明。</w:t>
      </w:r>
    </w:p>
    <w:p>
      <w:pPr>
        <w:pStyle w:val="10"/>
        <w:spacing w:before="70" w:line="360" w:lineRule="auto"/>
        <w:ind w:left="440" w:leftChars="0" w:firstLine="420" w:firstLineChars="150"/>
        <w:rPr>
          <w:rFonts w:hint="eastAsia" w:ascii="仿宋_GB2312" w:hAnsi="仿宋_GB2312" w:eastAsia="仿宋_GB2312" w:cs="仿宋_GB2312"/>
          <w:sz w:val="28"/>
          <w:szCs w:val="28"/>
          <w:lang w:val="en-US"/>
        </w:rPr>
      </w:pPr>
      <w:bookmarkStart w:id="7" w:name="_Hlk56064937"/>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rPr>
        <w:t>投标人</w:t>
      </w:r>
      <w:bookmarkEnd w:id="7"/>
      <w:r>
        <w:rPr>
          <w:rFonts w:hint="eastAsia" w:ascii="仿宋_GB2312" w:hAnsi="仿宋_GB2312" w:eastAsia="仿宋_GB2312" w:cs="仿宋_GB2312"/>
          <w:sz w:val="28"/>
          <w:szCs w:val="28"/>
          <w:lang w:val="en-US"/>
        </w:rPr>
        <w:t>收到标书后，必须实地考察各业务单位运作流程，熟悉相关业务后，在招标时提交业务运营方案及相应业务交接、开始运行业务时间等预案。</w:t>
      </w:r>
    </w:p>
    <w:p>
      <w:pPr>
        <w:pStyle w:val="10"/>
        <w:spacing w:before="70" w:line="360" w:lineRule="auto"/>
        <w:ind w:left="440" w:leftChars="200" w:firstLine="420" w:firstLineChars="150"/>
        <w:rPr>
          <w:rFonts w:hint="eastAsia" w:ascii="仿宋_GB2312" w:hAnsi="仿宋_GB2312" w:eastAsia="仿宋_GB2312" w:cs="仿宋_GB2312"/>
          <w:sz w:val="28"/>
          <w:szCs w:val="28"/>
          <w:lang w:val="en-US"/>
        </w:rPr>
      </w:pPr>
      <w:bookmarkStart w:id="8" w:name="_Hlk56065099"/>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rPr>
        <w:t>投标人</w:t>
      </w:r>
      <w:bookmarkEnd w:id="8"/>
      <w:r>
        <w:rPr>
          <w:rFonts w:hint="eastAsia" w:ascii="仿宋_GB2312" w:hAnsi="仿宋_GB2312" w:eastAsia="仿宋_GB2312" w:cs="仿宋_GB2312"/>
          <w:sz w:val="28"/>
          <w:szCs w:val="28"/>
          <w:lang w:val="en-US"/>
        </w:rPr>
        <w:t>应严格执行招标人的技术质量标准，如果投标人未按技术质量标准要求执行，投标人应无条件进行整改，所发生的所有费用均由投标人方承担。如投标人所供产品和服务质量存在严重缺陷，导致招标人产品市场形象受到损害，招标人有权中止或解除本合同，并由投标人承担违约责任。</w:t>
      </w:r>
    </w:p>
    <w:p>
      <w:pPr>
        <w:pStyle w:val="8"/>
        <w:tabs>
          <w:tab w:val="left" w:pos="1270"/>
        </w:tabs>
        <w:spacing w:before="1" w:line="360" w:lineRule="auto"/>
        <w:ind w:left="438" w:leftChars="199" w:right="0" w:rightChars="0" w:firstLine="444" w:firstLineChars="158"/>
        <w:jc w:val="both"/>
        <w:rPr>
          <w:rFonts w:hint="eastAsia" w:ascii="仿宋_GB2312" w:hAnsi="仿宋_GB2312" w:eastAsia="仿宋_GB2312" w:cs="仿宋_GB2312"/>
          <w:b/>
          <w:bCs/>
          <w:sz w:val="28"/>
          <w:szCs w:val="28"/>
          <w:lang w:val="en-US" w:eastAsia="zh-CN" w:bidi="zh-CN"/>
        </w:rPr>
      </w:pPr>
      <w:bookmarkStart w:id="9" w:name="6.投标人应具有安全生产资质、条件，对所从事业务区域内的安全生产负全责，中标后与"/>
      <w:bookmarkEnd w:id="9"/>
      <w:r>
        <w:rPr>
          <w:rFonts w:hint="eastAsia" w:ascii="仿宋_GB2312" w:hAnsi="仿宋_GB2312" w:eastAsia="仿宋_GB2312" w:cs="仿宋_GB2312"/>
          <w:b/>
          <w:bCs/>
          <w:sz w:val="28"/>
          <w:szCs w:val="28"/>
          <w:lang w:val="en-US" w:eastAsia="zh-CN" w:bidi="zh-CN"/>
        </w:rPr>
        <w:t>5.投标人应具有安全生产资质、条件，对所从事业务区域内的安全生产负全责，中标后与招标人签订安全责任书。因投标人原因造成的安全生产事故，由投标人承担责任并赔偿因此给招标人造成的损失。</w:t>
      </w:r>
    </w:p>
    <w:p>
      <w:pPr>
        <w:pStyle w:val="8"/>
        <w:tabs>
          <w:tab w:val="left" w:pos="1270"/>
        </w:tabs>
        <w:spacing w:before="1" w:line="360" w:lineRule="auto"/>
        <w:ind w:left="455" w:leftChars="207" w:right="523" w:firstLine="424" w:firstLineChars="151"/>
        <w:jc w:val="both"/>
        <w:rPr>
          <w:rFonts w:hint="eastAsia" w:ascii="仿宋_GB2312" w:hAnsi="仿宋_GB2312" w:eastAsia="仿宋_GB2312" w:cs="仿宋_GB2312"/>
          <w:b/>
          <w:bCs/>
          <w:sz w:val="28"/>
          <w:szCs w:val="28"/>
          <w:lang w:val="en-US" w:eastAsia="zh-CN" w:bidi="zh-CN"/>
        </w:rPr>
      </w:pPr>
      <w:r>
        <w:rPr>
          <w:rFonts w:hint="eastAsia" w:ascii="仿宋_GB2312" w:hAnsi="仿宋_GB2312" w:eastAsia="仿宋_GB2312" w:cs="仿宋_GB2312"/>
          <w:b/>
          <w:bCs/>
          <w:sz w:val="28"/>
          <w:szCs w:val="28"/>
          <w:lang w:val="en-US" w:eastAsia="zh-CN" w:bidi="zh-CN"/>
        </w:rPr>
        <w:t>6.凡对本次招标提出的询问，均以招标方的书面答复为准。</w:t>
      </w:r>
    </w:p>
    <w:p>
      <w:pPr>
        <w:pStyle w:val="8"/>
        <w:tabs>
          <w:tab w:val="left" w:pos="1270"/>
        </w:tabs>
        <w:spacing w:before="1" w:line="360" w:lineRule="auto"/>
        <w:ind w:left="455" w:leftChars="207" w:right="523" w:firstLine="424" w:firstLineChars="15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7.其他</w:t>
      </w:r>
    </w:p>
    <w:p>
      <w:pPr>
        <w:pStyle w:val="10"/>
        <w:spacing w:line="360" w:lineRule="auto"/>
        <w:ind w:left="440" w:leftChars="200" w:right="0" w:rightChars="0" w:firstLine="672" w:firstLineChars="24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须认可招标人由于招标人上级集团公司政策变化引起的随时终止合同的要求。如投标人不认可、不接受，则投标人在本招标书“第二章投标文件编制”之“相关条款偏离表”中注明“不接受”字，招标人将视之为主动弃标。</w:t>
      </w:r>
    </w:p>
    <w:p>
      <w:pPr>
        <w:pStyle w:val="10"/>
        <w:spacing w:before="2" w:line="360" w:lineRule="auto"/>
        <w:ind w:firstLine="1120" w:firstLineChars="4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其余未尽事宜，均按合同约定。</w:t>
      </w:r>
    </w:p>
    <w:p>
      <w:pPr>
        <w:pStyle w:val="10"/>
        <w:spacing w:before="2" w:line="360" w:lineRule="auto"/>
        <w:ind w:left="0" w:leftChars="0" w:firstLine="883" w:firstLineChars="314"/>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8.要求招标人或相关合同签订单位提供的配合，在标书文件中说明。</w:t>
      </w:r>
    </w:p>
    <w:p>
      <w:pPr>
        <w:spacing w:line="360" w:lineRule="auto"/>
        <w:ind w:left="312" w:leftChars="142" w:firstLine="125" w:firstLineChars="39"/>
        <w:rPr>
          <w:rFonts w:hint="eastAsia" w:ascii="楷体" w:hAnsi="楷体" w:eastAsia="楷体" w:cs="楷体"/>
          <w:b/>
          <w:sz w:val="32"/>
        </w:rPr>
      </w:pPr>
      <w:r>
        <w:rPr>
          <w:rFonts w:hint="eastAsia" w:ascii="楷体" w:hAnsi="楷体" w:eastAsia="楷体" w:cs="楷体"/>
          <w:b/>
          <w:sz w:val="32"/>
        </w:rPr>
        <w:t>七、投标、开标、评标</w:t>
      </w:r>
    </w:p>
    <w:p>
      <w:pPr>
        <w:pStyle w:val="2"/>
        <w:keepNext w:val="0"/>
        <w:keepLines w:val="0"/>
        <w:pageBreakBefore w:val="0"/>
        <w:widowControl w:val="0"/>
        <w:kinsoku/>
        <w:wordWrap/>
        <w:overflowPunct/>
        <w:topLinePunct w:val="0"/>
        <w:autoSpaceDE/>
        <w:autoSpaceDN/>
        <w:bidi w:val="0"/>
        <w:adjustRightInd/>
        <w:snapToGrid/>
        <w:ind w:left="0" w:leftChars="0" w:firstLine="879" w:firstLineChars="314"/>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1.</w:t>
      </w:r>
      <w:r>
        <w:rPr>
          <w:rFonts w:hint="default" w:ascii="仿宋_GB2312" w:hAnsi="仿宋_GB2312" w:eastAsia="仿宋_GB2312" w:cs="仿宋_GB2312"/>
          <w:b w:val="0"/>
          <w:bCs w:val="0"/>
          <w:sz w:val="28"/>
          <w:szCs w:val="28"/>
          <w:lang w:val="en-US" w:eastAsia="zh-CN"/>
        </w:rPr>
        <w:t>评标</w:t>
      </w:r>
    </w:p>
    <w:p>
      <w:pPr>
        <w:pStyle w:val="2"/>
        <w:keepNext w:val="0"/>
        <w:keepLines w:val="0"/>
        <w:pageBreakBefore w:val="0"/>
        <w:widowControl w:val="0"/>
        <w:kinsoku/>
        <w:wordWrap/>
        <w:overflowPunct/>
        <w:topLinePunct w:val="0"/>
        <w:autoSpaceDE/>
        <w:autoSpaceDN/>
        <w:bidi w:val="0"/>
        <w:adjustRightInd/>
        <w:snapToGrid/>
        <w:ind w:left="440" w:leftChars="20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为保证项目顺利实施，由招标人组织、按国家法律法规及公司相关规章制度要求，设立三人及以上单数成员（视标的额大小按规定确定专家人数）组成的评标工作小组，同时依据以下评分标准，采用综合评定法，本着公平、公正、公开的原则，在最大限度地满足招标文件实质性要求的前提下，对招标文件中规定的各项因素进行综合评审，确定中标候选供应商或者中标供应商（原则上按照评标合理最低价选择中标单位，对未中标单位不做任何解释）。</w:t>
      </w:r>
    </w:p>
    <w:p>
      <w:pPr>
        <w:pStyle w:val="2"/>
        <w:keepNext w:val="0"/>
        <w:keepLines w:val="0"/>
        <w:pageBreakBefore w:val="0"/>
        <w:widowControl w:val="0"/>
        <w:kinsoku/>
        <w:wordWrap/>
        <w:overflowPunct/>
        <w:topLinePunct w:val="0"/>
        <w:autoSpaceDE/>
        <w:autoSpaceDN/>
        <w:bidi w:val="0"/>
        <w:adjustRightInd/>
        <w:snapToGrid/>
        <w:ind w:left="0" w:leftChars="0" w:firstLine="879" w:firstLineChars="314"/>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开标程序</w:t>
      </w:r>
    </w:p>
    <w:p>
      <w:pPr>
        <w:pStyle w:val="2"/>
        <w:keepNext w:val="0"/>
        <w:keepLines w:val="0"/>
        <w:pageBreakBefore w:val="0"/>
        <w:widowControl w:val="0"/>
        <w:kinsoku/>
        <w:wordWrap/>
        <w:overflowPunct/>
        <w:topLinePunct w:val="0"/>
        <w:autoSpaceDE/>
        <w:autoSpaceDN/>
        <w:bidi w:val="0"/>
        <w:adjustRightInd/>
        <w:snapToGrid/>
        <w:ind w:left="0" w:leftChars="0" w:firstLine="879" w:firstLineChars="314"/>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val="en-US" w:eastAsia="zh-CN"/>
        </w:rPr>
        <w:t>开标前项目实施单位核验投标单位及人员资质、证件。</w:t>
      </w:r>
    </w:p>
    <w:p>
      <w:pPr>
        <w:pStyle w:val="9"/>
        <w:ind w:left="440" w:leftChars="200" w:firstLine="436" w:firstLineChars="15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val="en-US" w:eastAsia="zh-CN"/>
        </w:rPr>
        <w:t>根据时间安排进行开标，原则上开标后，不少于三次报价</w:t>
      </w:r>
      <w:r>
        <w:rPr>
          <w:rFonts w:hint="eastAsia" w:ascii="仿宋_GB2312" w:hAnsi="仿宋_GB2312" w:eastAsia="仿宋_GB2312" w:cs="仿宋_GB2312"/>
          <w:b w:val="0"/>
          <w:bCs w:val="0"/>
          <w:sz w:val="28"/>
          <w:szCs w:val="28"/>
          <w:lang w:val="en-US" w:eastAsia="zh-CN"/>
        </w:rPr>
        <w:t>。所有报价货币单位均为：元（人民币，不含税）。</w:t>
      </w:r>
      <w:r>
        <w:rPr>
          <w:rFonts w:hint="eastAsia" w:ascii="仿宋_GB2312" w:hAnsi="仿宋_GB2312" w:eastAsia="仿宋_GB2312" w:cs="仿宋_GB2312"/>
          <w:sz w:val="28"/>
          <w:szCs w:val="28"/>
          <w:lang w:val="en-US" w:eastAsia="zh-CN"/>
        </w:rPr>
        <w:t>报价表需明确含税金额，不含税金额及税率；e采通报价为万元含税。</w:t>
      </w:r>
    </w:p>
    <w:p>
      <w:pPr>
        <w:pStyle w:val="2"/>
        <w:keepNext w:val="0"/>
        <w:keepLines w:val="0"/>
        <w:pageBreakBefore w:val="0"/>
        <w:widowControl w:val="0"/>
        <w:kinsoku/>
        <w:wordWrap/>
        <w:overflowPunct/>
        <w:topLinePunct w:val="0"/>
        <w:autoSpaceDE/>
        <w:autoSpaceDN/>
        <w:bidi w:val="0"/>
        <w:adjustRightInd/>
        <w:snapToGrid/>
        <w:ind w:left="440" w:leftChars="200" w:firstLine="658" w:firstLineChars="235"/>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专家组形成意见汇总，按照评标合理最低价最终确定中标单位，对未中标单位不做任何解释。</w:t>
      </w:r>
    </w:p>
    <w:p>
      <w:pPr>
        <w:pStyle w:val="2"/>
        <w:keepNext w:val="0"/>
        <w:keepLines w:val="0"/>
        <w:pageBreakBefore w:val="0"/>
        <w:widowControl w:val="0"/>
        <w:tabs>
          <w:tab w:val="left" w:pos="440"/>
        </w:tabs>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投标前请各投标方按照招标文件要求对项目方案进行充分准备，投标单位已默认认可上述开标、评标过程，无异议。招标人无义务对未入围投标方及未中标方做任何</w:t>
      </w:r>
      <w:r>
        <w:rPr>
          <w:rFonts w:hint="eastAsia" w:ascii="仿宋_GB2312" w:hAnsi="仿宋_GB2312" w:eastAsia="仿宋_GB2312" w:cs="仿宋_GB2312"/>
          <w:b w:val="0"/>
          <w:bCs w:val="0"/>
          <w:sz w:val="28"/>
          <w:szCs w:val="28"/>
          <w:lang w:val="en-US" w:eastAsia="zh-CN"/>
        </w:rPr>
        <w:t>解释。</w:t>
      </w:r>
    </w:p>
    <w:p>
      <w:pPr>
        <w:spacing w:before="54" w:line="360" w:lineRule="auto"/>
        <w:ind w:left="0" w:leftChars="0" w:firstLine="440" w:firstLineChars="137"/>
        <w:rPr>
          <w:rFonts w:hint="eastAsia" w:ascii="楷体" w:hAnsi="楷体" w:eastAsia="楷体" w:cs="楷体"/>
          <w:b/>
          <w:sz w:val="32"/>
        </w:rPr>
      </w:pPr>
      <w:r>
        <w:rPr>
          <w:rFonts w:hint="eastAsia" w:ascii="楷体" w:hAnsi="楷体" w:eastAsia="楷体" w:cs="楷体"/>
          <w:b/>
          <w:sz w:val="32"/>
        </w:rPr>
        <w:t>八、合同签订</w:t>
      </w:r>
    </w:p>
    <w:p>
      <w:pPr>
        <w:pStyle w:val="14"/>
        <w:numPr>
          <w:ilvl w:val="0"/>
          <w:numId w:val="3"/>
        </w:numPr>
        <w:tabs>
          <w:tab w:val="left" w:pos="880"/>
          <w:tab w:val="left" w:pos="1100"/>
        </w:tabs>
        <w:spacing w:before="111" w:line="360" w:lineRule="auto"/>
        <w:ind w:left="440" w:leftChars="200" w:right="-54" w:rightChars="0" w:firstLine="440" w:firstLineChars="0"/>
        <w:jc w:val="both"/>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14"/>
        <w:numPr>
          <w:ilvl w:val="0"/>
          <w:numId w:val="3"/>
        </w:numPr>
        <w:tabs>
          <w:tab w:val="left" w:pos="440"/>
          <w:tab w:val="left" w:pos="880"/>
        </w:tabs>
        <w:spacing w:line="360" w:lineRule="auto"/>
        <w:ind w:left="438" w:leftChars="0" w:right="-54" w:rightChars="0" w:firstLine="442" w:firstLineChars="0"/>
        <w:jc w:val="both"/>
        <w:rPr>
          <w:rFonts w:hint="eastAsia" w:ascii="仿宋_GB2312" w:hAnsi="仿宋_GB2312" w:eastAsia="仿宋_GB2312" w:cs="仿宋_GB2312"/>
          <w:sz w:val="28"/>
          <w:szCs w:val="28"/>
          <w:highlight w:val="none"/>
          <w:lang w:val="zh-CN" w:eastAsia="zh-CN" w:bidi="zh-CN"/>
        </w:rPr>
      </w:pPr>
      <w:r>
        <w:rPr>
          <w:rFonts w:hint="eastAsia" w:ascii="仿宋_GB2312" w:hAnsi="仿宋_GB2312" w:eastAsia="仿宋_GB2312" w:cs="仿宋_GB2312"/>
          <w:sz w:val="28"/>
          <w:szCs w:val="28"/>
          <w:lang w:val="zh-CN" w:eastAsia="zh-CN" w:bidi="zh-CN"/>
        </w:rPr>
        <w:t>招标人发送《中标通知书》给中标人，中标人应及时与招标人联系，在规定的时间内（一般为接到《中标通知书》后3个工作日内）到招标单位对《中标人推荐表》进行签字确认并与相关单位签订合同（一般为接到《中标通知书》后10个工作日内，具体以招标人要求为准），如果中标人接到《中标通知书》后，无正当理由拒绝按其规定的期限与相关单位签订合同或在签订合同时向招标人或相关单位提出附加条件或者更改合同实质性内容的，投标保证金不予返还，招标人有权取消其中标资格，招标人将</w:t>
      </w:r>
      <w:r>
        <w:rPr>
          <w:rFonts w:hint="eastAsia" w:ascii="仿宋_GB2312" w:hAnsi="仿宋_GB2312" w:eastAsia="仿宋_GB2312" w:cs="仿宋_GB2312"/>
          <w:sz w:val="28"/>
          <w:szCs w:val="28"/>
          <w:highlight w:val="none"/>
          <w:lang w:val="zh-CN" w:eastAsia="zh-CN" w:bidi="zh-CN"/>
        </w:rPr>
        <w:t>从剩余投标人中依序重新确定中标人，或重新组织招标。</w:t>
      </w:r>
    </w:p>
    <w:p>
      <w:pPr>
        <w:pStyle w:val="14"/>
        <w:numPr>
          <w:ilvl w:val="0"/>
          <w:numId w:val="3"/>
        </w:numPr>
        <w:tabs>
          <w:tab w:val="left" w:pos="880"/>
        </w:tabs>
        <w:spacing w:before="111" w:line="360" w:lineRule="auto"/>
        <w:ind w:left="440" w:leftChars="200" w:right="-54" w:rightChars="0" w:firstLine="440" w:firstLineChars="0"/>
        <w:jc w:val="both"/>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highlight w:val="none"/>
          <w:lang w:val="zh-CN" w:eastAsia="zh-CN" w:bidi="zh-CN"/>
        </w:rPr>
        <w:t>中标人应当按照合同约定的履约责任，向招标人缴纳履约保证金</w:t>
      </w:r>
      <w:r>
        <w:rPr>
          <w:rFonts w:hint="eastAsia" w:ascii="仿宋_GB2312" w:hAnsi="仿宋_GB2312" w:eastAsia="仿宋_GB2312" w:cs="仿宋_GB2312"/>
          <w:sz w:val="28"/>
          <w:szCs w:val="28"/>
          <w:highlight w:val="none"/>
          <w:lang w:val="en-US" w:eastAsia="zh-CN" w:bidi="zh-CN"/>
        </w:rPr>
        <w:t>2</w:t>
      </w:r>
      <w:r>
        <w:rPr>
          <w:rFonts w:hint="eastAsia" w:ascii="仿宋_GB2312" w:hAnsi="仿宋_GB2312" w:eastAsia="仿宋_GB2312" w:cs="仿宋_GB2312"/>
          <w:sz w:val="28"/>
          <w:szCs w:val="28"/>
          <w:highlight w:val="none"/>
          <w:lang w:val="zh-CN" w:eastAsia="zh-CN" w:bidi="zh-CN"/>
        </w:rPr>
        <w:t>万元（人民币）</w:t>
      </w:r>
      <w:r>
        <w:rPr>
          <w:rFonts w:hint="eastAsia" w:ascii="仿宋_GB2312" w:hAnsi="仿宋_GB2312" w:eastAsia="仿宋_GB2312" w:cs="仿宋_GB2312"/>
          <w:sz w:val="28"/>
          <w:szCs w:val="28"/>
          <w:lang w:val="zh-CN" w:eastAsia="zh-CN" w:bidi="zh-CN"/>
        </w:rPr>
        <w:t>，如中标人未按合同及其附件约定履行应承担的责任，招标人有权单方直接扣除其履约保证金。</w:t>
      </w:r>
    </w:p>
    <w:p>
      <w:pPr>
        <w:pStyle w:val="14"/>
        <w:numPr>
          <w:ilvl w:val="0"/>
          <w:numId w:val="3"/>
        </w:numPr>
        <w:tabs>
          <w:tab w:val="left" w:pos="880"/>
        </w:tabs>
        <w:spacing w:line="360" w:lineRule="auto"/>
        <w:ind w:left="438" w:leftChars="0" w:right="-54" w:rightChars="0" w:firstLine="442" w:firstLineChars="0"/>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lang w:val="zh-CN" w:eastAsia="zh-CN" w:bidi="zh-CN"/>
        </w:rPr>
        <w:t>中标人应在保证质量的前提下完成中标项目，不得将中标项目转包或分包给他人，否则视为违约，招标人或相关单位有权解除合同。</w:t>
      </w:r>
    </w:p>
    <w:p>
      <w:pPr>
        <w:pStyle w:val="14"/>
        <w:numPr>
          <w:ilvl w:val="0"/>
          <w:numId w:val="3"/>
        </w:numPr>
        <w:tabs>
          <w:tab w:val="left" w:pos="880"/>
        </w:tabs>
        <w:spacing w:line="360" w:lineRule="auto"/>
        <w:ind w:left="440" w:leftChars="200" w:right="-54" w:rightChars="0" w:firstLine="44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eastAsia="zh-CN" w:bidi="zh-CN"/>
        </w:rPr>
        <w:t>在履行合同过程中，中标人由于履行义务的能力或</w:t>
      </w:r>
      <w:r>
        <w:rPr>
          <w:rFonts w:hint="eastAsia" w:ascii="仿宋_GB2312" w:hAnsi="仿宋_GB2312" w:eastAsia="仿宋_GB2312" w:cs="仿宋_GB2312"/>
          <w:sz w:val="28"/>
          <w:szCs w:val="28"/>
        </w:rPr>
        <w:t>信用有严重缺陷，招标人有权解除合同并取消其中标资格，招标人将从剩余投标人中依序重新确定中标人，或重新组织招标，因此造成的损失由中标人承担。</w:t>
      </w:r>
    </w:p>
    <w:p>
      <w:pPr>
        <w:pStyle w:val="14"/>
        <w:numPr>
          <w:ilvl w:val="0"/>
          <w:numId w:val="3"/>
        </w:numPr>
        <w:tabs>
          <w:tab w:val="left" w:pos="880"/>
        </w:tabs>
        <w:spacing w:line="360" w:lineRule="auto"/>
        <w:ind w:left="440" w:leftChars="0" w:right="-54" w:rightChars="0" w:firstLine="44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招标人有权指定招标人的关联单位作为合同签订人，与中标人签署相关合同，且具体权利义务以双方最终签署的合同为准。</w:t>
      </w:r>
    </w:p>
    <w:p>
      <w:pPr>
        <w:pStyle w:val="14"/>
        <w:numPr>
          <w:ilvl w:val="0"/>
          <w:numId w:val="3"/>
        </w:numPr>
        <w:tabs>
          <w:tab w:val="left" w:pos="880"/>
          <w:tab w:val="left" w:pos="1100"/>
        </w:tabs>
        <w:spacing w:line="360" w:lineRule="auto"/>
        <w:ind w:left="440" w:leftChars="200" w:right="-54" w:rightChars="0" w:firstLine="44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中标人须认可招标人由于招标人上级集团公司政策变化引起的随时终止合同的要求。</w:t>
      </w:r>
    </w:p>
    <w:p>
      <w:pPr>
        <w:pStyle w:val="14"/>
        <w:numPr>
          <w:ilvl w:val="0"/>
          <w:numId w:val="3"/>
        </w:numPr>
        <w:tabs>
          <w:tab w:val="left" w:pos="880"/>
        </w:tabs>
        <w:spacing w:line="360" w:lineRule="auto"/>
        <w:ind w:left="440" w:leftChars="0" w:right="-54" w:rightChars="0" w:firstLine="440" w:firstLineChars="0"/>
        <w:rPr>
          <w:rFonts w:hint="eastAsia" w:ascii="仿宋_GB2312" w:hAnsi="仿宋_GB2312" w:eastAsia="仿宋_GB2312" w:cs="仿宋_GB2312"/>
          <w:sz w:val="28"/>
          <w:szCs w:val="28"/>
          <w:lang w:val="zh-CN" w:eastAsia="zh-CN" w:bidi="zh-CN"/>
        </w:rPr>
      </w:pPr>
      <w:r>
        <w:rPr>
          <w:rFonts w:hint="eastAsia" w:ascii="仿宋_GB2312" w:hAnsi="仿宋_GB2312" w:eastAsia="仿宋_GB2312" w:cs="仿宋_GB2312"/>
          <w:sz w:val="28"/>
          <w:szCs w:val="28"/>
        </w:rPr>
        <w:t>中标人为委托业务购置财产保全保险，保费由中标人承担，指定招标人授权的合同签署单位为唯一受益人，并由各主营单位在合同中约定</w:t>
      </w:r>
      <w:r>
        <w:rPr>
          <w:rFonts w:hint="eastAsia" w:ascii="仿宋_GB2312" w:hAnsi="仿宋_GB2312" w:eastAsia="仿宋_GB2312" w:cs="仿宋_GB2312"/>
          <w:sz w:val="28"/>
          <w:szCs w:val="28"/>
          <w:lang w:eastAsia="zh-CN"/>
        </w:rPr>
        <w:t>。</w:t>
      </w:r>
    </w:p>
    <w:p>
      <w:pPr>
        <w:pStyle w:val="5"/>
        <w:spacing w:before="178" w:line="360" w:lineRule="auto"/>
        <w:ind w:left="639" w:leftChars="200" w:hanging="199" w:hangingChars="62"/>
        <w:rPr>
          <w:rFonts w:hint="eastAsia" w:ascii="楷体" w:hAnsi="楷体" w:eastAsia="楷体" w:cs="楷体"/>
        </w:rPr>
      </w:pPr>
      <w:r>
        <w:rPr>
          <w:rFonts w:hint="eastAsia" w:ascii="楷体" w:hAnsi="楷体" w:eastAsia="楷体" w:cs="楷体"/>
        </w:rPr>
        <w:t>九、废标及终止招标</w:t>
      </w:r>
    </w:p>
    <w:p>
      <w:pPr>
        <w:pStyle w:val="14"/>
        <w:numPr>
          <w:ilvl w:val="0"/>
          <w:numId w:val="4"/>
        </w:numPr>
        <w:tabs>
          <w:tab w:val="left" w:pos="880"/>
          <w:tab w:val="left" w:pos="1100"/>
          <w:tab w:val="left" w:pos="1320"/>
        </w:tabs>
        <w:spacing w:before="216" w:line="360" w:lineRule="auto"/>
        <w:ind w:left="438" w:leftChars="0" w:right="-54" w:rightChars="0" w:firstLine="442"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有下列情形之一，其投标将被视为废标，招标人将严格按照《中华人民共和国招标投标法》及相关法律、法规及规章制度的规定行使权利。投标人给招标人造成损失的，包括但不限于因违约造成的直接经济损失、可得利益损失、诉讼费、律师费等实现债权的费用，招标人有索赔的权利，投标人应予以赔偿。</w:t>
      </w:r>
    </w:p>
    <w:p>
      <w:pPr>
        <w:pStyle w:val="10"/>
        <w:spacing w:before="7" w:line="360" w:lineRule="auto"/>
        <w:ind w:left="440" w:leftChars="200" w:right="-53" w:rightChars="-24" w:firstLine="436" w:firstLineChars="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投标人提供的有关资格、资质证明文件不合格、不真实或提供虚假投标材料；</w:t>
      </w:r>
    </w:p>
    <w:p>
      <w:pPr>
        <w:pStyle w:val="1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投标人在报价有效期内撤回投标；</w:t>
      </w:r>
    </w:p>
    <w:p>
      <w:pPr>
        <w:pStyle w:val="10"/>
        <w:spacing w:line="360" w:lineRule="auto"/>
        <w:ind w:right="-53" w:rightChars="-24"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在整个评标过程中，投标人有企图影响评标结果公正性的任何活动；</w:t>
      </w:r>
    </w:p>
    <w:p>
      <w:pPr>
        <w:pStyle w:val="10"/>
        <w:spacing w:before="70" w:line="360" w:lineRule="auto"/>
        <w:ind w:firstLine="840" w:firstLineChars="300"/>
        <w:rPr>
          <w:rFonts w:hint="eastAsia" w:ascii="仿宋_GB2312" w:hAnsi="仿宋_GB2312" w:eastAsia="仿宋_GB2312" w:cs="仿宋_GB2312"/>
          <w:sz w:val="28"/>
          <w:szCs w:val="28"/>
        </w:rPr>
      </w:pPr>
      <w:bookmarkStart w:id="10" w:name="_bookmark1"/>
      <w:bookmarkEnd w:id="10"/>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投标人以任何方式诋毁其他投标人；</w:t>
      </w:r>
    </w:p>
    <w:p>
      <w:pPr>
        <w:pStyle w:val="10"/>
        <w:spacing w:before="1"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投标人串通投标；</w:t>
      </w:r>
    </w:p>
    <w:p>
      <w:pPr>
        <w:pStyle w:val="1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以他人名义投标或者以其他方式弄虚作假，骗取中标的；</w:t>
      </w:r>
    </w:p>
    <w:p>
      <w:pPr>
        <w:pStyle w:val="10"/>
        <w:spacing w:line="360" w:lineRule="auto"/>
        <w:ind w:firstLine="840" w:firstLineChars="3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投标单位负责人为同一人或存在管理关系的</w:t>
      </w:r>
      <w:r>
        <w:rPr>
          <w:rFonts w:hint="eastAsia" w:ascii="仿宋_GB2312" w:hAnsi="仿宋_GB2312" w:eastAsia="仿宋_GB2312" w:cs="仿宋_GB2312"/>
          <w:color w:val="auto"/>
          <w:sz w:val="28"/>
          <w:szCs w:val="28"/>
          <w:highlight w:val="none"/>
          <w:lang w:eastAsia="zh-CN"/>
        </w:rPr>
        <w:t>；</w:t>
      </w:r>
    </w:p>
    <w:p>
      <w:pPr>
        <w:pStyle w:val="1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投标人被举报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检举，并经招标方查实无误的</w:t>
      </w:r>
      <w:r>
        <w:rPr>
          <w:rFonts w:hint="eastAsia" w:ascii="仿宋_GB2312" w:hAnsi="仿宋_GB2312" w:eastAsia="仿宋_GB2312" w:cs="仿宋_GB2312"/>
          <w:color w:val="auto"/>
          <w:sz w:val="28"/>
          <w:szCs w:val="28"/>
          <w:highlight w:val="none"/>
          <w:lang w:eastAsia="zh-CN"/>
        </w:rPr>
        <w:t>；</w:t>
      </w:r>
    </w:p>
    <w:p>
      <w:pPr>
        <w:pStyle w:val="10"/>
        <w:spacing w:line="360" w:lineRule="auto"/>
        <w:ind w:firstLine="840" w:firstLineChars="3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中标人不按规定签订合同；</w:t>
      </w:r>
    </w:p>
    <w:p>
      <w:pPr>
        <w:pStyle w:val="10"/>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法律、法规规定的其他情况。</w:t>
      </w:r>
    </w:p>
    <w:p>
      <w:pPr>
        <w:pStyle w:val="10"/>
        <w:spacing w:line="360" w:lineRule="auto"/>
        <w:ind w:left="11" w:leftChars="5" w:firstLine="868" w:firstLineChars="3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2.出现下列情形之一，招标人有权否决所有投标人的投标，并终止招标。</w:t>
      </w:r>
    </w:p>
    <w:p>
      <w:pPr>
        <w:pStyle w:val="10"/>
        <w:spacing w:line="360" w:lineRule="auto"/>
        <w:ind w:left="0" w:leftChars="0" w:firstLine="879" w:firstLineChars="31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出现影响采购公正的违法、违规行为的；</w:t>
      </w:r>
    </w:p>
    <w:p>
      <w:pPr>
        <w:pStyle w:val="10"/>
        <w:spacing w:line="360" w:lineRule="auto"/>
        <w:ind w:left="0" w:leftChars="0" w:firstLine="879" w:firstLineChars="31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因重大变故，采购任务取消的；</w:t>
      </w:r>
    </w:p>
    <w:p>
      <w:pPr>
        <w:pStyle w:val="14"/>
        <w:numPr>
          <w:ilvl w:val="0"/>
          <w:numId w:val="0"/>
        </w:numPr>
        <w:tabs>
          <w:tab w:val="left" w:pos="1100"/>
        </w:tabs>
        <w:spacing w:line="360" w:lineRule="auto"/>
        <w:ind w:left="0" w:leftChars="0" w:right="-54" w:rightChars="0" w:firstLine="879" w:firstLineChars="31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招标人认为其他应终止招标的情形。</w:t>
      </w:r>
    </w:p>
    <w:p>
      <w:pPr>
        <w:pStyle w:val="5"/>
        <w:spacing w:before="130" w:line="360" w:lineRule="auto"/>
        <w:ind w:left="639" w:leftChars="200" w:hanging="199" w:hangingChars="62"/>
        <w:rPr>
          <w:rFonts w:hint="eastAsia" w:ascii="楷体" w:hAnsi="楷体" w:eastAsia="楷体" w:cs="楷体"/>
        </w:rPr>
      </w:pPr>
      <w:r>
        <w:rPr>
          <w:rFonts w:hint="eastAsia" w:ascii="楷体" w:hAnsi="楷体" w:eastAsia="楷体" w:cs="楷体"/>
        </w:rPr>
        <w:t>十、中标人瑕疵滞后发现的处理原则</w:t>
      </w:r>
    </w:p>
    <w:p>
      <w:pPr>
        <w:pStyle w:val="14"/>
        <w:numPr>
          <w:ilvl w:val="0"/>
          <w:numId w:val="0"/>
        </w:numPr>
        <w:tabs>
          <w:tab w:val="left" w:pos="440"/>
          <w:tab w:val="left" w:pos="1100"/>
        </w:tabs>
        <w:spacing w:line="360" w:lineRule="auto"/>
        <w:ind w:left="458" w:leftChars="208" w:right="-54" w:rightChars="0" w:firstLine="641" w:firstLineChars="22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因招标产生的相关的费用以及一切损失均由中标人承担。</w:t>
      </w:r>
    </w:p>
    <w:p>
      <w:pPr>
        <w:pStyle w:val="2"/>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both"/>
        <w:textAlignment w:val="auto"/>
        <w:rPr>
          <w:rFonts w:hint="default" w:ascii="仿宋_GB2312" w:hAnsi="仿宋_GB2312" w:eastAsia="仿宋_GB2312" w:cs="仿宋_GB2312"/>
          <w:b w:val="0"/>
          <w:bCs w:val="0"/>
          <w:sz w:val="28"/>
          <w:szCs w:val="28"/>
          <w:lang w:val="en-US" w:eastAsia="zh-CN"/>
        </w:rPr>
      </w:pPr>
    </w:p>
    <w:p>
      <w:pPr>
        <w:pStyle w:val="2"/>
        <w:ind w:left="0" w:leftChars="0" w:firstLine="0" w:firstLineChars="0"/>
        <w:rPr>
          <w:rFonts w:hint="default" w:ascii="黑体" w:eastAsia="黑体"/>
          <w:b/>
          <w:sz w:val="28"/>
          <w:lang w:val="en-US" w:eastAsia="zh-CN"/>
        </w:rPr>
      </w:pPr>
      <w:r>
        <w:rPr>
          <w:rFonts w:hint="eastAsia" w:ascii="宋体" w:eastAsia="宋体"/>
          <w:lang w:val="en-US" w:eastAsia="zh-CN"/>
        </w:rPr>
        <w:t xml:space="preserve">  </w:t>
      </w:r>
    </w:p>
    <w:sectPr>
      <w:pgSz w:w="11906" w:h="16838"/>
      <w:pgMar w:top="1440" w:right="1306" w:bottom="1440" w:left="7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638" w:hanging="212"/>
      </w:pPr>
      <w:rPr>
        <w:rFonts w:hint="default" w:ascii="仿宋_GB2312" w:hAnsi="仿宋_GB2312" w:eastAsia="仿宋_GB2312" w:cs="仿宋_GB2312"/>
        <w:w w:val="98"/>
        <w:sz w:val="28"/>
        <w:szCs w:val="28"/>
        <w:lang w:val="zh-CN" w:eastAsia="zh-CN" w:bidi="zh-CN"/>
      </w:rPr>
    </w:lvl>
    <w:lvl w:ilvl="1" w:tentative="0">
      <w:start w:val="0"/>
      <w:numFmt w:val="bullet"/>
      <w:lvlText w:val="•"/>
      <w:lvlJc w:val="left"/>
      <w:pPr>
        <w:ind w:left="1607" w:hanging="212"/>
      </w:pPr>
      <w:rPr>
        <w:rFonts w:hint="default"/>
        <w:lang w:val="zh-CN" w:eastAsia="zh-CN" w:bidi="zh-CN"/>
      </w:rPr>
    </w:lvl>
    <w:lvl w:ilvl="2" w:tentative="0">
      <w:start w:val="0"/>
      <w:numFmt w:val="bullet"/>
      <w:lvlText w:val="•"/>
      <w:lvlJc w:val="left"/>
      <w:pPr>
        <w:ind w:left="2574" w:hanging="212"/>
      </w:pPr>
      <w:rPr>
        <w:rFonts w:hint="default"/>
        <w:lang w:val="zh-CN" w:eastAsia="zh-CN" w:bidi="zh-CN"/>
      </w:rPr>
    </w:lvl>
    <w:lvl w:ilvl="3" w:tentative="0">
      <w:start w:val="0"/>
      <w:numFmt w:val="bullet"/>
      <w:lvlText w:val="•"/>
      <w:lvlJc w:val="left"/>
      <w:pPr>
        <w:ind w:left="3541" w:hanging="212"/>
      </w:pPr>
      <w:rPr>
        <w:rFonts w:hint="default"/>
        <w:lang w:val="zh-CN" w:eastAsia="zh-CN" w:bidi="zh-CN"/>
      </w:rPr>
    </w:lvl>
    <w:lvl w:ilvl="4" w:tentative="0">
      <w:start w:val="0"/>
      <w:numFmt w:val="bullet"/>
      <w:lvlText w:val="•"/>
      <w:lvlJc w:val="left"/>
      <w:pPr>
        <w:ind w:left="4508" w:hanging="212"/>
      </w:pPr>
      <w:rPr>
        <w:rFonts w:hint="default"/>
        <w:lang w:val="zh-CN" w:eastAsia="zh-CN" w:bidi="zh-CN"/>
      </w:rPr>
    </w:lvl>
    <w:lvl w:ilvl="5" w:tentative="0">
      <w:start w:val="0"/>
      <w:numFmt w:val="bullet"/>
      <w:lvlText w:val="•"/>
      <w:lvlJc w:val="left"/>
      <w:pPr>
        <w:ind w:left="5475" w:hanging="212"/>
      </w:pPr>
      <w:rPr>
        <w:rFonts w:hint="default"/>
        <w:lang w:val="zh-CN" w:eastAsia="zh-CN" w:bidi="zh-CN"/>
      </w:rPr>
    </w:lvl>
    <w:lvl w:ilvl="6" w:tentative="0">
      <w:start w:val="0"/>
      <w:numFmt w:val="bullet"/>
      <w:lvlText w:val="•"/>
      <w:lvlJc w:val="left"/>
      <w:pPr>
        <w:ind w:left="6442" w:hanging="212"/>
      </w:pPr>
      <w:rPr>
        <w:rFonts w:hint="default"/>
        <w:lang w:val="zh-CN" w:eastAsia="zh-CN" w:bidi="zh-CN"/>
      </w:rPr>
    </w:lvl>
    <w:lvl w:ilvl="7" w:tentative="0">
      <w:start w:val="0"/>
      <w:numFmt w:val="bullet"/>
      <w:lvlText w:val="•"/>
      <w:lvlJc w:val="left"/>
      <w:pPr>
        <w:ind w:left="7409" w:hanging="212"/>
      </w:pPr>
      <w:rPr>
        <w:rFonts w:hint="default"/>
        <w:lang w:val="zh-CN" w:eastAsia="zh-CN" w:bidi="zh-CN"/>
      </w:rPr>
    </w:lvl>
    <w:lvl w:ilvl="8" w:tentative="0">
      <w:start w:val="0"/>
      <w:numFmt w:val="bullet"/>
      <w:lvlText w:val="•"/>
      <w:lvlJc w:val="left"/>
      <w:pPr>
        <w:ind w:left="8376" w:hanging="212"/>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1260" w:hanging="202"/>
      </w:pPr>
      <w:rPr>
        <w:rFonts w:hint="default" w:ascii="仿宋_GB2312" w:hAnsi="仿宋_GB2312" w:eastAsia="仿宋_GB2312" w:cs="仿宋_GB2312"/>
        <w:b/>
        <w:bCs/>
        <w:spacing w:val="2"/>
        <w:w w:val="92"/>
        <w:sz w:val="28"/>
        <w:szCs w:val="28"/>
        <w:lang w:val="zh-CN" w:eastAsia="zh-CN" w:bidi="zh-CN"/>
      </w:rPr>
    </w:lvl>
    <w:lvl w:ilvl="1" w:tentative="0">
      <w:start w:val="0"/>
      <w:numFmt w:val="bullet"/>
      <w:lvlText w:val="•"/>
      <w:lvlJc w:val="left"/>
      <w:pPr>
        <w:ind w:left="2165" w:hanging="202"/>
      </w:pPr>
      <w:rPr>
        <w:rFonts w:hint="default"/>
        <w:lang w:val="zh-CN" w:eastAsia="zh-CN" w:bidi="zh-CN"/>
      </w:rPr>
    </w:lvl>
    <w:lvl w:ilvl="2" w:tentative="0">
      <w:start w:val="0"/>
      <w:numFmt w:val="bullet"/>
      <w:lvlText w:val="•"/>
      <w:lvlJc w:val="left"/>
      <w:pPr>
        <w:ind w:left="3070" w:hanging="202"/>
      </w:pPr>
      <w:rPr>
        <w:rFonts w:hint="default"/>
        <w:lang w:val="zh-CN" w:eastAsia="zh-CN" w:bidi="zh-CN"/>
      </w:rPr>
    </w:lvl>
    <w:lvl w:ilvl="3" w:tentative="0">
      <w:start w:val="0"/>
      <w:numFmt w:val="bullet"/>
      <w:lvlText w:val="•"/>
      <w:lvlJc w:val="left"/>
      <w:pPr>
        <w:ind w:left="3975" w:hanging="202"/>
      </w:pPr>
      <w:rPr>
        <w:rFonts w:hint="default"/>
        <w:lang w:val="zh-CN" w:eastAsia="zh-CN" w:bidi="zh-CN"/>
      </w:rPr>
    </w:lvl>
    <w:lvl w:ilvl="4" w:tentative="0">
      <w:start w:val="0"/>
      <w:numFmt w:val="bullet"/>
      <w:lvlText w:val="•"/>
      <w:lvlJc w:val="left"/>
      <w:pPr>
        <w:ind w:left="4880" w:hanging="202"/>
      </w:pPr>
      <w:rPr>
        <w:rFonts w:hint="default"/>
        <w:lang w:val="zh-CN" w:eastAsia="zh-CN" w:bidi="zh-CN"/>
      </w:rPr>
    </w:lvl>
    <w:lvl w:ilvl="5" w:tentative="0">
      <w:start w:val="0"/>
      <w:numFmt w:val="bullet"/>
      <w:lvlText w:val="•"/>
      <w:lvlJc w:val="left"/>
      <w:pPr>
        <w:ind w:left="5785" w:hanging="202"/>
      </w:pPr>
      <w:rPr>
        <w:rFonts w:hint="default"/>
        <w:lang w:val="zh-CN" w:eastAsia="zh-CN" w:bidi="zh-CN"/>
      </w:rPr>
    </w:lvl>
    <w:lvl w:ilvl="6" w:tentative="0">
      <w:start w:val="0"/>
      <w:numFmt w:val="bullet"/>
      <w:lvlText w:val="•"/>
      <w:lvlJc w:val="left"/>
      <w:pPr>
        <w:ind w:left="6690" w:hanging="202"/>
      </w:pPr>
      <w:rPr>
        <w:rFonts w:hint="default"/>
        <w:lang w:val="zh-CN" w:eastAsia="zh-CN" w:bidi="zh-CN"/>
      </w:rPr>
    </w:lvl>
    <w:lvl w:ilvl="7" w:tentative="0">
      <w:start w:val="0"/>
      <w:numFmt w:val="bullet"/>
      <w:lvlText w:val="•"/>
      <w:lvlJc w:val="left"/>
      <w:pPr>
        <w:ind w:left="7595" w:hanging="202"/>
      </w:pPr>
      <w:rPr>
        <w:rFonts w:hint="default"/>
        <w:lang w:val="zh-CN" w:eastAsia="zh-CN" w:bidi="zh-CN"/>
      </w:rPr>
    </w:lvl>
    <w:lvl w:ilvl="8" w:tentative="0">
      <w:start w:val="0"/>
      <w:numFmt w:val="bullet"/>
      <w:lvlText w:val="•"/>
      <w:lvlJc w:val="left"/>
      <w:pPr>
        <w:ind w:left="8500" w:hanging="202"/>
      </w:pPr>
      <w:rPr>
        <w:rFonts w:hint="default"/>
        <w:lang w:val="zh-CN" w:eastAsia="zh-CN" w:bidi="zh-CN"/>
      </w:rPr>
    </w:lvl>
  </w:abstractNum>
  <w:abstractNum w:abstractNumId="2">
    <w:nsid w:val="02660CDE"/>
    <w:multiLevelType w:val="singleLevel"/>
    <w:tmpl w:val="02660CDE"/>
    <w:lvl w:ilvl="0" w:tentative="0">
      <w:start w:val="4"/>
      <w:numFmt w:val="chineseCounting"/>
      <w:suff w:val="nothing"/>
      <w:lvlText w:val="%1、"/>
      <w:lvlJc w:val="left"/>
      <w:pPr>
        <w:ind w:left="22"/>
      </w:pPr>
      <w:rPr>
        <w:rFonts w:hint="eastAsia"/>
      </w:rPr>
    </w:lvl>
  </w:abstractNum>
  <w:abstractNum w:abstractNumId="3">
    <w:nsid w:val="03D62ECE"/>
    <w:multiLevelType w:val="multilevel"/>
    <w:tmpl w:val="03D62ECE"/>
    <w:lvl w:ilvl="0" w:tentative="0">
      <w:start w:val="1"/>
      <w:numFmt w:val="decimal"/>
      <w:lvlText w:val="%1."/>
      <w:lvlJc w:val="left"/>
      <w:pPr>
        <w:ind w:left="638" w:hanging="212"/>
      </w:pPr>
      <w:rPr>
        <w:rFonts w:hint="default" w:ascii="仿宋_GB2312" w:hAnsi="仿宋_GB2312" w:eastAsia="仿宋_GB2312" w:cs="仿宋_GB2312"/>
        <w:w w:val="98"/>
        <w:sz w:val="28"/>
        <w:szCs w:val="28"/>
        <w:lang w:val="zh-CN" w:eastAsia="zh-CN" w:bidi="zh-CN"/>
      </w:rPr>
    </w:lvl>
    <w:lvl w:ilvl="1" w:tentative="0">
      <w:start w:val="0"/>
      <w:numFmt w:val="bullet"/>
      <w:lvlText w:val="•"/>
      <w:lvlJc w:val="left"/>
      <w:pPr>
        <w:ind w:left="1607" w:hanging="212"/>
      </w:pPr>
      <w:rPr>
        <w:rFonts w:hint="default"/>
        <w:lang w:val="zh-CN" w:eastAsia="zh-CN" w:bidi="zh-CN"/>
      </w:rPr>
    </w:lvl>
    <w:lvl w:ilvl="2" w:tentative="0">
      <w:start w:val="0"/>
      <w:numFmt w:val="bullet"/>
      <w:lvlText w:val="•"/>
      <w:lvlJc w:val="left"/>
      <w:pPr>
        <w:ind w:left="2574" w:hanging="212"/>
      </w:pPr>
      <w:rPr>
        <w:rFonts w:hint="default"/>
        <w:lang w:val="zh-CN" w:eastAsia="zh-CN" w:bidi="zh-CN"/>
      </w:rPr>
    </w:lvl>
    <w:lvl w:ilvl="3" w:tentative="0">
      <w:start w:val="0"/>
      <w:numFmt w:val="bullet"/>
      <w:lvlText w:val="•"/>
      <w:lvlJc w:val="left"/>
      <w:pPr>
        <w:ind w:left="3541" w:hanging="212"/>
      </w:pPr>
      <w:rPr>
        <w:rFonts w:hint="default"/>
        <w:lang w:val="zh-CN" w:eastAsia="zh-CN" w:bidi="zh-CN"/>
      </w:rPr>
    </w:lvl>
    <w:lvl w:ilvl="4" w:tentative="0">
      <w:start w:val="0"/>
      <w:numFmt w:val="bullet"/>
      <w:lvlText w:val="•"/>
      <w:lvlJc w:val="left"/>
      <w:pPr>
        <w:ind w:left="4508" w:hanging="212"/>
      </w:pPr>
      <w:rPr>
        <w:rFonts w:hint="default"/>
        <w:lang w:val="zh-CN" w:eastAsia="zh-CN" w:bidi="zh-CN"/>
      </w:rPr>
    </w:lvl>
    <w:lvl w:ilvl="5" w:tentative="0">
      <w:start w:val="0"/>
      <w:numFmt w:val="bullet"/>
      <w:lvlText w:val="•"/>
      <w:lvlJc w:val="left"/>
      <w:pPr>
        <w:ind w:left="5475" w:hanging="212"/>
      </w:pPr>
      <w:rPr>
        <w:rFonts w:hint="default"/>
        <w:lang w:val="zh-CN" w:eastAsia="zh-CN" w:bidi="zh-CN"/>
      </w:rPr>
    </w:lvl>
    <w:lvl w:ilvl="6" w:tentative="0">
      <w:start w:val="0"/>
      <w:numFmt w:val="bullet"/>
      <w:lvlText w:val="•"/>
      <w:lvlJc w:val="left"/>
      <w:pPr>
        <w:ind w:left="6442" w:hanging="212"/>
      </w:pPr>
      <w:rPr>
        <w:rFonts w:hint="default"/>
        <w:lang w:val="zh-CN" w:eastAsia="zh-CN" w:bidi="zh-CN"/>
      </w:rPr>
    </w:lvl>
    <w:lvl w:ilvl="7" w:tentative="0">
      <w:start w:val="0"/>
      <w:numFmt w:val="bullet"/>
      <w:lvlText w:val="•"/>
      <w:lvlJc w:val="left"/>
      <w:pPr>
        <w:ind w:left="7409" w:hanging="212"/>
      </w:pPr>
      <w:rPr>
        <w:rFonts w:hint="default"/>
        <w:lang w:val="zh-CN" w:eastAsia="zh-CN" w:bidi="zh-CN"/>
      </w:rPr>
    </w:lvl>
    <w:lvl w:ilvl="8" w:tentative="0">
      <w:start w:val="0"/>
      <w:numFmt w:val="bullet"/>
      <w:lvlText w:val="•"/>
      <w:lvlJc w:val="left"/>
      <w:pPr>
        <w:ind w:left="8376" w:hanging="212"/>
      </w:pPr>
      <w:rPr>
        <w:rFonts w:hint="default"/>
        <w:lang w:val="zh-CN" w:eastAsia="zh-CN" w:bidi="zh-C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MzE1YmM0YWJiMWY1OGRjNTE4ZTcxMmFiNDNiOTcifQ=="/>
  </w:docVars>
  <w:rsids>
    <w:rsidRoot w:val="00000000"/>
    <w:rsid w:val="07A64AE1"/>
    <w:rsid w:val="159D7523"/>
    <w:rsid w:val="22303597"/>
    <w:rsid w:val="22925F36"/>
    <w:rsid w:val="23B131DE"/>
    <w:rsid w:val="30AB5082"/>
    <w:rsid w:val="3511718E"/>
    <w:rsid w:val="3750374E"/>
    <w:rsid w:val="4022393A"/>
    <w:rsid w:val="40E4724C"/>
    <w:rsid w:val="439E42E3"/>
    <w:rsid w:val="44226CC2"/>
    <w:rsid w:val="49156DF5"/>
    <w:rsid w:val="5129748C"/>
    <w:rsid w:val="5415414D"/>
    <w:rsid w:val="55782BE6"/>
    <w:rsid w:val="5FC034C7"/>
    <w:rsid w:val="651B533C"/>
    <w:rsid w:val="6B5E41D4"/>
    <w:rsid w:val="7294672D"/>
    <w:rsid w:val="76DB4F4D"/>
    <w:rsid w:val="7C463865"/>
    <w:rsid w:val="7F7D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left="38"/>
      <w:jc w:val="center"/>
      <w:outlineLvl w:val="0"/>
    </w:pPr>
    <w:rPr>
      <w:rFonts w:ascii="微软雅黑" w:hAnsi="微软雅黑" w:eastAsia="微软雅黑" w:cs="微软雅黑"/>
      <w:b/>
      <w:bCs/>
      <w:sz w:val="44"/>
      <w:szCs w:val="44"/>
    </w:rPr>
  </w:style>
  <w:style w:type="paragraph" w:styleId="5">
    <w:name w:val="heading 2"/>
    <w:basedOn w:val="1"/>
    <w:next w:val="1"/>
    <w:qFormat/>
    <w:uiPriority w:val="1"/>
    <w:pPr>
      <w:ind w:left="638"/>
      <w:outlineLvl w:val="1"/>
    </w:pPr>
    <w:rPr>
      <w:rFonts w:ascii="黑体" w:hAnsi="黑体" w:eastAsia="黑体" w:cs="黑体"/>
      <w:b/>
      <w:bCs/>
      <w:sz w:val="32"/>
      <w:szCs w:val="32"/>
    </w:rPr>
  </w:style>
  <w:style w:type="paragraph" w:styleId="6">
    <w:name w:val="heading 4"/>
    <w:basedOn w:val="1"/>
    <w:next w:val="1"/>
    <w:qFormat/>
    <w:uiPriority w:val="1"/>
    <w:pPr>
      <w:ind w:left="20"/>
      <w:outlineLvl w:val="3"/>
    </w:pPr>
    <w:rPr>
      <w:rFonts w:ascii="Times New Roman" w:hAnsi="Times New Roman" w:eastAsia="Times New Roman" w:cs="Times New Roman"/>
      <w:b/>
      <w:bCs/>
      <w:sz w:val="28"/>
      <w:szCs w:val="28"/>
    </w:rPr>
  </w:style>
  <w:style w:type="paragraph" w:styleId="7">
    <w:name w:val="heading 5"/>
    <w:basedOn w:val="1"/>
    <w:next w:val="1"/>
    <w:qFormat/>
    <w:uiPriority w:val="1"/>
    <w:pPr>
      <w:ind w:left="638"/>
      <w:outlineLvl w:val="4"/>
    </w:pPr>
    <w:rPr>
      <w:sz w:val="24"/>
      <w:szCs w:val="24"/>
    </w:rPr>
  </w:style>
  <w:style w:type="paragraph" w:styleId="8">
    <w:name w:val="heading 6"/>
    <w:basedOn w:val="1"/>
    <w:next w:val="1"/>
    <w:qFormat/>
    <w:uiPriority w:val="1"/>
    <w:pPr>
      <w:ind w:left="1269" w:hanging="214"/>
      <w:outlineLvl w:val="5"/>
    </w:pPr>
    <w:rPr>
      <w:b/>
      <w:bCs/>
      <w:sz w:val="21"/>
      <w:szCs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276" w:lineRule="auto"/>
      <w:ind w:firstLine="420" w:firstLineChars="200"/>
      <w:jc w:val="left"/>
    </w:pPr>
    <w:rPr>
      <w:rFonts w:ascii="Calibri" w:hAnsi="Calibri"/>
      <w:kern w:val="0"/>
      <w:sz w:val="22"/>
      <w:lang w:eastAsia="en-US"/>
    </w:rPr>
  </w:style>
  <w:style w:type="paragraph" w:styleId="3">
    <w:name w:val="Body Text Indent"/>
    <w:basedOn w:val="1"/>
    <w:qFormat/>
    <w:uiPriority w:val="99"/>
    <w:pPr>
      <w:autoSpaceDE/>
      <w:autoSpaceDN/>
      <w:spacing w:after="120"/>
      <w:ind w:left="420" w:leftChars="200"/>
      <w:jc w:val="both"/>
    </w:pPr>
    <w:rPr>
      <w:rFonts w:ascii="Times New Roman" w:hAnsi="Times New Roman" w:cs="Times New Roman"/>
      <w:kern w:val="2"/>
      <w:sz w:val="21"/>
      <w:szCs w:val="20"/>
      <w:lang w:val="en-US" w:bidi="ar-SA"/>
    </w:rPr>
  </w:style>
  <w:style w:type="paragraph" w:styleId="9">
    <w:name w:val="annotation text"/>
    <w:basedOn w:val="1"/>
    <w:qFormat/>
    <w:uiPriority w:val="0"/>
  </w:style>
  <w:style w:type="paragraph" w:styleId="10">
    <w:name w:val="Body Text"/>
    <w:basedOn w:val="1"/>
    <w:qFormat/>
    <w:uiPriority w:val="1"/>
    <w:rPr>
      <w:sz w:val="21"/>
      <w:szCs w:val="21"/>
    </w:rPr>
  </w:style>
  <w:style w:type="paragraph" w:styleId="11">
    <w:name w:val="Plain Text"/>
    <w:basedOn w:val="1"/>
    <w:qFormat/>
    <w:uiPriority w:val="0"/>
    <w:pPr>
      <w:autoSpaceDE/>
      <w:autoSpaceDN/>
      <w:jc w:val="both"/>
    </w:pPr>
    <w:rPr>
      <w:rFonts w:hAnsi="Courier New" w:cs="Courier New"/>
      <w:kern w:val="2"/>
      <w:sz w:val="21"/>
      <w:szCs w:val="21"/>
      <w:lang w:val="en-US" w:bidi="ar-SA"/>
    </w:rPr>
  </w:style>
  <w:style w:type="paragraph" w:styleId="14">
    <w:name w:val="List Paragraph"/>
    <w:basedOn w:val="1"/>
    <w:qFormat/>
    <w:uiPriority w:val="1"/>
    <w:pPr>
      <w:ind w:left="638" w:firstLine="420"/>
    </w:p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5251</Words>
  <Characters>5502</Characters>
  <Lines>0</Lines>
  <Paragraphs>0</Paragraphs>
  <TotalTime>34</TotalTime>
  <ScaleCrop>false</ScaleCrop>
  <LinksUpToDate>false</LinksUpToDate>
  <CharactersWithSpaces>5531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2023-08-16T08:41:00Z</dcterms:created>
  <dc:creator>赵莹</dc:creator>
  <cp:lastModifiedBy>赵莹</cp:lastModifiedBy>
  <dcterms:modified xsi:type="dcterms:W3CDTF">2023-08-25T02:36:23Z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3ED4DDEF82844403A395C148586EAD34</vt:lpwstr>
  </property>
</Properties>
</file>