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9D738">
      <w:pPr>
        <w:jc w:val="center"/>
        <w:rPr>
          <w:rFonts w:ascii="方正小标宋简体" w:hAnsi="宋体" w:eastAsia="方正小标宋简体"/>
          <w:b/>
          <w:bCs/>
          <w:sz w:val="48"/>
          <w:szCs w:val="48"/>
          <w:highlight w:val="none"/>
        </w:rPr>
      </w:pPr>
      <w:bookmarkStart w:id="38" w:name="_GoBack"/>
      <w:bookmarkEnd w:id="38"/>
    </w:p>
    <w:p w14:paraId="6418E5FF">
      <w:pPr>
        <w:jc w:val="center"/>
        <w:rPr>
          <w:rFonts w:ascii="宋体" w:hAnsi="宋体" w:cs="宋体"/>
          <w:sz w:val="56"/>
          <w:szCs w:val="56"/>
          <w:highlight w:val="none"/>
        </w:rPr>
      </w:pPr>
      <w:r>
        <w:rPr>
          <w:rFonts w:hint="eastAsia" w:ascii="宋体" w:hAnsi="宋体" w:cs="宋体"/>
          <w:sz w:val="56"/>
          <w:szCs w:val="56"/>
          <w:highlight w:val="none"/>
          <w:lang w:val="en-US" w:eastAsia="zh-CN"/>
        </w:rPr>
        <w:t>“中国重汽杯”2026年职工运动会</w:t>
      </w:r>
    </w:p>
    <w:p w14:paraId="524EB42C">
      <w:pPr>
        <w:tabs>
          <w:tab w:val="center" w:pos="4535"/>
          <w:tab w:val="right" w:pos="9190"/>
        </w:tabs>
        <w:jc w:val="left"/>
        <w:rPr>
          <w:sz w:val="28"/>
          <w:szCs w:val="28"/>
          <w:highlight w:val="none"/>
        </w:rPr>
      </w:pPr>
      <w:r>
        <w:rPr>
          <w:rFonts w:hint="eastAsia"/>
          <w:sz w:val="28"/>
          <w:szCs w:val="28"/>
          <w:highlight w:val="none"/>
          <w:lang w:eastAsia="zh-CN"/>
        </w:rPr>
        <w:tab/>
      </w:r>
      <w:r>
        <w:rPr>
          <w:rFonts w:hint="eastAsia"/>
          <w:sz w:val="28"/>
          <w:szCs w:val="28"/>
          <w:highlight w:val="none"/>
          <w:lang w:eastAsia="zh-CN"/>
        </w:rPr>
        <w:tab/>
      </w:r>
      <w:r>
        <w:rPr>
          <w:rFonts w:hint="eastAsia"/>
          <w:sz w:val="28"/>
          <w:szCs w:val="28"/>
          <w:highlight w:val="none"/>
        </w:rPr>
        <w:t>附：技术协议书</w:t>
      </w:r>
    </w:p>
    <w:p w14:paraId="5EDF8D17">
      <w:pPr>
        <w:rPr>
          <w:sz w:val="28"/>
          <w:szCs w:val="28"/>
          <w:highlight w:val="none"/>
        </w:rPr>
      </w:pPr>
    </w:p>
    <w:p w14:paraId="2B983A2F">
      <w:pPr>
        <w:rPr>
          <w:highlight w:val="none"/>
        </w:rPr>
      </w:pPr>
    </w:p>
    <w:p w14:paraId="711F3731">
      <w:pPr>
        <w:jc w:val="center"/>
        <w:rPr>
          <w:rFonts w:ascii="黑体" w:hAnsi="宋体" w:eastAsia="黑体"/>
          <w:sz w:val="84"/>
          <w:szCs w:val="84"/>
          <w:highlight w:val="none"/>
        </w:rPr>
      </w:pPr>
      <w:r>
        <w:rPr>
          <w:rFonts w:hint="eastAsia" w:ascii="黑体" w:hAnsi="宋体" w:eastAsia="黑体"/>
          <w:sz w:val="84"/>
          <w:szCs w:val="84"/>
          <w:highlight w:val="none"/>
        </w:rPr>
        <w:t>招</w:t>
      </w:r>
    </w:p>
    <w:p w14:paraId="6FC8E07C">
      <w:pPr>
        <w:jc w:val="center"/>
        <w:rPr>
          <w:rFonts w:ascii="黑体" w:hAnsi="宋体" w:eastAsia="黑体"/>
          <w:sz w:val="84"/>
          <w:szCs w:val="84"/>
          <w:highlight w:val="none"/>
        </w:rPr>
      </w:pPr>
      <w:r>
        <w:rPr>
          <w:rFonts w:hint="eastAsia" w:ascii="黑体" w:hAnsi="宋体" w:eastAsia="黑体"/>
          <w:sz w:val="84"/>
          <w:szCs w:val="84"/>
          <w:highlight w:val="none"/>
        </w:rPr>
        <w:t>标</w:t>
      </w:r>
    </w:p>
    <w:p w14:paraId="79F51D16">
      <w:pPr>
        <w:jc w:val="center"/>
        <w:rPr>
          <w:rFonts w:ascii="黑体" w:hAnsi="宋体" w:eastAsia="黑体"/>
          <w:sz w:val="84"/>
          <w:szCs w:val="84"/>
          <w:highlight w:val="none"/>
        </w:rPr>
      </w:pPr>
      <w:r>
        <w:rPr>
          <w:rFonts w:hint="eastAsia" w:ascii="黑体" w:hAnsi="宋体" w:eastAsia="黑体"/>
          <w:sz w:val="84"/>
          <w:szCs w:val="84"/>
          <w:highlight w:val="none"/>
        </w:rPr>
        <w:t>文</w:t>
      </w:r>
    </w:p>
    <w:p w14:paraId="0991DC89">
      <w:pPr>
        <w:jc w:val="center"/>
        <w:rPr>
          <w:rFonts w:ascii="黑体" w:hAnsi="黑体" w:eastAsia="黑体"/>
          <w:sz w:val="96"/>
          <w:highlight w:val="none"/>
        </w:rPr>
      </w:pPr>
      <w:r>
        <w:rPr>
          <w:rFonts w:hint="eastAsia" w:ascii="黑体" w:hAnsi="宋体" w:eastAsia="黑体"/>
          <w:sz w:val="84"/>
          <w:szCs w:val="84"/>
          <w:highlight w:val="none"/>
        </w:rPr>
        <w:t>件</w:t>
      </w:r>
    </w:p>
    <w:p w14:paraId="629F359A">
      <w:pPr>
        <w:jc w:val="center"/>
        <w:rPr>
          <w:rFonts w:ascii="黑体" w:hAnsi="黑体" w:eastAsia="黑体"/>
          <w:b/>
          <w:sz w:val="96"/>
          <w:highlight w:val="none"/>
        </w:rPr>
      </w:pPr>
    </w:p>
    <w:p w14:paraId="1774B0A9">
      <w:pPr>
        <w:pStyle w:val="13"/>
        <w:rPr>
          <w:rFonts w:ascii="黑体" w:hAnsi="黑体" w:eastAsia="黑体"/>
          <w:b/>
          <w:sz w:val="32"/>
          <w:szCs w:val="32"/>
          <w:highlight w:val="none"/>
        </w:rPr>
      </w:pPr>
      <w:r>
        <w:rPr>
          <w:rFonts w:ascii="黑体" w:hAnsi="黑体" w:eastAsia="黑体"/>
          <w:b/>
          <w:sz w:val="32"/>
          <w:szCs w:val="32"/>
          <w:highlight w:val="none"/>
        </w:rPr>
        <w:br w:type="textWrapping"/>
      </w:r>
    </w:p>
    <w:p w14:paraId="40B1FCEC">
      <w:pPr>
        <w:rPr>
          <w:rFonts w:ascii="黑体" w:hAnsi="黑体" w:eastAsia="黑体"/>
          <w:b/>
          <w:sz w:val="32"/>
          <w:szCs w:val="32"/>
          <w:highlight w:val="none"/>
        </w:rPr>
      </w:pPr>
    </w:p>
    <w:p w14:paraId="1CE80EBC">
      <w:pPr>
        <w:jc w:val="center"/>
        <w:rPr>
          <w:rFonts w:hint="default" w:ascii="宋体" w:hAnsi="宋体" w:eastAsia="宋体"/>
          <w:sz w:val="28"/>
          <w:szCs w:val="28"/>
          <w:highlight w:val="none"/>
          <w:lang w:val="en-US" w:eastAsia="zh-CN"/>
        </w:rPr>
      </w:pPr>
      <w:r>
        <w:rPr>
          <w:rFonts w:hint="eastAsia" w:ascii="宋体" w:hAnsi="宋体"/>
          <w:sz w:val="28"/>
          <w:szCs w:val="28"/>
          <w:highlight w:val="none"/>
        </w:rPr>
        <w:t>招标人：</w:t>
      </w:r>
      <w:r>
        <w:rPr>
          <w:rFonts w:hint="eastAsia" w:ascii="宋体" w:hAnsi="宋体"/>
          <w:sz w:val="28"/>
          <w:szCs w:val="28"/>
          <w:highlight w:val="none"/>
          <w:lang w:val="en-US" w:eastAsia="zh-CN"/>
        </w:rPr>
        <w:t>中国重型汽车集团有限公司工会委员会</w:t>
      </w:r>
    </w:p>
    <w:p w14:paraId="0D8A0D9A">
      <w:pPr>
        <w:jc w:val="center"/>
        <w:rPr>
          <w:rFonts w:ascii="宋体" w:hAnsi="宋体"/>
          <w:sz w:val="28"/>
          <w:szCs w:val="28"/>
          <w:highlight w:val="none"/>
        </w:rPr>
      </w:pPr>
    </w:p>
    <w:p w14:paraId="3137095A">
      <w:pPr>
        <w:jc w:val="center"/>
        <w:rPr>
          <w:rFonts w:ascii="宋体" w:hAnsi="宋体" w:cs="宋体"/>
          <w:b/>
          <w:bCs/>
          <w:sz w:val="44"/>
          <w:szCs w:val="44"/>
          <w:highlight w:val="none"/>
        </w:rPr>
        <w:sectPr>
          <w:footerReference r:id="rId5" w:type="first"/>
          <w:headerReference r:id="rId3" w:type="default"/>
          <w:footerReference r:id="rId4" w:type="default"/>
          <w:pgSz w:w="11906" w:h="16838"/>
          <w:pgMar w:top="1588" w:right="1418" w:bottom="1134" w:left="1418" w:header="851" w:footer="992" w:gutter="0"/>
          <w:pgNumType w:fmt="decimal"/>
          <w:cols w:space="720" w:num="1"/>
          <w:titlePg/>
          <w:docGrid w:type="lines" w:linePitch="312" w:charSpace="0"/>
        </w:sect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w:t>
      </w:r>
      <w:r>
        <w:rPr>
          <w:rFonts w:hint="eastAsia" w:ascii="宋体" w:hAnsi="宋体"/>
          <w:sz w:val="28"/>
          <w:szCs w:val="28"/>
          <w:highlight w:val="none"/>
          <w:u w:val="single"/>
        </w:rPr>
        <w:t>月</w:t>
      </w:r>
    </w:p>
    <w:p w14:paraId="69C6B062">
      <w:pPr>
        <w:spacing w:line="500" w:lineRule="exact"/>
        <w:jc w:val="center"/>
        <w:rPr>
          <w:rFonts w:ascii="宋体" w:hAnsi="宋体" w:cs="宋体"/>
          <w:b/>
          <w:bCs/>
          <w:sz w:val="44"/>
          <w:szCs w:val="44"/>
          <w:highlight w:val="none"/>
        </w:rPr>
      </w:pPr>
      <w:r>
        <w:rPr>
          <w:rFonts w:hint="eastAsia" w:ascii="宋体" w:hAnsi="宋体" w:cs="宋体"/>
          <w:b/>
          <w:bCs/>
          <w:sz w:val="44"/>
          <w:szCs w:val="44"/>
          <w:highlight w:val="none"/>
        </w:rPr>
        <w:t>目录</w:t>
      </w:r>
    </w:p>
    <w:p w14:paraId="4331CA4D">
      <w:pPr>
        <w:pStyle w:val="13"/>
        <w:spacing w:line="500" w:lineRule="exact"/>
        <w:rPr>
          <w:rFonts w:ascii="宋体" w:hAnsi="宋体" w:cs="宋体"/>
          <w:b/>
          <w:bCs/>
          <w:sz w:val="30"/>
          <w:szCs w:val="30"/>
          <w:highlight w:val="none"/>
        </w:rPr>
      </w:pPr>
    </w:p>
    <w:p w14:paraId="54C81130">
      <w:pPr>
        <w:pStyle w:val="13"/>
        <w:spacing w:line="500" w:lineRule="exact"/>
        <w:rPr>
          <w:rFonts w:ascii="宋体" w:hAnsi="宋体" w:cs="宋体"/>
          <w:b/>
          <w:bCs/>
          <w:sz w:val="30"/>
          <w:szCs w:val="30"/>
          <w:highlight w:val="none"/>
        </w:rPr>
      </w:pPr>
    </w:p>
    <w:p w14:paraId="7812AFD2">
      <w:pPr>
        <w:pStyle w:val="43"/>
        <w:tabs>
          <w:tab w:val="right" w:leader="dot" w:pos="9070"/>
        </w:tabs>
        <w:spacing w:line="500" w:lineRule="exact"/>
        <w:rPr>
          <w:rFonts w:hint="eastAsia" w:ascii="仿宋_GB2312" w:hAnsi="仿宋_GB2312" w:eastAsia="仿宋_GB2312" w:cs="仿宋_GB2312"/>
          <w:bCs/>
          <w:sz w:val="30"/>
          <w:szCs w:val="30"/>
          <w:highlight w:val="none"/>
          <w:lang w:val="en-US" w:eastAsia="zh-CN"/>
        </w:rPr>
      </w:pPr>
      <w:r>
        <w:rPr>
          <w:highlight w:val="none"/>
        </w:rPr>
        <w:fldChar w:fldCharType="begin"/>
      </w:r>
      <w:r>
        <w:rPr>
          <w:highlight w:val="none"/>
        </w:rPr>
        <w:instrText xml:space="preserve"> HYPERLINK \l "_Toc14413" </w:instrText>
      </w:r>
      <w:r>
        <w:rPr>
          <w:highlight w:val="none"/>
        </w:rPr>
        <w:fldChar w:fldCharType="separate"/>
      </w:r>
      <w:r>
        <w:rPr>
          <w:rFonts w:hint="eastAsia" w:ascii="仿宋_GB2312" w:hAnsi="仿宋_GB2312" w:eastAsia="仿宋_GB2312" w:cs="仿宋_GB2312"/>
          <w:bCs/>
          <w:sz w:val="30"/>
          <w:szCs w:val="30"/>
          <w:highlight w:val="none"/>
        </w:rPr>
        <w:t>一、</w:t>
      </w:r>
      <w:r>
        <w:rPr>
          <w:rFonts w:hint="eastAsia" w:ascii="仿宋_GB2312" w:hAnsi="仿宋_GB2312" w:eastAsia="仿宋_GB2312" w:cs="仿宋_GB2312"/>
          <w:bCs/>
          <w:sz w:val="30"/>
          <w:szCs w:val="30"/>
          <w:highlight w:val="none"/>
          <w:lang w:val="en-US" w:eastAsia="zh-CN"/>
        </w:rPr>
        <w:t>招标公告</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lang w:val="en-US" w:eastAsia="zh-CN"/>
        </w:rPr>
        <w:t>2</w:t>
      </w:r>
    </w:p>
    <w:p w14:paraId="41F8D3B3">
      <w:pPr>
        <w:pStyle w:val="43"/>
        <w:tabs>
          <w:tab w:val="right" w:leader="dot" w:pos="9070"/>
        </w:tabs>
        <w:spacing w:line="500" w:lineRule="exact"/>
        <w:rPr>
          <w:rFonts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lang w:val="en-US" w:eastAsia="zh-CN"/>
        </w:rPr>
        <w:t>二、</w:t>
      </w:r>
      <w:r>
        <w:rPr>
          <w:rFonts w:hint="eastAsia" w:ascii="仿宋_GB2312" w:hAnsi="仿宋_GB2312" w:eastAsia="仿宋_GB2312" w:cs="仿宋_GB2312"/>
          <w:bCs/>
          <w:sz w:val="30"/>
          <w:szCs w:val="30"/>
          <w:highlight w:val="none"/>
        </w:rPr>
        <w:t>投标人</w:t>
      </w:r>
      <w:r>
        <w:rPr>
          <w:rFonts w:hint="eastAsia" w:ascii="仿宋_GB2312" w:hAnsi="仿宋_GB2312" w:eastAsia="仿宋_GB2312" w:cs="仿宋_GB2312"/>
          <w:bCs/>
          <w:sz w:val="30"/>
          <w:szCs w:val="30"/>
          <w:highlight w:val="none"/>
          <w:lang w:val="en-US" w:eastAsia="zh-CN"/>
        </w:rPr>
        <w:t>资质</w:t>
      </w:r>
      <w:r>
        <w:rPr>
          <w:rFonts w:hint="eastAsia" w:ascii="仿宋_GB2312" w:hAnsi="仿宋_GB2312" w:eastAsia="仿宋_GB2312" w:cs="仿宋_GB2312"/>
          <w:bCs/>
          <w:sz w:val="30"/>
          <w:szCs w:val="30"/>
          <w:highlight w:val="none"/>
        </w:rPr>
        <w:fldChar w:fldCharType="end"/>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lang w:val="en-US" w:eastAsia="zh-CN"/>
        </w:rPr>
        <w:t>2</w:t>
      </w:r>
    </w:p>
    <w:p w14:paraId="3FD91000">
      <w:pPr>
        <w:pStyle w:val="43"/>
        <w:tabs>
          <w:tab w:val="right" w:leader="dot" w:pos="9070"/>
        </w:tabs>
        <w:spacing w:line="500" w:lineRule="exact"/>
        <w:rPr>
          <w:rFonts w:hint="eastAsia" w:ascii="仿宋_GB2312" w:hAnsi="仿宋_GB2312" w:eastAsia="仿宋_GB2312" w:cs="仿宋_GB2312"/>
          <w:bCs/>
          <w:sz w:val="30"/>
          <w:szCs w:val="30"/>
          <w:highlight w:val="none"/>
          <w:lang w:val="en-US" w:eastAsia="zh-CN"/>
        </w:rPr>
      </w:pPr>
      <w:r>
        <w:rPr>
          <w:highlight w:val="none"/>
        </w:rPr>
        <w:fldChar w:fldCharType="begin"/>
      </w:r>
      <w:r>
        <w:rPr>
          <w:highlight w:val="none"/>
        </w:rPr>
        <w:instrText xml:space="preserve"> HYPERLINK \l "_Toc26596" </w:instrText>
      </w:r>
      <w:r>
        <w:rPr>
          <w:highlight w:val="none"/>
        </w:rPr>
        <w:fldChar w:fldCharType="separate"/>
      </w:r>
      <w:r>
        <w:rPr>
          <w:rFonts w:hint="eastAsia" w:ascii="仿宋_GB2312" w:hAnsi="仿宋_GB2312" w:eastAsia="仿宋_GB2312" w:cs="仿宋_GB2312"/>
          <w:bCs/>
          <w:sz w:val="30"/>
          <w:szCs w:val="30"/>
          <w:highlight w:val="none"/>
        </w:rPr>
        <w:t>三</w:t>
      </w:r>
      <w:r>
        <w:rPr>
          <w:rFonts w:hint="eastAsia" w:ascii="仿宋_GB2312" w:hAnsi="仿宋_GB2312" w:eastAsia="仿宋_GB2312" w:cs="仿宋_GB2312"/>
          <w:bCs/>
          <w:sz w:val="30"/>
          <w:szCs w:val="30"/>
          <w:highlight w:val="none"/>
          <w:lang w:eastAsia="zh-CN"/>
        </w:rPr>
        <w:t>、</w:t>
      </w:r>
      <w:r>
        <w:rPr>
          <w:rFonts w:hint="eastAsia" w:ascii="仿宋_GB2312" w:hAnsi="仿宋_GB2312" w:eastAsia="仿宋_GB2312" w:cs="仿宋_GB2312"/>
          <w:bCs/>
          <w:sz w:val="30"/>
          <w:szCs w:val="30"/>
          <w:highlight w:val="none"/>
        </w:rPr>
        <w:t>投标人</w:t>
      </w:r>
      <w:r>
        <w:rPr>
          <w:rFonts w:hint="eastAsia" w:ascii="仿宋_GB2312" w:hAnsi="仿宋_GB2312" w:eastAsia="仿宋_GB2312" w:cs="仿宋_GB2312"/>
          <w:bCs/>
          <w:sz w:val="30"/>
          <w:szCs w:val="30"/>
          <w:highlight w:val="none"/>
        </w:rPr>
        <w:fldChar w:fldCharType="end"/>
      </w:r>
      <w:r>
        <w:rPr>
          <w:rFonts w:hint="eastAsia" w:ascii="仿宋_GB2312" w:hAnsi="仿宋_GB2312" w:eastAsia="仿宋_GB2312" w:cs="仿宋_GB2312"/>
          <w:bCs/>
          <w:sz w:val="30"/>
          <w:szCs w:val="30"/>
          <w:highlight w:val="none"/>
          <w:lang w:val="en-US" w:eastAsia="zh-CN"/>
        </w:rPr>
        <w:t>须知</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lang w:val="en-US" w:eastAsia="zh-CN"/>
        </w:rPr>
        <w:t>3</w:t>
      </w:r>
    </w:p>
    <w:p w14:paraId="7FBC2E72">
      <w:pPr>
        <w:pStyle w:val="43"/>
        <w:tabs>
          <w:tab w:val="right" w:leader="dot" w:pos="9070"/>
        </w:tabs>
        <w:spacing w:line="500" w:lineRule="exact"/>
        <w:rPr>
          <w:rFonts w:hint="eastAsia" w:ascii="仿宋_GB2312" w:hAnsi="仿宋_GB2312" w:eastAsia="仿宋_GB2312" w:cs="仿宋_GB2312"/>
          <w:bCs/>
          <w:sz w:val="30"/>
          <w:szCs w:val="30"/>
          <w:highlight w:val="none"/>
          <w:lang w:val="en-US" w:eastAsia="zh-CN"/>
        </w:rPr>
      </w:pPr>
      <w:r>
        <w:rPr>
          <w:highlight w:val="none"/>
        </w:rPr>
        <w:fldChar w:fldCharType="begin"/>
      </w:r>
      <w:r>
        <w:rPr>
          <w:highlight w:val="none"/>
        </w:rPr>
        <w:instrText xml:space="preserve"> HYPERLINK \l "_Toc22774" </w:instrText>
      </w:r>
      <w:r>
        <w:rPr>
          <w:highlight w:val="none"/>
        </w:rPr>
        <w:fldChar w:fldCharType="separate"/>
      </w:r>
      <w:r>
        <w:rPr>
          <w:rFonts w:hint="eastAsia" w:ascii="仿宋_GB2312" w:hAnsi="仿宋_GB2312" w:eastAsia="仿宋_GB2312" w:cs="仿宋_GB2312"/>
          <w:bCs/>
          <w:sz w:val="30"/>
          <w:szCs w:val="30"/>
          <w:highlight w:val="none"/>
          <w:lang w:val="en-US" w:eastAsia="zh-CN"/>
        </w:rPr>
        <w:t>四</w:t>
      </w:r>
      <w:r>
        <w:rPr>
          <w:rFonts w:hint="eastAsia" w:ascii="仿宋_GB2312" w:hAnsi="仿宋_GB2312" w:eastAsia="仿宋_GB2312" w:cs="仿宋_GB2312"/>
          <w:bCs/>
          <w:sz w:val="30"/>
          <w:szCs w:val="30"/>
          <w:highlight w:val="none"/>
        </w:rPr>
        <w:t>、合同签订</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rPr>
        <w:fldChar w:fldCharType="end"/>
      </w:r>
      <w:r>
        <w:rPr>
          <w:rFonts w:hint="eastAsia" w:ascii="仿宋_GB2312" w:hAnsi="仿宋_GB2312" w:eastAsia="仿宋_GB2312" w:cs="仿宋_GB2312"/>
          <w:bCs/>
          <w:sz w:val="30"/>
          <w:szCs w:val="30"/>
          <w:highlight w:val="none"/>
          <w:lang w:val="en-US" w:eastAsia="zh-CN"/>
        </w:rPr>
        <w:t>9</w:t>
      </w:r>
    </w:p>
    <w:p w14:paraId="24F3B778">
      <w:pPr>
        <w:pStyle w:val="43"/>
        <w:tabs>
          <w:tab w:val="right" w:leader="dot" w:pos="9070"/>
        </w:tabs>
        <w:spacing w:line="500" w:lineRule="exact"/>
        <w:rPr>
          <w:rFonts w:hint="default" w:ascii="仿宋_GB2312" w:hAnsi="仿宋_GB2312" w:eastAsia="仿宋_GB2312" w:cs="仿宋_GB2312"/>
          <w:bCs/>
          <w:sz w:val="30"/>
          <w:szCs w:val="30"/>
          <w:highlight w:val="none"/>
          <w:lang w:val="en-US" w:eastAsia="zh-CN"/>
        </w:rPr>
      </w:pPr>
      <w:r>
        <w:rPr>
          <w:highlight w:val="none"/>
        </w:rPr>
        <w:fldChar w:fldCharType="begin"/>
      </w:r>
      <w:r>
        <w:rPr>
          <w:highlight w:val="none"/>
        </w:rPr>
        <w:instrText xml:space="preserve"> HYPERLINK \l "_Toc28350" </w:instrText>
      </w:r>
      <w:r>
        <w:rPr>
          <w:highlight w:val="none"/>
        </w:rPr>
        <w:fldChar w:fldCharType="separate"/>
      </w:r>
      <w:r>
        <w:rPr>
          <w:rFonts w:hint="eastAsia" w:ascii="仿宋_GB2312" w:hAnsi="仿宋_GB2312" w:eastAsia="仿宋_GB2312" w:cs="仿宋_GB2312"/>
          <w:bCs/>
          <w:sz w:val="30"/>
          <w:szCs w:val="30"/>
          <w:highlight w:val="none"/>
          <w:lang w:val="en-US" w:eastAsia="zh-CN"/>
        </w:rPr>
        <w:t>五</w:t>
      </w:r>
      <w:r>
        <w:rPr>
          <w:rFonts w:hint="eastAsia" w:ascii="仿宋_GB2312" w:hAnsi="仿宋_GB2312" w:eastAsia="仿宋_GB2312" w:cs="仿宋_GB2312"/>
          <w:bCs/>
          <w:sz w:val="30"/>
          <w:szCs w:val="30"/>
          <w:highlight w:val="none"/>
        </w:rPr>
        <w:t>、废标及终止招标</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rPr>
        <w:fldChar w:fldCharType="end"/>
      </w:r>
      <w:r>
        <w:rPr>
          <w:rFonts w:hint="eastAsia" w:ascii="仿宋_GB2312" w:hAnsi="仿宋_GB2312" w:eastAsia="仿宋_GB2312" w:cs="仿宋_GB2312"/>
          <w:bCs/>
          <w:sz w:val="30"/>
          <w:szCs w:val="30"/>
          <w:highlight w:val="none"/>
          <w:lang w:val="en-US" w:eastAsia="zh-CN"/>
        </w:rPr>
        <w:t>10</w:t>
      </w:r>
    </w:p>
    <w:p w14:paraId="0CA9F8FB">
      <w:pPr>
        <w:pStyle w:val="43"/>
        <w:tabs>
          <w:tab w:val="right" w:leader="dot" w:pos="9070"/>
        </w:tabs>
        <w:spacing w:line="500" w:lineRule="exact"/>
        <w:rPr>
          <w:rFonts w:hint="eastAsia" w:ascii="仿宋_GB2312" w:hAnsi="仿宋_GB2312" w:eastAsia="仿宋_GB2312" w:cs="仿宋_GB2312"/>
          <w:bCs/>
          <w:sz w:val="30"/>
          <w:szCs w:val="30"/>
          <w:highlight w:val="none"/>
          <w:lang w:val="en-US" w:eastAsia="zh-CN"/>
        </w:rPr>
      </w:pPr>
      <w:r>
        <w:rPr>
          <w:highlight w:val="none"/>
        </w:rPr>
        <w:fldChar w:fldCharType="begin"/>
      </w:r>
      <w:r>
        <w:rPr>
          <w:highlight w:val="none"/>
        </w:rPr>
        <w:instrText xml:space="preserve"> HYPERLINK \l "_Toc8621" </w:instrText>
      </w:r>
      <w:r>
        <w:rPr>
          <w:highlight w:val="none"/>
        </w:rPr>
        <w:fldChar w:fldCharType="separate"/>
      </w:r>
      <w:r>
        <w:rPr>
          <w:rFonts w:hint="eastAsia" w:ascii="仿宋_GB2312" w:hAnsi="仿宋_GB2312" w:eastAsia="仿宋_GB2312" w:cs="仿宋_GB2312"/>
          <w:bCs/>
          <w:sz w:val="30"/>
          <w:szCs w:val="30"/>
          <w:highlight w:val="none"/>
          <w:lang w:val="en-US" w:eastAsia="zh-CN"/>
        </w:rPr>
        <w:t>六</w:t>
      </w:r>
      <w:r>
        <w:rPr>
          <w:rFonts w:hint="eastAsia" w:ascii="仿宋_GB2312" w:hAnsi="仿宋_GB2312" w:eastAsia="仿宋_GB2312" w:cs="仿宋_GB2312"/>
          <w:bCs/>
          <w:sz w:val="30"/>
          <w:szCs w:val="30"/>
          <w:highlight w:val="none"/>
        </w:rPr>
        <w:t>、中标人瑕疵滞后发现的处理原则</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lang w:val="en-US" w:eastAsia="zh-CN"/>
        </w:rPr>
        <w:t>1</w:t>
      </w:r>
      <w:r>
        <w:rPr>
          <w:rFonts w:hint="eastAsia" w:ascii="仿宋_GB2312" w:hAnsi="仿宋_GB2312" w:eastAsia="仿宋_GB2312" w:cs="仿宋_GB2312"/>
          <w:bCs/>
          <w:sz w:val="30"/>
          <w:szCs w:val="30"/>
          <w:highlight w:val="none"/>
        </w:rPr>
        <w:fldChar w:fldCharType="end"/>
      </w:r>
      <w:r>
        <w:rPr>
          <w:rFonts w:hint="eastAsia" w:ascii="仿宋_GB2312" w:hAnsi="仿宋_GB2312" w:eastAsia="仿宋_GB2312" w:cs="仿宋_GB2312"/>
          <w:bCs/>
          <w:sz w:val="30"/>
          <w:szCs w:val="30"/>
          <w:highlight w:val="none"/>
          <w:lang w:val="en-US" w:eastAsia="zh-CN"/>
        </w:rPr>
        <w:t>0</w:t>
      </w:r>
    </w:p>
    <w:p w14:paraId="69FDE4F3">
      <w:pPr>
        <w:pStyle w:val="43"/>
        <w:tabs>
          <w:tab w:val="right" w:leader="dot" w:pos="9070"/>
        </w:tabs>
        <w:spacing w:line="500" w:lineRule="exact"/>
        <w:rPr>
          <w:rFonts w:hint="eastAsia" w:ascii="仿宋_GB2312" w:hAnsi="仿宋_GB2312" w:eastAsia="仿宋_GB2312" w:cs="仿宋_GB2312"/>
          <w:bCs/>
          <w:sz w:val="30"/>
          <w:szCs w:val="30"/>
          <w:highlight w:val="none"/>
          <w:lang w:val="en-US" w:eastAsia="zh-CN"/>
        </w:rPr>
      </w:pPr>
      <w:r>
        <w:rPr>
          <w:highlight w:val="none"/>
        </w:rPr>
        <w:fldChar w:fldCharType="begin"/>
      </w:r>
      <w:r>
        <w:rPr>
          <w:highlight w:val="none"/>
        </w:rPr>
        <w:instrText xml:space="preserve"> HYPERLINK \l "_Toc10048" </w:instrText>
      </w:r>
      <w:r>
        <w:rPr>
          <w:highlight w:val="none"/>
        </w:rPr>
        <w:fldChar w:fldCharType="separate"/>
      </w:r>
      <w:r>
        <w:rPr>
          <w:rFonts w:hint="eastAsia" w:ascii="仿宋_GB2312" w:hAnsi="仿宋_GB2312" w:eastAsia="仿宋_GB2312" w:cs="仿宋_GB2312"/>
          <w:bCs/>
          <w:sz w:val="30"/>
          <w:szCs w:val="30"/>
          <w:highlight w:val="none"/>
          <w:lang w:val="en-US" w:eastAsia="zh-CN"/>
        </w:rPr>
        <w:t>七</w:t>
      </w:r>
      <w:r>
        <w:rPr>
          <w:rFonts w:hint="eastAsia" w:ascii="仿宋_GB2312" w:hAnsi="仿宋_GB2312" w:eastAsia="仿宋_GB2312" w:cs="仿宋_GB2312"/>
          <w:bCs/>
          <w:sz w:val="30"/>
          <w:szCs w:val="30"/>
          <w:highlight w:val="none"/>
        </w:rPr>
        <w:t>、投标文件格式</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lang w:val="en-US" w:eastAsia="zh-CN"/>
        </w:rPr>
        <w:t>1</w:t>
      </w:r>
      <w:r>
        <w:rPr>
          <w:rFonts w:hint="eastAsia" w:ascii="仿宋_GB2312" w:hAnsi="仿宋_GB2312" w:eastAsia="仿宋_GB2312" w:cs="仿宋_GB2312"/>
          <w:bCs/>
          <w:sz w:val="30"/>
          <w:szCs w:val="30"/>
          <w:highlight w:val="none"/>
        </w:rPr>
        <w:fldChar w:fldCharType="end"/>
      </w:r>
      <w:r>
        <w:rPr>
          <w:rFonts w:hint="eastAsia" w:ascii="仿宋_GB2312" w:hAnsi="仿宋_GB2312" w:eastAsia="仿宋_GB2312" w:cs="仿宋_GB2312"/>
          <w:bCs/>
          <w:sz w:val="30"/>
          <w:szCs w:val="30"/>
          <w:highlight w:val="none"/>
          <w:lang w:val="en-US" w:eastAsia="zh-CN"/>
        </w:rPr>
        <w:t>1</w:t>
      </w:r>
    </w:p>
    <w:p w14:paraId="096A67EE">
      <w:pPr>
        <w:pStyle w:val="43"/>
        <w:tabs>
          <w:tab w:val="right" w:leader="dot" w:pos="9070"/>
        </w:tabs>
        <w:spacing w:line="500" w:lineRule="exact"/>
        <w:rPr>
          <w:rFonts w:hint="eastAsia" w:ascii="仿宋_GB2312" w:hAnsi="仿宋_GB2312" w:eastAsia="仿宋_GB2312" w:cs="仿宋_GB2312"/>
          <w:bCs/>
          <w:sz w:val="30"/>
          <w:szCs w:val="30"/>
          <w:highlight w:val="none"/>
          <w:lang w:val="en-US" w:eastAsia="zh-CN"/>
        </w:rPr>
      </w:pPr>
      <w:r>
        <w:rPr>
          <w:highlight w:val="none"/>
        </w:rPr>
        <w:fldChar w:fldCharType="begin"/>
      </w:r>
      <w:r>
        <w:rPr>
          <w:highlight w:val="none"/>
        </w:rPr>
        <w:instrText xml:space="preserve"> HYPERLINK \l "_Toc2515" </w:instrText>
      </w:r>
      <w:r>
        <w:rPr>
          <w:highlight w:val="none"/>
        </w:rPr>
        <w:fldChar w:fldCharType="separate"/>
      </w:r>
      <w:r>
        <w:rPr>
          <w:rFonts w:hint="eastAsia" w:ascii="仿宋_GB2312" w:hAnsi="仿宋_GB2312" w:eastAsia="仿宋_GB2312" w:cs="仿宋_GB2312"/>
          <w:bCs/>
          <w:sz w:val="30"/>
          <w:szCs w:val="30"/>
          <w:highlight w:val="none"/>
          <w:lang w:val="en-US" w:eastAsia="zh-CN"/>
        </w:rPr>
        <w:t>八</w:t>
      </w:r>
      <w:r>
        <w:rPr>
          <w:rFonts w:hint="eastAsia" w:ascii="仿宋_GB2312" w:hAnsi="仿宋_GB2312" w:eastAsia="仿宋_GB2312" w:cs="仿宋_GB2312"/>
          <w:bCs/>
          <w:sz w:val="30"/>
          <w:szCs w:val="30"/>
          <w:highlight w:val="none"/>
        </w:rPr>
        <w:t>、技术协议书</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lang w:val="en-US" w:eastAsia="zh-CN"/>
        </w:rPr>
        <w:t>1</w:t>
      </w:r>
      <w:r>
        <w:rPr>
          <w:rFonts w:hint="eastAsia" w:ascii="仿宋_GB2312" w:hAnsi="仿宋_GB2312" w:eastAsia="仿宋_GB2312" w:cs="仿宋_GB2312"/>
          <w:bCs/>
          <w:sz w:val="30"/>
          <w:szCs w:val="30"/>
          <w:highlight w:val="none"/>
        </w:rPr>
        <w:fldChar w:fldCharType="end"/>
      </w:r>
      <w:r>
        <w:rPr>
          <w:rFonts w:hint="eastAsia" w:ascii="仿宋_GB2312" w:hAnsi="仿宋_GB2312" w:eastAsia="仿宋_GB2312" w:cs="仿宋_GB2312"/>
          <w:bCs/>
          <w:sz w:val="30"/>
          <w:szCs w:val="30"/>
          <w:highlight w:val="none"/>
          <w:lang w:val="en-US" w:eastAsia="zh-CN"/>
        </w:rPr>
        <w:t>1</w:t>
      </w:r>
    </w:p>
    <w:p w14:paraId="312B7D13">
      <w:pPr>
        <w:pStyle w:val="43"/>
        <w:tabs>
          <w:tab w:val="right" w:leader="dot" w:pos="9070"/>
        </w:tabs>
        <w:spacing w:line="500" w:lineRule="exact"/>
        <w:rPr>
          <w:rFonts w:hint="eastAsia" w:ascii="仿宋_GB2312" w:hAnsi="仿宋_GB2312" w:eastAsia="仿宋_GB2312" w:cs="仿宋_GB2312"/>
          <w:bCs/>
          <w:sz w:val="30"/>
          <w:szCs w:val="30"/>
          <w:highlight w:val="none"/>
          <w:lang w:val="en-US" w:eastAsia="zh-CN"/>
        </w:rPr>
      </w:pPr>
      <w:r>
        <w:rPr>
          <w:highlight w:val="none"/>
        </w:rPr>
        <w:fldChar w:fldCharType="begin"/>
      </w:r>
      <w:r>
        <w:rPr>
          <w:highlight w:val="none"/>
        </w:rPr>
        <w:instrText xml:space="preserve"> HYPERLINK \l "_Toc23780" </w:instrText>
      </w:r>
      <w:r>
        <w:rPr>
          <w:highlight w:val="none"/>
        </w:rPr>
        <w:fldChar w:fldCharType="separate"/>
      </w:r>
      <w:r>
        <w:rPr>
          <w:rFonts w:hint="eastAsia" w:ascii="仿宋_GB2312" w:hAnsi="仿宋_GB2312" w:eastAsia="仿宋_GB2312" w:cs="仿宋_GB2312"/>
          <w:bCs/>
          <w:sz w:val="30"/>
          <w:szCs w:val="30"/>
          <w:highlight w:val="none"/>
          <w:lang w:val="en-US" w:eastAsia="zh-CN"/>
        </w:rPr>
        <w:t>九</w:t>
      </w:r>
      <w:r>
        <w:rPr>
          <w:rFonts w:hint="eastAsia" w:ascii="仿宋_GB2312" w:hAnsi="仿宋_GB2312" w:eastAsia="仿宋_GB2312" w:cs="仿宋_GB2312"/>
          <w:bCs/>
          <w:sz w:val="30"/>
          <w:szCs w:val="30"/>
          <w:highlight w:val="none"/>
        </w:rPr>
        <w:t>、解释权</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lang w:val="en-US" w:eastAsia="zh-CN"/>
        </w:rPr>
        <w:t>1</w:t>
      </w:r>
      <w:r>
        <w:rPr>
          <w:rFonts w:hint="eastAsia" w:ascii="仿宋_GB2312" w:hAnsi="仿宋_GB2312" w:eastAsia="仿宋_GB2312" w:cs="仿宋_GB2312"/>
          <w:bCs/>
          <w:sz w:val="30"/>
          <w:szCs w:val="30"/>
          <w:highlight w:val="none"/>
        </w:rPr>
        <w:fldChar w:fldCharType="end"/>
      </w:r>
      <w:r>
        <w:rPr>
          <w:rFonts w:hint="eastAsia" w:ascii="仿宋_GB2312" w:hAnsi="仿宋_GB2312" w:eastAsia="仿宋_GB2312" w:cs="仿宋_GB2312"/>
          <w:bCs/>
          <w:sz w:val="30"/>
          <w:szCs w:val="30"/>
          <w:highlight w:val="none"/>
          <w:lang w:val="en-US" w:eastAsia="zh-CN"/>
        </w:rPr>
        <w:t>1</w:t>
      </w:r>
    </w:p>
    <w:p w14:paraId="43D6245D">
      <w:pPr>
        <w:pStyle w:val="43"/>
        <w:tabs>
          <w:tab w:val="right" w:leader="dot" w:pos="9070"/>
        </w:tabs>
        <w:spacing w:line="500" w:lineRule="exact"/>
        <w:rPr>
          <w:rFonts w:hint="default" w:ascii="仿宋_GB2312" w:hAnsi="仿宋_GB2312" w:eastAsia="仿宋_GB2312" w:cs="仿宋_GB2312"/>
          <w:bCs/>
          <w:sz w:val="30"/>
          <w:szCs w:val="30"/>
          <w:highlight w:val="none"/>
          <w:lang w:val="en-US" w:eastAsia="zh-CN"/>
        </w:rPr>
      </w:pPr>
      <w:r>
        <w:rPr>
          <w:rFonts w:hint="eastAsia" w:ascii="仿宋_GB2312" w:hAnsi="仿宋_GB2312" w:eastAsia="仿宋_GB2312" w:cs="仿宋_GB2312"/>
          <w:bCs/>
          <w:sz w:val="30"/>
          <w:szCs w:val="30"/>
          <w:highlight w:val="none"/>
        </w:rPr>
        <w:t>附件：</w:t>
      </w:r>
      <w:r>
        <w:rPr>
          <w:rFonts w:hint="eastAsia" w:ascii="仿宋_GB2312" w:hAnsi="仿宋_GB2312" w:eastAsia="仿宋_GB2312" w:cs="仿宋_GB2312"/>
          <w:bCs/>
          <w:sz w:val="30"/>
          <w:szCs w:val="30"/>
          <w:highlight w:val="none"/>
        </w:rPr>
        <w:tab/>
      </w:r>
      <w:r>
        <w:rPr>
          <w:rFonts w:hint="eastAsia" w:ascii="仿宋_GB2312" w:hAnsi="仿宋_GB2312" w:eastAsia="仿宋_GB2312" w:cs="仿宋_GB2312"/>
          <w:bCs/>
          <w:sz w:val="30"/>
          <w:szCs w:val="30"/>
          <w:highlight w:val="none"/>
          <w:lang w:val="en-US" w:eastAsia="zh-CN"/>
        </w:rPr>
        <w:t>12</w:t>
      </w:r>
    </w:p>
    <w:p w14:paraId="73C3C842">
      <w:pPr>
        <w:spacing w:line="500" w:lineRule="exact"/>
        <w:ind w:firstLine="602" w:firstLineChars="200"/>
        <w:jc w:val="left"/>
        <w:rPr>
          <w:rFonts w:ascii="黑体" w:hAnsi="黑体" w:eastAsia="黑体" w:cs="黑体"/>
          <w:b/>
          <w:bCs/>
          <w:sz w:val="30"/>
          <w:szCs w:val="30"/>
          <w:highlight w:val="none"/>
        </w:rPr>
      </w:pPr>
    </w:p>
    <w:p w14:paraId="645E6B2D">
      <w:pPr>
        <w:spacing w:line="500" w:lineRule="exact"/>
        <w:ind w:firstLine="602" w:firstLineChars="200"/>
        <w:jc w:val="left"/>
        <w:rPr>
          <w:rFonts w:ascii="黑体" w:hAnsi="黑体" w:eastAsia="黑体" w:cs="黑体"/>
          <w:b/>
          <w:bCs/>
          <w:sz w:val="30"/>
          <w:szCs w:val="30"/>
          <w:highlight w:val="none"/>
        </w:rPr>
      </w:pPr>
    </w:p>
    <w:p w14:paraId="7A7B0854">
      <w:pPr>
        <w:pStyle w:val="43"/>
        <w:tabs>
          <w:tab w:val="right" w:leader="dot" w:pos="9070"/>
        </w:tabs>
        <w:spacing w:line="500" w:lineRule="exact"/>
        <w:rPr>
          <w:rFonts w:ascii="宋体" w:hAnsi="宋体" w:eastAsia="宋体" w:cs="Times New Roman"/>
          <w:kern w:val="2"/>
          <w:sz w:val="21"/>
          <w:highlight w:val="none"/>
          <w:lang w:val="en-US" w:eastAsia="zh-CN" w:bidi="ar-SA"/>
        </w:rPr>
      </w:pPr>
    </w:p>
    <w:p w14:paraId="75C893F5">
      <w:pPr>
        <w:pStyle w:val="43"/>
        <w:tabs>
          <w:tab w:val="right" w:leader="dot" w:pos="9070"/>
        </w:tabs>
        <w:spacing w:line="500" w:lineRule="exact"/>
        <w:rPr>
          <w:rFonts w:ascii="黑体" w:hAnsi="黑体" w:eastAsia="黑体" w:cs="黑体"/>
          <w:bCs/>
          <w:szCs w:val="30"/>
          <w:highlight w:val="none"/>
          <w:lang w:val="en-US" w:eastAsia="zh-CN" w:bidi="ar-SA"/>
        </w:rPr>
      </w:pPr>
    </w:p>
    <w:p w14:paraId="23958BC0">
      <w:pPr>
        <w:pStyle w:val="43"/>
        <w:tabs>
          <w:tab w:val="right" w:leader="dot" w:pos="9070"/>
        </w:tabs>
        <w:spacing w:line="500" w:lineRule="exact"/>
        <w:rPr>
          <w:rFonts w:ascii="黑体" w:hAnsi="黑体" w:eastAsia="黑体" w:cs="黑体"/>
          <w:bCs/>
          <w:szCs w:val="30"/>
          <w:highlight w:val="none"/>
          <w:lang w:val="en-US" w:eastAsia="zh-CN" w:bidi="ar-SA"/>
        </w:rPr>
      </w:pPr>
    </w:p>
    <w:p w14:paraId="1F0A3AE5">
      <w:pPr>
        <w:pStyle w:val="43"/>
        <w:tabs>
          <w:tab w:val="right" w:leader="dot" w:pos="9070"/>
        </w:tabs>
        <w:spacing w:line="500" w:lineRule="exact"/>
        <w:rPr>
          <w:rFonts w:ascii="黑体" w:hAnsi="黑体" w:eastAsia="黑体" w:cs="黑体"/>
          <w:bCs/>
          <w:szCs w:val="30"/>
          <w:highlight w:val="none"/>
          <w:lang w:val="en-US" w:eastAsia="zh-CN" w:bidi="ar-SA"/>
        </w:rPr>
      </w:pPr>
    </w:p>
    <w:p w14:paraId="496E61E7">
      <w:pPr>
        <w:pStyle w:val="43"/>
        <w:tabs>
          <w:tab w:val="right" w:leader="dot" w:pos="9070"/>
        </w:tabs>
        <w:spacing w:line="500" w:lineRule="exact"/>
        <w:rPr>
          <w:rFonts w:ascii="黑体" w:hAnsi="黑体" w:eastAsia="黑体" w:cs="黑体"/>
          <w:b/>
          <w:bCs/>
          <w:sz w:val="30"/>
          <w:szCs w:val="30"/>
          <w:highlight w:val="none"/>
        </w:rPr>
      </w:pPr>
    </w:p>
    <w:p w14:paraId="74F0ECB0">
      <w:pPr>
        <w:pStyle w:val="43"/>
        <w:tabs>
          <w:tab w:val="right" w:leader="dot" w:pos="9070"/>
        </w:tabs>
        <w:spacing w:line="500" w:lineRule="exact"/>
        <w:rPr>
          <w:rFonts w:ascii="黑体" w:hAnsi="黑体" w:eastAsia="黑体" w:cs="黑体"/>
          <w:b/>
          <w:bCs/>
          <w:sz w:val="30"/>
          <w:szCs w:val="30"/>
          <w:highlight w:val="none"/>
        </w:rPr>
      </w:pPr>
    </w:p>
    <w:p w14:paraId="78C7F320">
      <w:pPr>
        <w:pStyle w:val="43"/>
        <w:tabs>
          <w:tab w:val="right" w:leader="dot" w:pos="9070"/>
        </w:tabs>
        <w:spacing w:line="500" w:lineRule="exact"/>
        <w:rPr>
          <w:rFonts w:ascii="黑体" w:hAnsi="黑体" w:eastAsia="黑体" w:cs="黑体"/>
          <w:b/>
          <w:bCs/>
          <w:sz w:val="30"/>
          <w:szCs w:val="30"/>
          <w:highlight w:val="none"/>
        </w:rPr>
      </w:pPr>
    </w:p>
    <w:p w14:paraId="763903D5">
      <w:pPr>
        <w:pStyle w:val="43"/>
        <w:tabs>
          <w:tab w:val="right" w:leader="dot" w:pos="9070"/>
        </w:tabs>
        <w:spacing w:line="500" w:lineRule="exact"/>
        <w:rPr>
          <w:rFonts w:ascii="黑体" w:hAnsi="黑体" w:eastAsia="黑体" w:cs="黑体"/>
          <w:b/>
          <w:bCs/>
          <w:sz w:val="30"/>
          <w:szCs w:val="30"/>
          <w:highlight w:val="none"/>
        </w:rPr>
      </w:pPr>
    </w:p>
    <w:p w14:paraId="6BB4F76A">
      <w:pPr>
        <w:pStyle w:val="43"/>
        <w:tabs>
          <w:tab w:val="right" w:leader="dot" w:pos="9070"/>
        </w:tabs>
        <w:spacing w:line="500" w:lineRule="exact"/>
        <w:rPr>
          <w:rFonts w:ascii="黑体" w:hAnsi="黑体" w:eastAsia="黑体" w:cs="黑体"/>
          <w:b/>
          <w:bCs/>
          <w:sz w:val="30"/>
          <w:szCs w:val="30"/>
          <w:highlight w:val="none"/>
        </w:rPr>
      </w:pPr>
    </w:p>
    <w:p w14:paraId="2285C460">
      <w:pPr>
        <w:pStyle w:val="43"/>
        <w:tabs>
          <w:tab w:val="right" w:leader="dot" w:pos="9070"/>
        </w:tabs>
        <w:spacing w:line="500" w:lineRule="exact"/>
        <w:rPr>
          <w:rFonts w:ascii="黑体" w:hAnsi="黑体" w:eastAsia="黑体" w:cs="黑体"/>
          <w:b/>
          <w:bCs/>
          <w:sz w:val="30"/>
          <w:szCs w:val="30"/>
          <w:highlight w:val="none"/>
        </w:rPr>
      </w:pPr>
    </w:p>
    <w:p w14:paraId="058F7699">
      <w:pPr>
        <w:pStyle w:val="43"/>
        <w:tabs>
          <w:tab w:val="right" w:leader="dot" w:pos="9070"/>
        </w:tabs>
        <w:spacing w:line="500" w:lineRule="exact"/>
        <w:rPr>
          <w:rFonts w:ascii="黑体" w:hAnsi="黑体" w:eastAsia="黑体" w:cs="黑体"/>
          <w:b/>
          <w:bCs/>
          <w:sz w:val="30"/>
          <w:szCs w:val="30"/>
          <w:highlight w:val="none"/>
        </w:rPr>
      </w:pPr>
    </w:p>
    <w:p w14:paraId="7FC75285">
      <w:pPr>
        <w:spacing w:line="500" w:lineRule="exact"/>
        <w:jc w:val="left"/>
        <w:rPr>
          <w:rFonts w:ascii="黑体" w:hAnsi="黑体" w:eastAsia="黑体" w:cs="黑体"/>
          <w:b/>
          <w:bCs/>
          <w:sz w:val="30"/>
          <w:szCs w:val="30"/>
          <w:highlight w:val="none"/>
        </w:rPr>
      </w:pPr>
    </w:p>
    <w:p w14:paraId="502BDCD7">
      <w:pPr>
        <w:spacing w:line="500" w:lineRule="exact"/>
        <w:jc w:val="left"/>
        <w:outlineLvl w:val="0"/>
        <w:rPr>
          <w:rFonts w:hint="eastAsia" w:ascii="黑体" w:hAnsi="黑体" w:eastAsia="黑体" w:cs="黑体"/>
          <w:b/>
          <w:bCs/>
          <w:sz w:val="30"/>
          <w:szCs w:val="30"/>
          <w:highlight w:val="none"/>
        </w:rPr>
      </w:pPr>
      <w:bookmarkStart w:id="0" w:name="_Toc25197"/>
      <w:bookmarkStart w:id="1" w:name="_Toc14413"/>
    </w:p>
    <w:p w14:paraId="38BC654C">
      <w:pPr>
        <w:spacing w:line="500" w:lineRule="exact"/>
        <w:ind w:firstLine="602" w:firstLineChars="200"/>
        <w:jc w:val="left"/>
        <w:outlineLvl w:val="0"/>
        <w:rPr>
          <w:rFonts w:hint="default" w:ascii="黑体" w:hAnsi="黑体" w:eastAsia="黑体" w:cs="黑体"/>
          <w:b/>
          <w:bCs/>
          <w:sz w:val="30"/>
          <w:szCs w:val="30"/>
          <w:highlight w:val="none"/>
          <w:lang w:val="en-US" w:eastAsia="zh-CN"/>
        </w:rPr>
      </w:pPr>
      <w:r>
        <w:rPr>
          <w:rFonts w:hint="eastAsia" w:ascii="黑体" w:hAnsi="黑体" w:eastAsia="黑体" w:cs="黑体"/>
          <w:b/>
          <w:bCs/>
          <w:sz w:val="30"/>
          <w:szCs w:val="30"/>
          <w:highlight w:val="none"/>
        </w:rPr>
        <w:t>一、</w:t>
      </w:r>
      <w:bookmarkEnd w:id="0"/>
      <w:bookmarkEnd w:id="1"/>
      <w:r>
        <w:rPr>
          <w:rFonts w:hint="eastAsia" w:ascii="黑体" w:hAnsi="黑体" w:eastAsia="黑体" w:cs="黑体"/>
          <w:b/>
          <w:bCs/>
          <w:sz w:val="30"/>
          <w:szCs w:val="30"/>
          <w:highlight w:val="none"/>
          <w:lang w:val="en-US" w:eastAsia="zh-CN"/>
        </w:rPr>
        <w:t>招标公告</w:t>
      </w:r>
    </w:p>
    <w:p w14:paraId="01CFA152">
      <w:pPr>
        <w:spacing w:line="500" w:lineRule="exact"/>
        <w:ind w:firstLine="600" w:firstLineChars="200"/>
        <w:jc w:val="both"/>
        <w:rPr>
          <w:rFonts w:hint="eastAsia" w:ascii="仿宋_GB2312" w:hAnsi="仿宋" w:eastAsia="仿宋_GB2312"/>
          <w:color w:val="auto"/>
          <w:sz w:val="30"/>
          <w:szCs w:val="30"/>
          <w:highlight w:val="none"/>
          <w:lang w:val="en-US" w:eastAsia="zh-CN"/>
        </w:rPr>
      </w:pPr>
      <w:r>
        <w:rPr>
          <w:rFonts w:hint="eastAsia" w:ascii="仿宋_GB2312" w:hAnsi="仿宋" w:eastAsia="仿宋_GB2312"/>
          <w:color w:val="auto"/>
          <w:sz w:val="30"/>
          <w:szCs w:val="30"/>
          <w:highlight w:val="none"/>
        </w:rPr>
        <w:t>1.项目名称：</w:t>
      </w:r>
      <w:r>
        <w:rPr>
          <w:rFonts w:hint="eastAsia" w:ascii="仿宋_GB2312" w:hAnsi="仿宋" w:eastAsia="仿宋_GB2312"/>
          <w:color w:val="auto"/>
          <w:sz w:val="30"/>
          <w:szCs w:val="30"/>
          <w:highlight w:val="none"/>
          <w:lang w:val="en-US" w:eastAsia="zh-CN"/>
        </w:rPr>
        <w:t>“中国重汽杯”2026年职工运动会</w:t>
      </w:r>
    </w:p>
    <w:p w14:paraId="455BE682">
      <w:pPr>
        <w:pStyle w:val="4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00" w:firstLineChars="200"/>
        <w:textAlignment w:val="auto"/>
        <w:rPr>
          <w:rFonts w:hint="eastAsia" w:ascii="仿宋_GB2312" w:hAnsi="仿宋" w:eastAsia="仿宋_GB2312"/>
          <w:b w:val="0"/>
          <w:bCs/>
          <w:color w:val="auto"/>
          <w:sz w:val="30"/>
          <w:szCs w:val="30"/>
          <w:highlight w:val="none"/>
          <w:lang w:val="en-US" w:eastAsia="zh-CN"/>
        </w:rPr>
      </w:pPr>
      <w:r>
        <w:rPr>
          <w:rFonts w:hint="eastAsia" w:ascii="仿宋_GB2312" w:hAnsi="仿宋" w:eastAsia="仿宋_GB2312"/>
          <w:b w:val="0"/>
          <w:bCs/>
          <w:color w:val="auto"/>
          <w:sz w:val="30"/>
          <w:szCs w:val="30"/>
          <w:highlight w:val="none"/>
          <w:lang w:val="en-US" w:eastAsia="zh-CN"/>
        </w:rPr>
        <w:t>2.项目编号：ZBGL2026080062</w:t>
      </w:r>
    </w:p>
    <w:p w14:paraId="50EE89F2">
      <w:pPr>
        <w:pStyle w:val="4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00" w:firstLineChars="200"/>
        <w:textAlignment w:val="auto"/>
        <w:rPr>
          <w:rFonts w:hint="eastAsia" w:ascii="仿宋_GB2312" w:hAnsi="仿宋" w:eastAsia="仿宋_GB2312" w:cs="Times New Roman"/>
          <w:b w:val="0"/>
          <w:color w:val="auto"/>
          <w:kern w:val="2"/>
          <w:sz w:val="30"/>
          <w:szCs w:val="30"/>
          <w:highlight w:val="none"/>
          <w:lang w:val="en-US" w:eastAsia="zh-CN" w:bidi="ar-SA"/>
        </w:rPr>
      </w:pPr>
      <w:r>
        <w:rPr>
          <w:rFonts w:hint="eastAsia" w:ascii="仿宋_GB2312" w:hAnsi="仿宋" w:eastAsia="仿宋_GB2312"/>
          <w:b w:val="0"/>
          <w:bCs/>
          <w:color w:val="auto"/>
          <w:sz w:val="30"/>
          <w:szCs w:val="30"/>
          <w:highlight w:val="none"/>
          <w:lang w:val="en-US" w:eastAsia="zh-CN"/>
        </w:rPr>
        <w:t>3.招标内容</w:t>
      </w:r>
      <w:r>
        <w:rPr>
          <w:rFonts w:hint="eastAsia" w:ascii="仿宋_GB2312" w:hAnsi="仿宋" w:eastAsia="仿宋_GB2312"/>
          <w:color w:val="auto"/>
          <w:sz w:val="30"/>
          <w:szCs w:val="30"/>
          <w:highlight w:val="none"/>
          <w:lang w:val="en-US" w:eastAsia="zh-CN"/>
        </w:rPr>
        <w:t>：</w:t>
      </w:r>
      <w:r>
        <w:rPr>
          <w:rFonts w:hint="eastAsia" w:ascii="仿宋_GB2312" w:hAnsi="仿宋" w:eastAsia="仿宋_GB2312" w:cs="Times New Roman"/>
          <w:b w:val="0"/>
          <w:color w:val="auto"/>
          <w:kern w:val="2"/>
          <w:sz w:val="30"/>
          <w:szCs w:val="30"/>
          <w:highlight w:val="none"/>
          <w:lang w:val="en-US" w:eastAsia="zh-CN" w:bidi="ar-SA"/>
        </w:rPr>
        <w:t>“中国重汽杯”2026年职工运动会的整体策划、主题设计、开闭幕式策划执行、竞赛组织与赛程编排、场地布置与舞美搭建、比赛器材及物资筹备、裁判团队及工作人员配置、摄影摄像及视频制作、医疗保障、现场安保、应急保障、活动收尾等一体化服务。</w:t>
      </w:r>
    </w:p>
    <w:p w14:paraId="750E8D12">
      <w:pPr>
        <w:spacing w:line="500" w:lineRule="exact"/>
        <w:ind w:firstLine="600" w:firstLineChars="200"/>
        <w:jc w:val="both"/>
        <w:rPr>
          <w:rFonts w:hint="eastAsia" w:ascii="仿宋_GB2312" w:hAnsi="仿宋" w:eastAsia="仿宋_GB2312"/>
          <w:color w:val="auto"/>
          <w:sz w:val="30"/>
          <w:szCs w:val="30"/>
          <w:highlight w:val="none"/>
        </w:rPr>
      </w:pPr>
      <w:r>
        <w:rPr>
          <w:rFonts w:hint="eastAsia" w:ascii="仿宋_GB2312" w:hAnsi="仿宋" w:eastAsia="仿宋_GB2312"/>
          <w:color w:val="auto"/>
          <w:sz w:val="30"/>
          <w:szCs w:val="30"/>
          <w:highlight w:val="none"/>
          <w:lang w:val="en-US" w:eastAsia="zh-CN"/>
        </w:rPr>
        <w:t>4</w:t>
      </w:r>
      <w:r>
        <w:rPr>
          <w:rFonts w:hint="eastAsia" w:ascii="仿宋_GB2312" w:hAnsi="仿宋" w:eastAsia="仿宋_GB2312"/>
          <w:color w:val="auto"/>
          <w:sz w:val="30"/>
          <w:szCs w:val="30"/>
          <w:highlight w:val="none"/>
        </w:rPr>
        <w:t>.项目周期</w:t>
      </w:r>
      <w:r>
        <w:rPr>
          <w:rFonts w:hint="eastAsia" w:ascii="仿宋_GB2312" w:hAnsi="仿宋" w:eastAsia="仿宋_GB2312"/>
          <w:color w:val="auto"/>
          <w:sz w:val="30"/>
          <w:szCs w:val="30"/>
          <w:highlight w:val="none"/>
          <w:lang w:eastAsia="zh-CN"/>
        </w:rPr>
        <w:t>：</w:t>
      </w:r>
      <w:r>
        <w:rPr>
          <w:rFonts w:hint="eastAsia" w:ascii="仿宋_GB2312" w:hAnsi="仿宋" w:eastAsia="仿宋_GB2312" w:cs="Times New Roman"/>
          <w:color w:val="auto"/>
          <w:sz w:val="30"/>
          <w:szCs w:val="30"/>
          <w:highlight w:val="none"/>
        </w:rPr>
        <w:t>具体时间以中标后合同约定的时间为准</w:t>
      </w:r>
      <w:r>
        <w:rPr>
          <w:rFonts w:hint="eastAsia" w:ascii="仿宋_GB2312" w:hAnsi="仿宋" w:eastAsia="仿宋_GB2312" w:cs="Times New Roman"/>
          <w:color w:val="auto"/>
          <w:sz w:val="30"/>
          <w:szCs w:val="30"/>
          <w:highlight w:val="none"/>
          <w:lang w:eastAsia="zh-CN"/>
        </w:rPr>
        <w:t>。</w:t>
      </w:r>
    </w:p>
    <w:p w14:paraId="7FC9CEFE">
      <w:pPr>
        <w:pStyle w:val="10"/>
        <w:spacing w:line="500" w:lineRule="exact"/>
        <w:ind w:firstLine="600" w:firstLineChars="200"/>
        <w:jc w:val="both"/>
        <w:rPr>
          <w:rFonts w:hint="eastAsia" w:ascii="仿宋_GB2312" w:hAnsi="仿宋" w:eastAsia="仿宋_GB2312" w:cs="Times New Roman"/>
          <w:color w:val="auto"/>
          <w:sz w:val="30"/>
          <w:szCs w:val="30"/>
          <w:highlight w:val="none"/>
          <w:lang w:val="en-US" w:eastAsia="zh-CN"/>
        </w:rPr>
      </w:pPr>
      <w:r>
        <w:rPr>
          <w:rFonts w:hint="eastAsia" w:ascii="仿宋_GB2312" w:hAnsi="仿宋" w:eastAsia="仿宋_GB2312"/>
          <w:color w:val="auto"/>
          <w:sz w:val="30"/>
          <w:szCs w:val="30"/>
          <w:highlight w:val="none"/>
          <w:lang w:val="en-US" w:eastAsia="zh-CN"/>
        </w:rPr>
        <w:t>5</w:t>
      </w:r>
      <w:r>
        <w:rPr>
          <w:rFonts w:hint="eastAsia" w:ascii="仿宋_GB2312" w:hAnsi="仿宋" w:eastAsia="仿宋_GB2312" w:cs="Times New Roman"/>
          <w:color w:val="auto"/>
          <w:sz w:val="30"/>
          <w:szCs w:val="30"/>
          <w:highlight w:val="none"/>
        </w:rPr>
        <w:t>.</w:t>
      </w:r>
      <w:r>
        <w:rPr>
          <w:rFonts w:hint="eastAsia" w:ascii="仿宋_GB2312" w:hAnsi="仿宋" w:eastAsia="仿宋_GB2312" w:cs="Times New Roman"/>
          <w:color w:val="auto"/>
          <w:sz w:val="30"/>
          <w:szCs w:val="30"/>
          <w:highlight w:val="none"/>
          <w:lang w:val="en-US" w:eastAsia="zh-CN"/>
        </w:rPr>
        <w:t>服务规模：预计参与职工约7000人，设田赛（跳高、跳远、铅球）、径赛（100米、400米、4*100米接力、1500米）、趣味运动（集体类2项）等多个竞赛内容，可根据招标人实际报名人数及项目设置动态调整。</w:t>
      </w:r>
    </w:p>
    <w:p w14:paraId="767B7BA9">
      <w:pPr>
        <w:pStyle w:val="10"/>
        <w:spacing w:line="500" w:lineRule="exact"/>
        <w:ind w:firstLine="600" w:firstLineChars="200"/>
        <w:jc w:val="both"/>
        <w:rPr>
          <w:rFonts w:hint="eastAsia"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lang w:val="en-US" w:eastAsia="zh-CN"/>
        </w:rPr>
        <w:t>6.</w:t>
      </w:r>
      <w:r>
        <w:rPr>
          <w:rFonts w:hint="eastAsia" w:ascii="仿宋_GB2312" w:hAnsi="仿宋" w:eastAsia="仿宋_GB2312" w:cs="Times New Roman"/>
          <w:sz w:val="30"/>
          <w:szCs w:val="30"/>
          <w:highlight w:val="none"/>
        </w:rPr>
        <w:t>报价方式：报价应包括合同签订到项目执行完成内的一切费用，除此之外，采购方无需支付任何费用。报价应明确项目含税单价、未税单价、税率及发票性质等相关信息，报价需在重汽e采通完成。</w:t>
      </w:r>
    </w:p>
    <w:p w14:paraId="64826DE4">
      <w:pPr>
        <w:spacing w:line="500" w:lineRule="exact"/>
        <w:ind w:firstLine="600" w:firstLineChars="200"/>
        <w:jc w:val="both"/>
        <w:rPr>
          <w:rFonts w:ascii="仿宋_GB2312" w:hAnsi="仿宋" w:eastAsia="仿宋_GB2312"/>
          <w:sz w:val="30"/>
          <w:szCs w:val="30"/>
          <w:highlight w:val="none"/>
        </w:rPr>
      </w:pPr>
      <w:r>
        <w:rPr>
          <w:rFonts w:hint="eastAsia" w:ascii="仿宋_GB2312" w:hAnsi="仿宋" w:eastAsia="仿宋_GB2312"/>
          <w:sz w:val="30"/>
          <w:szCs w:val="30"/>
          <w:highlight w:val="none"/>
          <w:lang w:val="en-US" w:eastAsia="zh-CN"/>
        </w:rPr>
        <w:t>7</w:t>
      </w:r>
      <w:r>
        <w:rPr>
          <w:rFonts w:hint="eastAsia" w:ascii="仿宋_GB2312" w:hAnsi="仿宋" w:eastAsia="仿宋_GB2312"/>
          <w:sz w:val="30"/>
          <w:szCs w:val="30"/>
          <w:highlight w:val="none"/>
        </w:rPr>
        <w:t>.招标形式：</w:t>
      </w:r>
      <w:r>
        <w:rPr>
          <w:rFonts w:hint="eastAsia" w:ascii="仿宋_GB2312" w:hAnsi="仿宋" w:eastAsia="仿宋_GB2312"/>
          <w:sz w:val="30"/>
          <w:szCs w:val="30"/>
          <w:highlight w:val="none"/>
          <w:lang w:val="en-US" w:eastAsia="zh-CN"/>
        </w:rPr>
        <w:t>公开</w:t>
      </w:r>
      <w:r>
        <w:rPr>
          <w:rFonts w:hint="eastAsia" w:ascii="仿宋_GB2312" w:hAnsi="仿宋" w:eastAsia="仿宋_GB2312"/>
          <w:sz w:val="30"/>
          <w:szCs w:val="30"/>
          <w:highlight w:val="none"/>
        </w:rPr>
        <w:t>招标。</w:t>
      </w:r>
    </w:p>
    <w:p w14:paraId="296FBBF8">
      <w:pPr>
        <w:spacing w:line="500" w:lineRule="exact"/>
        <w:ind w:firstLine="600" w:firstLineChars="200"/>
        <w:jc w:val="both"/>
        <w:rPr>
          <w:rFonts w:hint="eastAsia" w:ascii="仿宋_GB2312" w:hAnsi="仿宋" w:eastAsia="仿宋_GB2312" w:cs="Times New Roman"/>
          <w:sz w:val="30"/>
          <w:szCs w:val="30"/>
          <w:highlight w:val="none"/>
        </w:rPr>
      </w:pPr>
      <w:r>
        <w:rPr>
          <w:rFonts w:hint="eastAsia" w:ascii="仿宋_GB2312" w:hAnsi="仿宋" w:eastAsia="仿宋_GB2312"/>
          <w:sz w:val="30"/>
          <w:szCs w:val="30"/>
          <w:highlight w:val="none"/>
          <w:lang w:val="en-US" w:eastAsia="zh-CN"/>
        </w:rPr>
        <w:t>8</w:t>
      </w:r>
      <w:r>
        <w:rPr>
          <w:rFonts w:hint="eastAsia" w:ascii="仿宋_GB2312" w:hAnsi="仿宋" w:eastAsia="仿宋_GB2312"/>
          <w:sz w:val="30"/>
          <w:szCs w:val="30"/>
          <w:highlight w:val="none"/>
        </w:rPr>
        <w:t>.开标</w:t>
      </w:r>
      <w:r>
        <w:rPr>
          <w:rFonts w:hint="eastAsia" w:ascii="仿宋_GB2312" w:hAnsi="仿宋" w:eastAsia="仿宋_GB2312"/>
          <w:sz w:val="30"/>
          <w:szCs w:val="30"/>
          <w:highlight w:val="none"/>
          <w:lang w:val="en-US" w:eastAsia="zh-CN"/>
        </w:rPr>
        <w:t>方式：</w:t>
      </w:r>
      <w:r>
        <w:rPr>
          <w:rFonts w:hint="eastAsia" w:ascii="仿宋_GB2312" w:hAnsi="仿宋" w:eastAsia="仿宋_GB2312" w:cs="Times New Roman"/>
          <w:sz w:val="30"/>
          <w:szCs w:val="30"/>
          <w:highlight w:val="none"/>
        </w:rPr>
        <w:t>现场参与。</w:t>
      </w:r>
    </w:p>
    <w:p w14:paraId="5663DD11">
      <w:pPr>
        <w:spacing w:line="500" w:lineRule="exact"/>
        <w:ind w:firstLine="900" w:firstLineChars="300"/>
        <w:jc w:val="both"/>
        <w:rPr>
          <w:rFonts w:ascii="仿宋_GB2312" w:hAnsi="仿宋" w:eastAsia="仿宋_GB2312"/>
          <w:sz w:val="30"/>
          <w:szCs w:val="30"/>
          <w:highlight w:val="none"/>
        </w:rPr>
      </w:pPr>
      <w:r>
        <w:rPr>
          <w:rFonts w:hint="eastAsia" w:ascii="仿宋_GB2312" w:hAnsi="仿宋" w:eastAsia="仿宋_GB2312"/>
          <w:sz w:val="30"/>
          <w:szCs w:val="30"/>
          <w:highlight w:val="none"/>
          <w:lang w:val="en-US" w:eastAsia="zh-CN"/>
        </w:rPr>
        <w:t>开标</w:t>
      </w:r>
      <w:r>
        <w:rPr>
          <w:rFonts w:hint="eastAsia" w:ascii="仿宋_GB2312" w:hAnsi="仿宋" w:eastAsia="仿宋_GB2312"/>
          <w:sz w:val="30"/>
          <w:szCs w:val="30"/>
          <w:highlight w:val="none"/>
        </w:rPr>
        <w:t>时间：</w:t>
      </w:r>
      <w:r>
        <w:rPr>
          <w:rFonts w:hint="eastAsia" w:ascii="仿宋_GB2312" w:hAnsi="仿宋" w:eastAsia="仿宋_GB2312"/>
          <w:sz w:val="30"/>
          <w:szCs w:val="30"/>
          <w:highlight w:val="yellow"/>
        </w:rPr>
        <w:t>202</w:t>
      </w:r>
      <w:r>
        <w:rPr>
          <w:rFonts w:hint="eastAsia" w:ascii="仿宋_GB2312" w:hAnsi="仿宋" w:eastAsia="仿宋_GB2312"/>
          <w:sz w:val="30"/>
          <w:szCs w:val="30"/>
          <w:highlight w:val="yellow"/>
          <w:lang w:val="en-US" w:eastAsia="zh-CN"/>
        </w:rPr>
        <w:t>6</w:t>
      </w:r>
      <w:r>
        <w:rPr>
          <w:rFonts w:hint="eastAsia" w:ascii="仿宋_GB2312" w:hAnsi="仿宋" w:eastAsia="仿宋_GB2312"/>
          <w:sz w:val="30"/>
          <w:szCs w:val="30"/>
          <w:highlight w:val="yellow"/>
        </w:rPr>
        <w:t>年</w:t>
      </w:r>
      <w:r>
        <w:rPr>
          <w:rFonts w:hint="eastAsia" w:ascii="仿宋_GB2312" w:hAnsi="仿宋" w:eastAsia="仿宋_GB2312"/>
          <w:sz w:val="30"/>
          <w:szCs w:val="30"/>
          <w:highlight w:val="yellow"/>
          <w:lang w:val="en-US" w:eastAsia="zh-CN"/>
        </w:rPr>
        <w:t>9</w:t>
      </w:r>
      <w:r>
        <w:rPr>
          <w:rFonts w:hint="eastAsia" w:ascii="仿宋_GB2312" w:hAnsi="仿宋" w:eastAsia="仿宋_GB2312"/>
          <w:sz w:val="30"/>
          <w:szCs w:val="30"/>
          <w:highlight w:val="yellow"/>
        </w:rPr>
        <w:t>月</w:t>
      </w:r>
      <w:r>
        <w:rPr>
          <w:rFonts w:hint="eastAsia" w:ascii="仿宋_GB2312" w:hAnsi="仿宋" w:eastAsia="仿宋_GB2312"/>
          <w:sz w:val="30"/>
          <w:szCs w:val="30"/>
          <w:highlight w:val="yellow"/>
          <w:lang w:val="en-US" w:eastAsia="zh-CN"/>
        </w:rPr>
        <w:t>8</w:t>
      </w:r>
      <w:r>
        <w:rPr>
          <w:rFonts w:hint="eastAsia" w:ascii="仿宋_GB2312" w:hAnsi="仿宋" w:eastAsia="仿宋_GB2312"/>
          <w:sz w:val="30"/>
          <w:szCs w:val="30"/>
          <w:highlight w:val="yellow"/>
        </w:rPr>
        <w:t>日</w:t>
      </w:r>
      <w:r>
        <w:rPr>
          <w:rFonts w:hint="eastAsia" w:ascii="仿宋_GB2312" w:hAnsi="仿宋" w:eastAsia="仿宋_GB2312"/>
          <w:sz w:val="30"/>
          <w:szCs w:val="30"/>
          <w:highlight w:val="yellow"/>
          <w:lang w:val="en-US" w:eastAsia="zh-CN"/>
        </w:rPr>
        <w:t>9点00分</w:t>
      </w:r>
      <w:r>
        <w:rPr>
          <w:rFonts w:hint="eastAsia" w:ascii="仿宋_GB2312" w:hAnsi="仿宋" w:eastAsia="仿宋_GB2312"/>
          <w:sz w:val="30"/>
          <w:szCs w:val="30"/>
          <w:highlight w:val="none"/>
        </w:rPr>
        <w:t>。</w:t>
      </w:r>
    </w:p>
    <w:p w14:paraId="17690130">
      <w:pPr>
        <w:spacing w:line="500" w:lineRule="exact"/>
        <w:ind w:firstLine="900" w:firstLineChars="300"/>
        <w:jc w:val="both"/>
        <w:rPr>
          <w:rFonts w:ascii="仿宋_GB2312" w:hAnsi="仿宋" w:eastAsia="仿宋_GB2312"/>
          <w:sz w:val="30"/>
          <w:szCs w:val="30"/>
          <w:highlight w:val="none"/>
        </w:rPr>
      </w:pPr>
      <w:r>
        <w:rPr>
          <w:rFonts w:hint="eastAsia" w:ascii="仿宋_GB2312" w:hAnsi="仿宋" w:eastAsia="仿宋_GB2312"/>
          <w:sz w:val="30"/>
          <w:szCs w:val="30"/>
          <w:highlight w:val="none"/>
          <w:lang w:val="en-US" w:eastAsia="zh-CN"/>
        </w:rPr>
        <w:t>开标</w:t>
      </w:r>
      <w:r>
        <w:rPr>
          <w:rFonts w:hint="eastAsia" w:ascii="仿宋_GB2312" w:hAnsi="仿宋" w:eastAsia="仿宋_GB2312"/>
          <w:sz w:val="30"/>
          <w:szCs w:val="30"/>
          <w:highlight w:val="none"/>
        </w:rPr>
        <w:t>地点：</w:t>
      </w:r>
      <w:bookmarkStart w:id="2" w:name="OLE_LINK3"/>
      <w:bookmarkStart w:id="3" w:name="OLE_LINK2"/>
      <w:r>
        <w:rPr>
          <w:rFonts w:hint="eastAsia" w:ascii="仿宋_GB2312" w:hAnsi="仿宋" w:eastAsia="仿宋_GB2312"/>
          <w:sz w:val="30"/>
          <w:szCs w:val="30"/>
          <w:highlight w:val="none"/>
        </w:rPr>
        <w:t>中国重汽科技大厦会议室（具体地点另行通知）</w:t>
      </w:r>
      <w:bookmarkEnd w:id="2"/>
      <w:bookmarkEnd w:id="3"/>
      <w:r>
        <w:rPr>
          <w:rFonts w:hint="eastAsia" w:ascii="仿宋_GB2312" w:hAnsi="仿宋" w:eastAsia="仿宋_GB2312"/>
          <w:sz w:val="30"/>
          <w:szCs w:val="30"/>
          <w:highlight w:val="none"/>
        </w:rPr>
        <w:t>。</w:t>
      </w:r>
    </w:p>
    <w:p w14:paraId="203C4071">
      <w:pPr>
        <w:spacing w:line="500" w:lineRule="exact"/>
        <w:ind w:firstLine="602" w:firstLineChars="200"/>
        <w:jc w:val="left"/>
        <w:outlineLvl w:val="0"/>
        <w:rPr>
          <w:rFonts w:hint="eastAsia" w:ascii="黑体" w:hAnsi="黑体" w:eastAsia="黑体" w:cs="黑体"/>
          <w:b/>
          <w:bCs/>
          <w:sz w:val="30"/>
          <w:szCs w:val="30"/>
          <w:highlight w:val="none"/>
          <w:lang w:eastAsia="zh-CN"/>
        </w:rPr>
      </w:pPr>
      <w:bookmarkStart w:id="4" w:name="_Toc26596"/>
      <w:bookmarkStart w:id="5" w:name="_Toc5871"/>
      <w:r>
        <w:rPr>
          <w:rFonts w:hint="eastAsia" w:ascii="黑体" w:hAnsi="黑体" w:eastAsia="黑体" w:cs="黑体"/>
          <w:b/>
          <w:bCs/>
          <w:sz w:val="30"/>
          <w:szCs w:val="30"/>
          <w:highlight w:val="none"/>
        </w:rPr>
        <w:t>二、投标人</w:t>
      </w:r>
      <w:bookmarkEnd w:id="4"/>
      <w:bookmarkEnd w:id="5"/>
      <w:r>
        <w:rPr>
          <w:rFonts w:hint="eastAsia" w:ascii="黑体" w:hAnsi="黑体" w:eastAsia="黑体" w:cs="黑体"/>
          <w:b/>
          <w:bCs/>
          <w:sz w:val="30"/>
          <w:szCs w:val="30"/>
          <w:highlight w:val="none"/>
          <w:lang w:val="en-US" w:eastAsia="zh-CN"/>
        </w:rPr>
        <w:t>资质</w:t>
      </w:r>
    </w:p>
    <w:p w14:paraId="5997C4F5">
      <w:pPr>
        <w:pStyle w:val="10"/>
        <w:spacing w:line="500" w:lineRule="exact"/>
        <w:ind w:firstLine="600" w:firstLineChars="200"/>
        <w:rPr>
          <w:rFonts w:hint="eastAsia"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所有拟投标人</w:t>
      </w:r>
      <w:r>
        <w:rPr>
          <w:rFonts w:hint="eastAsia" w:ascii="仿宋_GB2312" w:hAnsi="仿宋" w:eastAsia="仿宋_GB2312" w:cs="Times New Roman"/>
          <w:sz w:val="30"/>
          <w:szCs w:val="30"/>
          <w:highlight w:val="none"/>
          <w:lang w:val="en-US" w:eastAsia="zh-CN"/>
        </w:rPr>
        <w:t>须</w:t>
      </w:r>
      <w:r>
        <w:rPr>
          <w:rFonts w:hint="eastAsia" w:ascii="仿宋_GB2312" w:hAnsi="仿宋" w:eastAsia="仿宋_GB2312" w:cs="Times New Roman"/>
          <w:sz w:val="30"/>
          <w:szCs w:val="30"/>
          <w:highlight w:val="none"/>
        </w:rPr>
        <w:t>满足以下条件：</w:t>
      </w:r>
    </w:p>
    <w:p w14:paraId="34A84770">
      <w:pPr>
        <w:pStyle w:val="10"/>
        <w:numPr>
          <w:ilvl w:val="0"/>
          <w:numId w:val="3"/>
        </w:numPr>
        <w:spacing w:line="500" w:lineRule="exact"/>
        <w:ind w:firstLine="600" w:firstLineChars="200"/>
        <w:rPr>
          <w:rFonts w:hint="eastAsia"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投标人是企业法人的，必须是在中华人民共和国境内注册的独立法人机构，具有独立承担民事责任能力，</w:t>
      </w:r>
      <w:r>
        <w:rPr>
          <w:rFonts w:hint="eastAsia" w:ascii="黑体" w:hAnsi="黑体" w:eastAsia="黑体" w:cs="黑体"/>
          <w:b/>
          <w:bCs/>
          <w:sz w:val="30"/>
          <w:szCs w:val="30"/>
          <w:highlight w:val="none"/>
        </w:rPr>
        <w:t>原则上投标人注册资金不得低于项目标的额或不低于</w:t>
      </w:r>
      <w:r>
        <w:rPr>
          <w:rFonts w:hint="eastAsia" w:ascii="黑体" w:hAnsi="黑体" w:eastAsia="黑体" w:cs="黑体"/>
          <w:b/>
          <w:bCs/>
          <w:sz w:val="30"/>
          <w:szCs w:val="30"/>
          <w:highlight w:val="none"/>
          <w:lang w:val="en-US" w:eastAsia="zh-CN"/>
        </w:rPr>
        <w:t>300</w:t>
      </w:r>
      <w:r>
        <w:rPr>
          <w:rFonts w:hint="eastAsia" w:ascii="黑体" w:hAnsi="黑体" w:eastAsia="黑体" w:cs="黑体"/>
          <w:b/>
          <w:bCs/>
          <w:sz w:val="30"/>
          <w:szCs w:val="30"/>
          <w:highlight w:val="none"/>
        </w:rPr>
        <w:t>万元；公司成立</w:t>
      </w:r>
      <w:r>
        <w:rPr>
          <w:rFonts w:hint="eastAsia" w:ascii="黑体" w:hAnsi="黑体" w:eastAsia="黑体" w:cs="黑体"/>
          <w:b/>
          <w:bCs/>
          <w:sz w:val="30"/>
          <w:szCs w:val="30"/>
          <w:highlight w:val="none"/>
          <w:lang w:val="en-US" w:eastAsia="zh-CN"/>
        </w:rPr>
        <w:t>五</w:t>
      </w:r>
      <w:r>
        <w:rPr>
          <w:rFonts w:hint="eastAsia" w:ascii="黑体" w:hAnsi="黑体" w:eastAsia="黑体" w:cs="黑体"/>
          <w:b/>
          <w:bCs/>
          <w:sz w:val="30"/>
          <w:szCs w:val="30"/>
          <w:highlight w:val="none"/>
        </w:rPr>
        <w:t>年以上（以营业执照成立日期到开标当日满</w:t>
      </w:r>
      <w:r>
        <w:rPr>
          <w:rFonts w:hint="eastAsia" w:ascii="黑体" w:hAnsi="黑体" w:eastAsia="黑体" w:cs="黑体"/>
          <w:b/>
          <w:bCs/>
          <w:sz w:val="30"/>
          <w:szCs w:val="30"/>
          <w:highlight w:val="none"/>
          <w:lang w:val="en-US" w:eastAsia="zh-CN"/>
        </w:rPr>
        <w:t>五</w:t>
      </w:r>
      <w:r>
        <w:rPr>
          <w:rFonts w:hint="eastAsia" w:ascii="黑体" w:hAnsi="黑体" w:eastAsia="黑体" w:cs="黑体"/>
          <w:b/>
          <w:bCs/>
          <w:sz w:val="30"/>
          <w:szCs w:val="30"/>
          <w:highlight w:val="none"/>
        </w:rPr>
        <w:t>年为准）</w:t>
      </w:r>
      <w:r>
        <w:rPr>
          <w:rFonts w:hint="eastAsia" w:ascii="仿宋_GB2312" w:hAnsi="仿宋" w:eastAsia="仿宋_GB2312" w:cs="Times New Roman"/>
          <w:sz w:val="30"/>
          <w:szCs w:val="30"/>
          <w:highlight w:val="none"/>
        </w:rPr>
        <w:t>；经营范围要含体育赛事策划、体育竞赛组织、庆典活动策划、策划组织文化艺术交流、会议及展览服务等相关服务内容；并在人员、设备、资金等方面具有承担本项目的能力；投标人是事业单位和社会团体及其分支机构，且经营范围满足招标方需求并在人员、设备、资金等方面具有承担本项目的能力的，可不受注册资金和成立时间限制；</w:t>
      </w:r>
    </w:p>
    <w:p w14:paraId="12A4AAC1">
      <w:pPr>
        <w:pStyle w:val="10"/>
        <w:numPr>
          <w:ilvl w:val="0"/>
          <w:numId w:val="0"/>
        </w:numPr>
        <w:spacing w:line="500" w:lineRule="exact"/>
        <w:ind w:firstLine="600" w:firstLineChars="2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（2）投标人应遵守《中华人民共和国招标投标法》及有关的法律和法规。具备独立法人资格，具有独立承担民事责任能力、良好的财务状况并具有一定的垫资能力，能切实履行合同。</w:t>
      </w:r>
    </w:p>
    <w:p w14:paraId="684F2CDF">
      <w:pPr>
        <w:pStyle w:val="10"/>
        <w:spacing w:line="500" w:lineRule="exact"/>
        <w:ind w:firstLine="600" w:firstLineChars="2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（3）投标人在国家企业信用信息公示系统中有不良记录、近三年的公司财务报表异常、存在与本项目有关的违法及严重违规或被列入招标人“黑名单”的，招标人有权取消其投标资格。</w:t>
      </w:r>
    </w:p>
    <w:p w14:paraId="62447F43">
      <w:pPr>
        <w:pStyle w:val="10"/>
        <w:spacing w:line="500" w:lineRule="exact"/>
        <w:ind w:firstLine="600" w:firstLineChars="200"/>
        <w:rPr>
          <w:rFonts w:hint="eastAsia"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（4）投标人应具备</w:t>
      </w:r>
      <w:r>
        <w:rPr>
          <w:rFonts w:hint="eastAsia" w:ascii="仿宋_GB2312" w:hAnsi="仿宋" w:eastAsia="仿宋_GB2312" w:cs="Times New Roman"/>
          <w:sz w:val="30"/>
          <w:szCs w:val="30"/>
          <w:highlight w:val="none"/>
          <w:lang w:val="en-US" w:eastAsia="zh-CN"/>
        </w:rPr>
        <w:t>3</w:t>
      </w:r>
      <w:r>
        <w:rPr>
          <w:rFonts w:hint="eastAsia" w:ascii="仿宋_GB2312" w:hAnsi="仿宋" w:eastAsia="仿宋_GB2312" w:cs="Times New Roman"/>
          <w:sz w:val="30"/>
          <w:szCs w:val="30"/>
          <w:highlight w:val="none"/>
        </w:rPr>
        <w:t>名及以上从事大型体育赛事或大型庆典活动策划执行的专职工作人员，拟派项目负责人须具备大型体育赛事策划相关工作经验，具有良好的风险应对能力，能够认可招标人的工作指令；近三年至少承接过一项大型企业运动会或大型体育赛事策划执行服务业绩。</w:t>
      </w:r>
    </w:p>
    <w:p w14:paraId="040691EE">
      <w:pPr>
        <w:pStyle w:val="10"/>
        <w:spacing w:line="500" w:lineRule="exact"/>
        <w:ind w:firstLine="600" w:firstLineChars="200"/>
        <w:rPr>
          <w:rFonts w:hint="eastAsia" w:ascii="仿宋_GB2312" w:hAnsi="仿宋" w:eastAsia="仿宋_GB2312" w:cs="Times New Roman"/>
          <w:sz w:val="30"/>
          <w:szCs w:val="30"/>
          <w:highlight w:val="none"/>
          <w:lang w:val="en-US" w:eastAsia="zh-CN"/>
        </w:rPr>
      </w:pPr>
      <w:r>
        <w:rPr>
          <w:rFonts w:hint="eastAsia" w:ascii="仿宋_GB2312" w:hAnsi="仿宋" w:eastAsia="仿宋_GB2312" w:cs="Times New Roman"/>
          <w:sz w:val="30"/>
          <w:szCs w:val="30"/>
          <w:highlight w:val="none"/>
        </w:rPr>
        <w:t>（5）资格审查方式：</w:t>
      </w:r>
      <w:r>
        <w:rPr>
          <w:rFonts w:hint="eastAsia" w:ascii="仿宋_GB2312" w:hAnsi="仿宋" w:eastAsia="仿宋_GB2312" w:cs="Times New Roman"/>
          <w:sz w:val="30"/>
          <w:szCs w:val="30"/>
          <w:highlight w:val="none"/>
          <w:lang w:val="en-US" w:eastAsia="zh-CN"/>
        </w:rPr>
        <w:t>采用资格预审，合格制。项目发标后，拟投标人须先应标，招标工作组通过重汽e采通对应标人进行资质审核，审核通过后方可投标。</w:t>
      </w:r>
    </w:p>
    <w:p w14:paraId="33685636">
      <w:pPr>
        <w:pStyle w:val="10"/>
        <w:spacing w:line="500" w:lineRule="exact"/>
        <w:ind w:firstLine="600" w:firstLineChars="200"/>
        <w:rPr>
          <w:rFonts w:hint="eastAsia" w:ascii="仿宋_GB2312" w:hAnsi="仿宋" w:eastAsia="仿宋_GB2312" w:cs="Times New Roman"/>
          <w:sz w:val="30"/>
          <w:szCs w:val="30"/>
          <w:highlight w:val="none"/>
          <w:lang w:val="en-US" w:eastAsia="zh-CN"/>
        </w:rPr>
      </w:pPr>
      <w:r>
        <w:rPr>
          <w:rFonts w:hint="eastAsia" w:ascii="仿宋_GB2312" w:hAnsi="仿宋" w:eastAsia="仿宋_GB2312" w:cs="Times New Roman"/>
          <w:sz w:val="30"/>
          <w:szCs w:val="30"/>
          <w:highlight w:val="none"/>
          <w:lang w:val="en-US" w:eastAsia="zh-CN"/>
        </w:rPr>
        <w:t>（6）投标人对执行方案拥有合法的知识产权或具有合法的来源，在有关知识产权中不存在任何侵犯第三方的权益。</w:t>
      </w:r>
    </w:p>
    <w:p w14:paraId="6372700D">
      <w:pPr>
        <w:pStyle w:val="10"/>
        <w:spacing w:line="500" w:lineRule="exact"/>
        <w:ind w:firstLine="600" w:firstLineChars="200"/>
        <w:rPr>
          <w:rFonts w:hint="eastAsia" w:ascii="仿宋_GB2312" w:hAnsi="仿宋" w:eastAsia="仿宋_GB2312" w:cs="Times New Roman"/>
          <w:sz w:val="30"/>
          <w:szCs w:val="30"/>
          <w:highlight w:val="none"/>
          <w:lang w:val="en-US" w:eastAsia="zh-CN"/>
        </w:rPr>
      </w:pPr>
      <w:r>
        <w:rPr>
          <w:rFonts w:hint="eastAsia" w:ascii="仿宋_GB2312" w:hAnsi="仿宋" w:eastAsia="仿宋_GB2312" w:cs="Times New Roman"/>
          <w:sz w:val="30"/>
          <w:szCs w:val="30"/>
          <w:highlight w:val="none"/>
          <w:lang w:val="en-US" w:eastAsia="zh-CN"/>
        </w:rPr>
        <w:t>（7）本项目不接受联合体投标、不允许分包转包。</w:t>
      </w:r>
    </w:p>
    <w:p w14:paraId="04B6C3F7">
      <w:pPr>
        <w:pStyle w:val="10"/>
        <w:spacing w:line="500" w:lineRule="exact"/>
        <w:ind w:firstLine="600" w:firstLineChars="200"/>
        <w:rPr>
          <w:rFonts w:hint="eastAsia" w:ascii="仿宋_GB2312" w:hAnsi="仿宋" w:eastAsia="仿宋_GB2312" w:cs="Times New Roman"/>
          <w:sz w:val="30"/>
          <w:szCs w:val="30"/>
          <w:highlight w:val="none"/>
          <w:lang w:val="en-US" w:eastAsia="zh-CN"/>
        </w:rPr>
      </w:pPr>
      <w:r>
        <w:rPr>
          <w:rFonts w:hint="eastAsia" w:ascii="仿宋_GB2312" w:hAnsi="仿宋" w:eastAsia="仿宋_GB2312" w:cs="Times New Roman"/>
          <w:sz w:val="30"/>
          <w:szCs w:val="30"/>
          <w:highlight w:val="none"/>
          <w:lang w:val="en-US" w:eastAsia="zh-CN"/>
        </w:rPr>
        <w:t>（8）没有被我公司列入黑名单。</w:t>
      </w:r>
    </w:p>
    <w:p w14:paraId="72681D7C">
      <w:pPr>
        <w:pStyle w:val="10"/>
        <w:spacing w:line="500" w:lineRule="exact"/>
        <w:ind w:firstLine="600" w:firstLineChars="200"/>
        <w:rPr>
          <w:rFonts w:hint="eastAsia" w:ascii="仿宋_GB2312" w:hAnsi="仿宋" w:eastAsia="仿宋_GB2312" w:cs="Times New Roman"/>
          <w:sz w:val="30"/>
          <w:szCs w:val="30"/>
          <w:highlight w:val="none"/>
          <w:lang w:val="en-US" w:eastAsia="zh-CN"/>
        </w:rPr>
      </w:pPr>
      <w:r>
        <w:rPr>
          <w:rFonts w:hint="eastAsia" w:ascii="仿宋_GB2312" w:hAnsi="仿宋" w:eastAsia="仿宋_GB2312" w:cs="Times New Roman"/>
          <w:sz w:val="30"/>
          <w:szCs w:val="30"/>
          <w:highlight w:val="none"/>
          <w:lang w:val="en-US" w:eastAsia="zh-CN"/>
        </w:rPr>
        <w:t>（9）供方的直接或间接股东、法定代表人、董事、监事、高管非重汽员工及其亲属。</w:t>
      </w:r>
    </w:p>
    <w:p w14:paraId="1EC19465">
      <w:pPr>
        <w:pStyle w:val="10"/>
        <w:spacing w:line="500" w:lineRule="exact"/>
        <w:ind w:firstLine="600" w:firstLineChars="200"/>
        <w:rPr>
          <w:rFonts w:hint="default" w:ascii="仿宋_GB2312" w:hAnsi="仿宋" w:eastAsia="仿宋_GB2312" w:cs="Times New Roman"/>
          <w:sz w:val="30"/>
          <w:szCs w:val="30"/>
          <w:highlight w:val="none"/>
          <w:lang w:val="en-US" w:eastAsia="zh-CN"/>
        </w:rPr>
      </w:pPr>
      <w:r>
        <w:rPr>
          <w:rFonts w:hint="eastAsia" w:ascii="仿宋_GB2312" w:hAnsi="仿宋" w:eastAsia="仿宋_GB2312" w:cs="Times New Roman"/>
          <w:sz w:val="30"/>
          <w:szCs w:val="30"/>
          <w:highlight w:val="none"/>
          <w:lang w:val="en-US" w:eastAsia="zh-CN"/>
        </w:rPr>
        <w:t>（10）法律法规对合格投标人的其他要求、规定。</w:t>
      </w:r>
    </w:p>
    <w:p w14:paraId="0D2614DB">
      <w:pPr>
        <w:spacing w:line="500" w:lineRule="exact"/>
        <w:ind w:firstLine="602" w:firstLineChars="200"/>
        <w:jc w:val="left"/>
        <w:outlineLvl w:val="0"/>
        <w:rPr>
          <w:rFonts w:hint="eastAsia" w:ascii="黑体" w:hAnsi="黑体" w:eastAsia="黑体" w:cs="黑体"/>
          <w:b/>
          <w:bCs/>
          <w:sz w:val="30"/>
          <w:szCs w:val="30"/>
          <w:highlight w:val="none"/>
          <w:lang w:val="en-US" w:eastAsia="zh-CN"/>
        </w:rPr>
      </w:pPr>
      <w:bookmarkStart w:id="6" w:name="_Toc13801"/>
      <w:bookmarkStart w:id="7" w:name="_Toc25722"/>
      <w:r>
        <w:rPr>
          <w:rFonts w:hint="eastAsia" w:ascii="黑体" w:hAnsi="黑体" w:eastAsia="黑体" w:cs="黑体"/>
          <w:b/>
          <w:bCs/>
          <w:sz w:val="30"/>
          <w:szCs w:val="30"/>
          <w:highlight w:val="none"/>
        </w:rPr>
        <w:t>三、投标</w:t>
      </w:r>
      <w:bookmarkEnd w:id="6"/>
      <w:bookmarkEnd w:id="7"/>
      <w:r>
        <w:rPr>
          <w:rFonts w:hint="eastAsia" w:ascii="黑体" w:hAnsi="黑体" w:eastAsia="黑体" w:cs="黑体"/>
          <w:b/>
          <w:bCs/>
          <w:sz w:val="30"/>
          <w:szCs w:val="30"/>
          <w:highlight w:val="none"/>
          <w:lang w:val="en-US" w:eastAsia="zh-CN"/>
        </w:rPr>
        <w:t>人须知</w:t>
      </w:r>
    </w:p>
    <w:p w14:paraId="72AF01E9">
      <w:pPr>
        <w:pStyle w:val="40"/>
        <w:spacing w:line="500" w:lineRule="exact"/>
        <w:ind w:firstLine="602"/>
        <w:outlineLvl w:val="1"/>
        <w:rPr>
          <w:rFonts w:ascii="楷体_GB2312" w:hAnsi="楷体_GB2312" w:eastAsia="楷体_GB2312" w:cs="楷体_GB2312"/>
          <w:sz w:val="30"/>
          <w:szCs w:val="30"/>
          <w:highlight w:val="none"/>
        </w:rPr>
      </w:pPr>
      <w:r>
        <w:rPr>
          <w:rFonts w:hint="eastAsia" w:ascii="楷体_GB2312" w:hAnsi="楷体_GB2312" w:eastAsia="楷体_GB2312" w:cs="楷体_GB2312"/>
          <w:sz w:val="30"/>
          <w:szCs w:val="30"/>
          <w:highlight w:val="none"/>
        </w:rPr>
        <w:t>1.招标文件获取</w:t>
      </w:r>
    </w:p>
    <w:p w14:paraId="5FA50563">
      <w:pPr>
        <w:pageBreakBefore w:val="0"/>
        <w:kinsoku/>
        <w:wordWrap/>
        <w:overflowPunct/>
        <w:topLinePunct w:val="0"/>
        <w:bidi w:val="0"/>
        <w:spacing w:line="520" w:lineRule="exact"/>
        <w:ind w:firstLine="600" w:firstLineChars="200"/>
        <w:jc w:val="distribute"/>
        <w:textAlignment w:val="auto"/>
        <w:rPr>
          <w:rFonts w:hint="eastAsia" w:ascii="仿宋_GB2312" w:hAnsi="黑体" w:eastAsia="仿宋_GB2312"/>
          <w:sz w:val="30"/>
          <w:szCs w:val="30"/>
          <w:highlight w:val="none"/>
        </w:rPr>
      </w:pPr>
      <w:r>
        <w:rPr>
          <w:rFonts w:hint="eastAsia" w:ascii="仿宋_GB2312" w:hAnsi="黑体" w:eastAsia="仿宋_GB2312"/>
          <w:sz w:val="30"/>
          <w:szCs w:val="30"/>
          <w:highlight w:val="none"/>
        </w:rPr>
        <w:t>招标人将本项目招标文件公布至重汽e采通平台，地址如下：</w:t>
      </w:r>
      <w:r>
        <w:rPr>
          <w:rFonts w:hint="eastAsia" w:ascii="仿宋_GB2312" w:hAnsi="黑体" w:eastAsia="仿宋_GB2312"/>
          <w:color w:val="auto"/>
          <w:sz w:val="30"/>
          <w:szCs w:val="30"/>
          <w:highlight w:val="none"/>
          <w:u w:val="none"/>
        </w:rPr>
        <w:t>https://ecaitong.</w:t>
      </w:r>
      <w:r>
        <w:rPr>
          <w:rFonts w:hint="eastAsia" w:ascii="仿宋_GB2312" w:hAnsi="黑体" w:eastAsia="仿宋_GB2312"/>
          <w:sz w:val="30"/>
          <w:szCs w:val="30"/>
          <w:highlight w:val="none"/>
        </w:rPr>
        <w:t>sinotruk.com:8012/#/</w:t>
      </w:r>
    </w:p>
    <w:p w14:paraId="6FBD272B">
      <w:pPr>
        <w:pageBreakBefore w:val="0"/>
        <w:kinsoku/>
        <w:wordWrap/>
        <w:overflowPunct/>
        <w:topLinePunct w:val="0"/>
        <w:bidi w:val="0"/>
        <w:spacing w:line="520" w:lineRule="exact"/>
        <w:jc w:val="left"/>
        <w:textAlignment w:val="auto"/>
        <w:rPr>
          <w:rFonts w:ascii="仿宋_GB2312" w:hAnsi="仿宋" w:eastAsia="仿宋_GB2312"/>
          <w:sz w:val="30"/>
          <w:szCs w:val="30"/>
          <w:highlight w:val="none"/>
        </w:rPr>
      </w:pPr>
      <w:r>
        <w:rPr>
          <w:rFonts w:hint="eastAsia" w:ascii="仿宋_GB2312" w:hAnsi="黑体" w:eastAsia="仿宋_GB2312"/>
          <w:sz w:val="30"/>
          <w:szCs w:val="30"/>
          <w:highlight w:val="none"/>
        </w:rPr>
        <w:t>login</w:t>
      </w:r>
      <w:r>
        <w:rPr>
          <w:rFonts w:hint="eastAsia" w:ascii="仿宋_GB2312" w:hAnsi="黑体" w:eastAsia="仿宋_GB2312"/>
          <w:sz w:val="30"/>
          <w:szCs w:val="30"/>
          <w:highlight w:val="none"/>
          <w:lang w:eastAsia="zh-CN"/>
        </w:rPr>
        <w:t>.</w:t>
      </w:r>
      <w:r>
        <w:rPr>
          <w:rFonts w:hint="eastAsia" w:ascii="仿宋_GB2312" w:hAnsi="仿宋" w:eastAsia="仿宋_GB2312"/>
          <w:sz w:val="30"/>
          <w:szCs w:val="30"/>
          <w:highlight w:val="none"/>
        </w:rPr>
        <w:t>投标人需注册后获取招标文件。具体操作详</w:t>
      </w:r>
      <w:r>
        <w:rPr>
          <w:rFonts w:hint="eastAsia" w:ascii="仿宋_GB2312" w:hAnsi="仿宋" w:eastAsia="仿宋_GB2312"/>
          <w:sz w:val="30"/>
          <w:szCs w:val="30"/>
          <w:highlight w:val="none"/>
          <w:lang w:val="en-US" w:eastAsia="zh-CN"/>
        </w:rPr>
        <w:t>见招标文件末尾后</w:t>
      </w:r>
      <w:r>
        <w:rPr>
          <w:rFonts w:hint="eastAsia" w:ascii="仿宋_GB2312" w:hAnsi="仿宋" w:eastAsia="仿宋_GB2312"/>
          <w:sz w:val="30"/>
          <w:szCs w:val="30"/>
          <w:highlight w:val="none"/>
        </w:rPr>
        <w:t>附件。</w:t>
      </w:r>
    </w:p>
    <w:p w14:paraId="67107E3A">
      <w:pPr>
        <w:pStyle w:val="40"/>
        <w:spacing w:line="500" w:lineRule="exact"/>
        <w:ind w:firstLine="602"/>
        <w:outlineLvl w:val="1"/>
        <w:rPr>
          <w:rFonts w:ascii="楷体_GB2312" w:hAnsi="楷体_GB2312" w:eastAsia="楷体_GB2312" w:cs="楷体_GB2312"/>
          <w:sz w:val="30"/>
          <w:szCs w:val="30"/>
          <w:highlight w:val="none"/>
        </w:rPr>
      </w:pPr>
      <w:r>
        <w:rPr>
          <w:rFonts w:hint="eastAsia" w:ascii="楷体_GB2312" w:hAnsi="楷体_GB2312" w:eastAsia="楷体_GB2312" w:cs="楷体_GB2312"/>
          <w:sz w:val="30"/>
          <w:szCs w:val="30"/>
          <w:highlight w:val="none"/>
        </w:rPr>
        <w:t>2.</w:t>
      </w:r>
      <w:r>
        <w:rPr>
          <w:rFonts w:hint="eastAsia" w:ascii="楷体_GB2312" w:hAnsi="楷体_GB2312" w:eastAsia="楷体_GB2312" w:cs="楷体_GB2312"/>
          <w:sz w:val="30"/>
          <w:szCs w:val="30"/>
          <w:highlight w:val="none"/>
          <w:lang w:val="en-US" w:eastAsia="zh-CN"/>
        </w:rPr>
        <w:t>应标</w:t>
      </w:r>
      <w:r>
        <w:rPr>
          <w:rFonts w:hint="eastAsia" w:ascii="楷体_GB2312" w:hAnsi="楷体_GB2312" w:eastAsia="楷体_GB2312" w:cs="楷体_GB2312"/>
          <w:sz w:val="30"/>
          <w:szCs w:val="30"/>
          <w:highlight w:val="none"/>
        </w:rPr>
        <w:t>方式</w:t>
      </w:r>
    </w:p>
    <w:p w14:paraId="56AA5C6F">
      <w:pPr>
        <w:pStyle w:val="42"/>
        <w:spacing w:line="500" w:lineRule="exact"/>
        <w:ind w:firstLine="6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投标人</w:t>
      </w:r>
      <w:r>
        <w:rPr>
          <w:rFonts w:hint="eastAsia" w:ascii="仿宋_GB2312" w:hAnsi="仿宋" w:eastAsia="仿宋_GB2312" w:cs="Times New Roman"/>
          <w:sz w:val="30"/>
          <w:szCs w:val="30"/>
          <w:highlight w:val="none"/>
          <w:lang w:val="en-US" w:eastAsia="zh-CN"/>
        </w:rPr>
        <w:t>登录</w:t>
      </w:r>
      <w:r>
        <w:rPr>
          <w:rFonts w:hint="eastAsia" w:ascii="仿宋_GB2312" w:hAnsi="仿宋" w:eastAsia="仿宋_GB2312" w:cs="Times New Roman"/>
          <w:sz w:val="30"/>
          <w:szCs w:val="30"/>
          <w:highlight w:val="none"/>
        </w:rPr>
        <w:t>“中国重汽e采通”</w:t>
      </w:r>
      <w:r>
        <w:rPr>
          <w:rFonts w:hint="eastAsia" w:ascii="仿宋_GB2312" w:hAnsi="仿宋" w:eastAsia="仿宋_GB2312" w:cs="Times New Roman"/>
          <w:sz w:val="30"/>
          <w:szCs w:val="30"/>
          <w:highlight w:val="none"/>
          <w:lang w:val="en-US" w:eastAsia="zh-CN"/>
        </w:rPr>
        <w:t>平台进入</w:t>
      </w:r>
      <w:r>
        <w:rPr>
          <w:rFonts w:hint="eastAsia" w:ascii="仿宋_GB2312" w:hAnsi="仿宋" w:eastAsia="仿宋_GB2312" w:cs="Times New Roman"/>
          <w:sz w:val="30"/>
          <w:szCs w:val="30"/>
          <w:highlight w:val="none"/>
        </w:rPr>
        <w:t>“供应商应标”，选择对应的项目，点击“应标”后按照投标文件组成资格证明文件要求准备资料并上传，资质审查通过即为报名成功。</w:t>
      </w:r>
    </w:p>
    <w:p w14:paraId="6B31F87F">
      <w:pPr>
        <w:pStyle w:val="10"/>
        <w:spacing w:line="500" w:lineRule="exact"/>
        <w:ind w:firstLine="600" w:firstLineChars="200"/>
        <w:rPr>
          <w:rFonts w:ascii="仿宋_GB2312" w:hAnsi="仿宋" w:eastAsia="仿宋_GB2312" w:cs="Times New Roman"/>
          <w:color w:val="000000"/>
          <w:sz w:val="30"/>
          <w:szCs w:val="30"/>
          <w:highlight w:val="none"/>
        </w:rPr>
      </w:pPr>
      <w:r>
        <w:rPr>
          <w:rFonts w:hint="eastAsia" w:ascii="仿宋_GB2312" w:hAnsi="仿宋" w:eastAsia="仿宋_GB2312" w:cs="Times New Roman"/>
          <w:color w:val="000000"/>
          <w:sz w:val="30"/>
          <w:szCs w:val="30"/>
          <w:highlight w:val="none"/>
        </w:rPr>
        <w:t>（1）发标时间：</w:t>
      </w:r>
      <w:r>
        <w:rPr>
          <w:rFonts w:hint="eastAsia" w:ascii="仿宋_GB2312" w:hAnsi="仿宋" w:eastAsia="仿宋_GB2312" w:cs="Times New Roman"/>
          <w:color w:val="000000"/>
          <w:sz w:val="30"/>
          <w:szCs w:val="30"/>
          <w:highlight w:val="yellow"/>
          <w:lang w:val="en-US" w:eastAsia="zh-CN"/>
        </w:rPr>
        <w:t xml:space="preserve"> 2026年8月28日  </w:t>
      </w:r>
      <w:r>
        <w:rPr>
          <w:rFonts w:hint="eastAsia" w:ascii="仿宋_GB2312" w:hAnsi="仿宋" w:eastAsia="仿宋_GB2312" w:cs="Times New Roman"/>
          <w:color w:val="000000"/>
          <w:sz w:val="30"/>
          <w:szCs w:val="30"/>
          <w:highlight w:val="none"/>
        </w:rPr>
        <w:t>；</w:t>
      </w:r>
    </w:p>
    <w:p w14:paraId="70C5C249">
      <w:pPr>
        <w:pStyle w:val="10"/>
        <w:spacing w:line="500" w:lineRule="exact"/>
        <w:ind w:firstLine="600" w:firstLineChars="200"/>
        <w:rPr>
          <w:rFonts w:hint="eastAsia" w:ascii="仿宋_GB2312" w:hAnsi="仿宋" w:eastAsia="仿宋_GB2312" w:cs="Times New Roman"/>
          <w:color w:val="000000"/>
          <w:sz w:val="30"/>
          <w:szCs w:val="30"/>
          <w:highlight w:val="none"/>
        </w:rPr>
      </w:pPr>
      <w:r>
        <w:rPr>
          <w:rFonts w:hint="eastAsia" w:ascii="仿宋_GB2312" w:hAnsi="仿宋" w:eastAsia="仿宋_GB2312" w:cs="Times New Roman"/>
          <w:color w:val="000000"/>
          <w:sz w:val="30"/>
          <w:szCs w:val="30"/>
          <w:highlight w:val="none"/>
        </w:rPr>
        <w:t>（2）应标截止时间：</w:t>
      </w:r>
      <w:r>
        <w:rPr>
          <w:rFonts w:hint="eastAsia" w:ascii="仿宋_GB2312" w:hAnsi="仿宋" w:eastAsia="仿宋_GB2312" w:cs="Times New Roman"/>
          <w:color w:val="000000"/>
          <w:sz w:val="30"/>
          <w:szCs w:val="30"/>
          <w:highlight w:val="yellow"/>
          <w:lang w:val="en-US" w:eastAsia="zh-CN"/>
        </w:rPr>
        <w:t xml:space="preserve"> 2026年9月2日 17点00分 </w:t>
      </w:r>
      <w:r>
        <w:rPr>
          <w:rFonts w:hint="eastAsia" w:ascii="仿宋_GB2312" w:hAnsi="仿宋" w:eastAsia="仿宋_GB2312" w:cs="Times New Roman"/>
          <w:color w:val="000000"/>
          <w:sz w:val="30"/>
          <w:szCs w:val="30"/>
          <w:highlight w:val="none"/>
        </w:rPr>
        <w:t>；</w:t>
      </w:r>
    </w:p>
    <w:p w14:paraId="5F19C111">
      <w:pPr>
        <w:pStyle w:val="10"/>
        <w:spacing w:line="500" w:lineRule="exact"/>
        <w:ind w:firstLine="600" w:firstLineChars="200"/>
        <w:rPr>
          <w:rFonts w:hint="default" w:ascii="仿宋_GB2312" w:hAnsi="仿宋" w:eastAsia="仿宋_GB2312" w:cs="Times New Roman"/>
          <w:color w:val="000000"/>
          <w:sz w:val="30"/>
          <w:szCs w:val="30"/>
          <w:highlight w:val="none"/>
          <w:lang w:val="en-US" w:eastAsia="zh-CN"/>
        </w:rPr>
      </w:pPr>
      <w:r>
        <w:rPr>
          <w:rFonts w:hint="eastAsia" w:ascii="仿宋_GB2312" w:hAnsi="仿宋" w:eastAsia="仿宋_GB2312" w:cs="Times New Roman"/>
          <w:color w:val="000000"/>
          <w:sz w:val="30"/>
          <w:szCs w:val="30"/>
          <w:highlight w:val="none"/>
          <w:lang w:eastAsia="zh-CN"/>
        </w:rPr>
        <w:t>（</w:t>
      </w:r>
      <w:r>
        <w:rPr>
          <w:rFonts w:hint="eastAsia" w:ascii="仿宋_GB2312" w:hAnsi="仿宋" w:eastAsia="仿宋_GB2312" w:cs="Times New Roman"/>
          <w:color w:val="000000"/>
          <w:sz w:val="30"/>
          <w:szCs w:val="30"/>
          <w:highlight w:val="none"/>
          <w:lang w:val="en-US" w:eastAsia="zh-CN"/>
        </w:rPr>
        <w:t>3</w:t>
      </w:r>
      <w:r>
        <w:rPr>
          <w:rFonts w:hint="eastAsia" w:ascii="仿宋_GB2312" w:hAnsi="仿宋" w:eastAsia="仿宋_GB2312" w:cs="Times New Roman"/>
          <w:color w:val="000000"/>
          <w:sz w:val="30"/>
          <w:szCs w:val="30"/>
          <w:highlight w:val="none"/>
          <w:lang w:eastAsia="zh-CN"/>
        </w:rPr>
        <w:t>）</w:t>
      </w:r>
      <w:r>
        <w:rPr>
          <w:rFonts w:hint="eastAsia" w:ascii="仿宋_GB2312" w:hAnsi="仿宋" w:eastAsia="仿宋_GB2312" w:cs="Times New Roman"/>
          <w:color w:val="000000"/>
          <w:sz w:val="30"/>
          <w:szCs w:val="30"/>
          <w:highlight w:val="none"/>
          <w:lang w:val="en-US" w:eastAsia="zh-CN"/>
        </w:rPr>
        <w:t>投标截止时间：</w:t>
      </w:r>
      <w:r>
        <w:rPr>
          <w:rFonts w:hint="eastAsia" w:ascii="仿宋_GB2312" w:hAnsi="仿宋" w:eastAsia="仿宋_GB2312"/>
          <w:sz w:val="30"/>
          <w:szCs w:val="30"/>
          <w:highlight w:val="yellow"/>
        </w:rPr>
        <w:t>202</w:t>
      </w:r>
      <w:r>
        <w:rPr>
          <w:rFonts w:hint="eastAsia" w:ascii="仿宋_GB2312" w:hAnsi="仿宋" w:eastAsia="仿宋_GB2312"/>
          <w:sz w:val="30"/>
          <w:szCs w:val="30"/>
          <w:highlight w:val="yellow"/>
          <w:lang w:val="en-US" w:eastAsia="zh-CN"/>
        </w:rPr>
        <w:t>6</w:t>
      </w:r>
      <w:r>
        <w:rPr>
          <w:rFonts w:hint="eastAsia" w:ascii="仿宋_GB2312" w:hAnsi="仿宋" w:eastAsia="仿宋_GB2312"/>
          <w:sz w:val="30"/>
          <w:szCs w:val="30"/>
          <w:highlight w:val="yellow"/>
        </w:rPr>
        <w:t>年</w:t>
      </w:r>
      <w:r>
        <w:rPr>
          <w:rFonts w:hint="eastAsia" w:ascii="仿宋_GB2312" w:hAnsi="仿宋" w:eastAsia="仿宋_GB2312"/>
          <w:sz w:val="30"/>
          <w:szCs w:val="30"/>
          <w:highlight w:val="yellow"/>
          <w:lang w:val="en-US" w:eastAsia="zh-CN"/>
        </w:rPr>
        <w:t>9</w:t>
      </w:r>
      <w:r>
        <w:rPr>
          <w:rFonts w:hint="eastAsia" w:ascii="仿宋_GB2312" w:hAnsi="仿宋" w:eastAsia="仿宋_GB2312"/>
          <w:sz w:val="30"/>
          <w:szCs w:val="30"/>
          <w:highlight w:val="yellow"/>
        </w:rPr>
        <w:t>月</w:t>
      </w:r>
      <w:r>
        <w:rPr>
          <w:rFonts w:hint="eastAsia" w:ascii="仿宋_GB2312" w:hAnsi="仿宋" w:eastAsia="仿宋_GB2312"/>
          <w:sz w:val="30"/>
          <w:szCs w:val="30"/>
          <w:highlight w:val="yellow"/>
          <w:lang w:val="en-US" w:eastAsia="zh-CN"/>
        </w:rPr>
        <w:t>8</w:t>
      </w:r>
      <w:r>
        <w:rPr>
          <w:rFonts w:hint="eastAsia" w:ascii="仿宋_GB2312" w:hAnsi="仿宋" w:eastAsia="仿宋_GB2312"/>
          <w:sz w:val="30"/>
          <w:szCs w:val="30"/>
          <w:highlight w:val="yellow"/>
        </w:rPr>
        <w:t>日</w:t>
      </w:r>
      <w:r>
        <w:rPr>
          <w:rFonts w:hint="eastAsia" w:ascii="仿宋_GB2312" w:hAnsi="仿宋" w:eastAsia="仿宋_GB2312"/>
          <w:sz w:val="30"/>
          <w:szCs w:val="30"/>
          <w:highlight w:val="yellow"/>
          <w:lang w:val="en-US" w:eastAsia="zh-CN"/>
        </w:rPr>
        <w:t>9点00分</w:t>
      </w:r>
    </w:p>
    <w:p w14:paraId="5ACBFE73">
      <w:pPr>
        <w:pStyle w:val="10"/>
        <w:spacing w:line="500" w:lineRule="exact"/>
        <w:ind w:firstLine="600" w:firstLineChars="200"/>
        <w:rPr>
          <w:rFonts w:hint="eastAsia" w:ascii="仿宋_GB2312" w:hAnsi="仿宋" w:eastAsia="仿宋_GB2312" w:cs="Times New Roman"/>
          <w:color w:val="000000"/>
          <w:sz w:val="30"/>
          <w:szCs w:val="30"/>
          <w:highlight w:val="none"/>
          <w:lang w:eastAsia="zh-CN"/>
        </w:rPr>
      </w:pPr>
      <w:r>
        <w:rPr>
          <w:rFonts w:hint="eastAsia" w:ascii="仿宋_GB2312" w:hAnsi="仿宋" w:eastAsia="仿宋_GB2312" w:cs="Times New Roman"/>
          <w:color w:val="000000"/>
          <w:sz w:val="30"/>
          <w:szCs w:val="30"/>
          <w:highlight w:val="none"/>
        </w:rPr>
        <w:t>（3）答疑时间：如果投标人对招标文件商务部分、技术部分有疑问，请各投标人在答疑环节提出。提交疑问时间：</w:t>
      </w:r>
      <w:r>
        <w:rPr>
          <w:rFonts w:hint="eastAsia" w:ascii="仿宋_GB2312" w:hAnsi="仿宋" w:eastAsia="仿宋_GB2312" w:cs="Times New Roman"/>
          <w:color w:val="000000"/>
          <w:sz w:val="30"/>
          <w:szCs w:val="30"/>
          <w:highlight w:val="yellow"/>
          <w:lang w:val="en-US" w:eastAsia="zh-CN"/>
        </w:rPr>
        <w:t xml:space="preserve"> 2026年9月4日        </w:t>
      </w:r>
      <w:r>
        <w:rPr>
          <w:rFonts w:hint="eastAsia" w:ascii="仿宋_GB2312" w:hAnsi="仿宋" w:eastAsia="仿宋_GB2312" w:cs="Times New Roman"/>
          <w:color w:val="000000"/>
          <w:sz w:val="30"/>
          <w:szCs w:val="30"/>
          <w:highlight w:val="none"/>
        </w:rPr>
        <w:t>17:00前</w:t>
      </w:r>
      <w:r>
        <w:rPr>
          <w:rFonts w:hint="eastAsia" w:ascii="仿宋_GB2312" w:hAnsi="仿宋" w:eastAsia="仿宋_GB2312" w:cs="Times New Roman"/>
          <w:color w:val="000000"/>
          <w:sz w:val="30"/>
          <w:szCs w:val="30"/>
          <w:highlight w:val="none"/>
          <w:lang w:eastAsia="zh-CN"/>
        </w:rPr>
        <w:t>。</w:t>
      </w:r>
    </w:p>
    <w:p w14:paraId="65258680">
      <w:pPr>
        <w:pStyle w:val="10"/>
        <w:spacing w:line="500" w:lineRule="exact"/>
        <w:ind w:firstLine="600" w:firstLineChars="200"/>
        <w:rPr>
          <w:rFonts w:hint="eastAsia" w:ascii="仿宋_GB2312" w:hAnsi="仿宋" w:eastAsia="仿宋_GB2312" w:cs="Times New Roman"/>
          <w:color w:val="000000"/>
          <w:sz w:val="30"/>
          <w:szCs w:val="30"/>
          <w:highlight w:val="none"/>
          <w:lang w:val="en-US" w:eastAsia="zh-CN"/>
        </w:rPr>
      </w:pPr>
      <w:r>
        <w:rPr>
          <w:rFonts w:hint="eastAsia" w:ascii="仿宋_GB2312" w:hAnsi="仿宋" w:eastAsia="仿宋_GB2312" w:cs="Times New Roman"/>
          <w:color w:val="000000"/>
          <w:sz w:val="30"/>
          <w:szCs w:val="30"/>
          <w:highlight w:val="none"/>
          <w:lang w:val="en-US" w:eastAsia="zh-CN"/>
        </w:rPr>
        <w:t>联系人：王老师，联系电话：13698615428</w:t>
      </w:r>
    </w:p>
    <w:p w14:paraId="4BBC5A6A">
      <w:pPr>
        <w:pStyle w:val="10"/>
        <w:spacing w:line="500" w:lineRule="exact"/>
        <w:ind w:firstLine="600" w:firstLineChars="200"/>
        <w:rPr>
          <w:rFonts w:hint="default" w:ascii="仿宋_GB2312" w:hAnsi="仿宋" w:eastAsia="仿宋_GB2312" w:cs="Times New Roman"/>
          <w:color w:val="000000"/>
          <w:sz w:val="30"/>
          <w:szCs w:val="30"/>
          <w:highlight w:val="none"/>
          <w:lang w:val="en-US" w:eastAsia="zh-CN"/>
        </w:rPr>
      </w:pPr>
      <w:r>
        <w:rPr>
          <w:rFonts w:hint="eastAsia" w:ascii="仿宋_GB2312" w:hAnsi="仿宋" w:eastAsia="仿宋_GB2312" w:cs="Times New Roman"/>
          <w:color w:val="000000"/>
          <w:sz w:val="30"/>
          <w:szCs w:val="30"/>
          <w:highlight w:val="none"/>
          <w:lang w:val="en-US" w:eastAsia="zh-CN"/>
        </w:rPr>
        <w:t>招标联系人：李帅威；17860605079；邮箱：17860605079@163.com</w:t>
      </w:r>
    </w:p>
    <w:p w14:paraId="13525A79">
      <w:pPr>
        <w:pStyle w:val="40"/>
        <w:spacing w:line="500" w:lineRule="exact"/>
        <w:ind w:firstLine="602"/>
        <w:outlineLvl w:val="1"/>
        <w:rPr>
          <w:rFonts w:ascii="楷体_GB2312" w:hAnsi="楷体_GB2312" w:eastAsia="楷体_GB2312" w:cs="楷体_GB2312"/>
          <w:sz w:val="30"/>
          <w:szCs w:val="30"/>
          <w:highlight w:val="none"/>
        </w:rPr>
      </w:pPr>
      <w:r>
        <w:rPr>
          <w:rFonts w:hint="eastAsia" w:ascii="楷体_GB2312" w:hAnsi="楷体_GB2312" w:eastAsia="楷体_GB2312" w:cs="楷体_GB2312"/>
          <w:sz w:val="30"/>
          <w:szCs w:val="30"/>
          <w:highlight w:val="none"/>
        </w:rPr>
        <w:t>3.投标保证金</w:t>
      </w:r>
    </w:p>
    <w:p w14:paraId="666D1097">
      <w:pPr>
        <w:pStyle w:val="42"/>
        <w:spacing w:line="500" w:lineRule="exact"/>
        <w:ind w:firstLine="600"/>
        <w:rPr>
          <w:rFonts w:hint="eastAsia" w:ascii="仿宋_GB2312" w:hAnsi="仿宋" w:eastAsia="仿宋_GB2312" w:cs="Times New Roman"/>
          <w:sz w:val="30"/>
          <w:szCs w:val="30"/>
          <w:highlight w:val="none"/>
          <w:lang w:eastAsia="zh-CN"/>
        </w:rPr>
      </w:pPr>
      <w:r>
        <w:rPr>
          <w:rFonts w:hint="eastAsia" w:ascii="仿宋_GB2312" w:hAnsi="仿宋" w:eastAsia="仿宋_GB2312" w:cs="Times New Roman"/>
          <w:sz w:val="30"/>
          <w:szCs w:val="30"/>
          <w:highlight w:val="none"/>
        </w:rPr>
        <w:t>投标人</w:t>
      </w:r>
      <w:r>
        <w:rPr>
          <w:rFonts w:hint="eastAsia" w:ascii="仿宋_GB2312" w:hAnsi="仿宋" w:eastAsia="仿宋_GB2312" w:cs="Times New Roman"/>
          <w:sz w:val="30"/>
          <w:szCs w:val="30"/>
          <w:highlight w:val="none"/>
          <w:lang w:val="en-US" w:eastAsia="zh-CN"/>
        </w:rPr>
        <w:t>应在</w:t>
      </w:r>
      <w:r>
        <w:rPr>
          <w:rFonts w:hint="eastAsia" w:ascii="仿宋_GB2312" w:hAnsi="仿宋" w:eastAsia="仿宋_GB2312" w:cs="Times New Roman"/>
          <w:sz w:val="30"/>
          <w:szCs w:val="30"/>
          <w:highlight w:val="yellow"/>
          <w:lang w:val="en-US" w:eastAsia="zh-CN"/>
        </w:rPr>
        <w:t xml:space="preserve"> </w:t>
      </w:r>
      <w:r>
        <w:rPr>
          <w:rFonts w:hint="eastAsia" w:ascii="仿宋_GB2312" w:hAnsi="仿宋" w:eastAsia="仿宋_GB2312" w:cs="Times New Roman"/>
          <w:color w:val="000000"/>
          <w:sz w:val="30"/>
          <w:szCs w:val="30"/>
          <w:highlight w:val="yellow"/>
          <w:lang w:val="en-US" w:eastAsia="zh-CN"/>
        </w:rPr>
        <w:t>2026年9月7日17点</w:t>
      </w:r>
      <w:r>
        <w:rPr>
          <w:rFonts w:hint="eastAsia" w:ascii="仿宋_GB2312" w:hAnsi="仿宋" w:eastAsia="仿宋_GB2312" w:cs="Times New Roman"/>
          <w:sz w:val="30"/>
          <w:szCs w:val="30"/>
          <w:highlight w:val="yellow"/>
          <w:lang w:val="en-US" w:eastAsia="zh-CN"/>
        </w:rPr>
        <w:t xml:space="preserve"> </w:t>
      </w:r>
      <w:r>
        <w:rPr>
          <w:rFonts w:hint="eastAsia" w:ascii="仿宋_GB2312" w:hAnsi="仿宋" w:eastAsia="仿宋_GB2312" w:cs="Times New Roman"/>
          <w:sz w:val="30"/>
          <w:szCs w:val="30"/>
          <w:highlight w:val="none"/>
          <w:lang w:val="en-US" w:eastAsia="zh-CN"/>
        </w:rPr>
        <w:t>前从基本账户</w:t>
      </w:r>
      <w:r>
        <w:rPr>
          <w:rFonts w:hint="eastAsia" w:ascii="仿宋_GB2312" w:hAnsi="仿宋" w:eastAsia="仿宋_GB2312" w:cs="Times New Roman"/>
          <w:sz w:val="30"/>
          <w:szCs w:val="30"/>
          <w:highlight w:val="none"/>
        </w:rPr>
        <w:t>向招标人缴纳</w:t>
      </w:r>
      <w:r>
        <w:rPr>
          <w:rFonts w:hint="eastAsia" w:ascii="仿宋_GB2312" w:hAnsi="仿宋" w:eastAsia="仿宋_GB2312" w:cs="Times New Roman"/>
          <w:sz w:val="30"/>
          <w:szCs w:val="30"/>
          <w:highlight w:val="none"/>
          <w:lang w:val="en-US" w:eastAsia="zh-CN"/>
        </w:rPr>
        <w:t>20000元投标</w:t>
      </w:r>
      <w:r>
        <w:rPr>
          <w:rFonts w:hint="eastAsia" w:ascii="仿宋_GB2312" w:hAnsi="仿宋" w:eastAsia="仿宋_GB2312" w:cs="Times New Roman"/>
          <w:sz w:val="30"/>
          <w:szCs w:val="30"/>
          <w:highlight w:val="none"/>
        </w:rPr>
        <w:t>金，不允许以个人名义交款，汇款时必须注明</w:t>
      </w:r>
      <w:r>
        <w:rPr>
          <w:rFonts w:hint="eastAsia" w:ascii="仿宋_GB2312" w:hAnsi="仿宋" w:eastAsia="仿宋_GB2312" w:cs="Times New Roman"/>
          <w:b/>
          <w:bCs/>
          <w:sz w:val="30"/>
          <w:szCs w:val="30"/>
          <w:highlight w:val="none"/>
        </w:rPr>
        <w:t>“</w:t>
      </w:r>
      <w:r>
        <w:rPr>
          <w:rFonts w:hint="eastAsia" w:ascii="仿宋_GB2312" w:hAnsi="仿宋" w:eastAsia="仿宋_GB2312" w:cs="Times New Roman"/>
          <w:b/>
          <w:bCs/>
          <w:sz w:val="30"/>
          <w:szCs w:val="30"/>
          <w:highlight w:val="none"/>
          <w:lang w:val="en-US" w:eastAsia="zh-CN"/>
        </w:rPr>
        <w:t>XX公司+“中国重汽杯”2026年职工运动会投标保证金</w:t>
      </w:r>
      <w:r>
        <w:rPr>
          <w:rFonts w:hint="eastAsia" w:ascii="仿宋_GB2312" w:hAnsi="仿宋" w:eastAsia="仿宋_GB2312" w:cs="Times New Roman"/>
          <w:b/>
          <w:bCs/>
          <w:sz w:val="30"/>
          <w:szCs w:val="30"/>
          <w:highlight w:val="none"/>
        </w:rPr>
        <w:t>”</w:t>
      </w:r>
      <w:r>
        <w:rPr>
          <w:rFonts w:hint="eastAsia" w:ascii="仿宋_GB2312" w:hAnsi="仿宋" w:eastAsia="仿宋_GB2312" w:cs="Times New Roman"/>
          <w:sz w:val="30"/>
          <w:szCs w:val="30"/>
          <w:highlight w:val="none"/>
        </w:rPr>
        <w:t>，可以收款开户行及账户见下：</w:t>
      </w:r>
    </w:p>
    <w:p w14:paraId="79751534">
      <w:pPr>
        <w:pStyle w:val="42"/>
        <w:spacing w:line="500" w:lineRule="exact"/>
        <w:ind w:firstLine="6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lang w:val="en-US" w:eastAsia="zh-CN"/>
        </w:rPr>
        <w:t>单位</w:t>
      </w:r>
      <w:r>
        <w:rPr>
          <w:rFonts w:hint="eastAsia" w:ascii="仿宋_GB2312" w:hAnsi="仿宋" w:eastAsia="仿宋_GB2312" w:cs="Times New Roman"/>
          <w:sz w:val="30"/>
          <w:szCs w:val="30"/>
          <w:highlight w:val="none"/>
        </w:rPr>
        <w:t>名称：中国重汽集团济南动力有限公司</w:t>
      </w:r>
    </w:p>
    <w:p w14:paraId="771B5E38">
      <w:pPr>
        <w:pStyle w:val="42"/>
        <w:spacing w:line="500" w:lineRule="exact"/>
        <w:ind w:firstLine="6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lang w:val="en-US" w:eastAsia="zh-CN"/>
        </w:rPr>
        <w:t>收款</w:t>
      </w:r>
      <w:r>
        <w:rPr>
          <w:rFonts w:hint="eastAsia" w:ascii="仿宋_GB2312" w:hAnsi="仿宋" w:eastAsia="仿宋_GB2312" w:cs="Times New Roman"/>
          <w:sz w:val="30"/>
          <w:szCs w:val="30"/>
          <w:highlight w:val="none"/>
        </w:rPr>
        <w:t>账号：37001616508050150300</w:t>
      </w:r>
    </w:p>
    <w:p w14:paraId="1FD15790">
      <w:pPr>
        <w:pStyle w:val="42"/>
        <w:spacing w:line="500" w:lineRule="exact"/>
        <w:ind w:firstLine="6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开户行</w:t>
      </w:r>
      <w:r>
        <w:rPr>
          <w:rFonts w:hint="eastAsia" w:ascii="仿宋_GB2312" w:hAnsi="仿宋" w:eastAsia="仿宋_GB2312" w:cs="Times New Roman"/>
          <w:sz w:val="30"/>
          <w:szCs w:val="30"/>
          <w:highlight w:val="none"/>
          <w:lang w:val="en-US" w:eastAsia="zh-CN"/>
        </w:rPr>
        <w:t>名称</w:t>
      </w:r>
      <w:r>
        <w:rPr>
          <w:rFonts w:hint="eastAsia" w:ascii="仿宋_GB2312" w:hAnsi="仿宋" w:eastAsia="仿宋_GB2312" w:cs="Times New Roman"/>
          <w:sz w:val="30"/>
          <w:szCs w:val="30"/>
          <w:highlight w:val="none"/>
        </w:rPr>
        <w:t>：中国建设银行</w:t>
      </w:r>
      <w:r>
        <w:rPr>
          <w:rFonts w:hint="eastAsia" w:ascii="仿宋_GB2312" w:hAnsi="仿宋" w:eastAsia="仿宋_GB2312" w:cs="Times New Roman"/>
          <w:sz w:val="30"/>
          <w:szCs w:val="30"/>
          <w:highlight w:val="none"/>
          <w:lang w:val="en-US" w:eastAsia="zh-CN"/>
        </w:rPr>
        <w:t>股份有限公司</w:t>
      </w:r>
      <w:r>
        <w:rPr>
          <w:rFonts w:hint="eastAsia" w:ascii="仿宋_GB2312" w:hAnsi="仿宋" w:eastAsia="仿宋_GB2312" w:cs="Times New Roman"/>
          <w:sz w:val="30"/>
          <w:szCs w:val="30"/>
          <w:highlight w:val="none"/>
        </w:rPr>
        <w:t>济南天桥支行</w:t>
      </w:r>
    </w:p>
    <w:p w14:paraId="10CC8442">
      <w:pPr>
        <w:pStyle w:val="42"/>
        <w:spacing w:line="500" w:lineRule="exact"/>
        <w:ind w:firstLine="6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开户行行号：105451000362</w:t>
      </w:r>
    </w:p>
    <w:p w14:paraId="6F25FE64">
      <w:pPr>
        <w:pStyle w:val="42"/>
        <w:spacing w:line="500" w:lineRule="exact"/>
        <w:ind w:firstLine="600"/>
        <w:rPr>
          <w:rFonts w:hint="default" w:ascii="仿宋_GB2312" w:hAnsi="仿宋" w:eastAsia="仿宋_GB2312" w:cs="Times New Roman"/>
          <w:sz w:val="30"/>
          <w:szCs w:val="30"/>
          <w:highlight w:val="none"/>
          <w:lang w:val="en-US" w:eastAsia="zh-CN"/>
        </w:rPr>
      </w:pPr>
      <w:r>
        <w:rPr>
          <w:rFonts w:hint="eastAsia" w:ascii="仿宋_GB2312" w:hAnsi="仿宋" w:eastAsia="仿宋_GB2312" w:cs="Times New Roman"/>
          <w:sz w:val="30"/>
          <w:szCs w:val="30"/>
          <w:highlight w:val="none"/>
          <w:lang w:val="en-US" w:eastAsia="zh-CN"/>
        </w:rPr>
        <w:t>投标人中标后，缴纳的投标保证金自动转为履约保证金，如中标人拒绝签署合同，保证金不予退还。</w:t>
      </w:r>
      <w:r>
        <w:rPr>
          <w:rFonts w:hint="eastAsia" w:ascii="仿宋_GB2312" w:hAnsi="仿宋" w:eastAsia="仿宋_GB2312" w:cs="Times New Roman"/>
          <w:sz w:val="30"/>
          <w:szCs w:val="30"/>
          <w:highlight w:val="none"/>
        </w:rPr>
        <w:t>未中标单位的投标保证金在中标结果公布后的下一月返还到交纳账户</w:t>
      </w:r>
      <w:r>
        <w:rPr>
          <w:rFonts w:hint="eastAsia" w:ascii="仿宋_GB2312" w:hAnsi="仿宋" w:eastAsia="仿宋_GB2312" w:cs="Times New Roman"/>
          <w:sz w:val="30"/>
          <w:szCs w:val="30"/>
          <w:highlight w:val="none"/>
          <w:lang w:eastAsia="zh-CN"/>
        </w:rPr>
        <w:t>；在</w:t>
      </w:r>
      <w:r>
        <w:rPr>
          <w:rFonts w:hint="eastAsia" w:ascii="仿宋_GB2312" w:hAnsi="仿宋" w:eastAsia="仿宋_GB2312" w:cs="Times New Roman"/>
          <w:sz w:val="30"/>
          <w:szCs w:val="30"/>
          <w:highlight w:val="none"/>
        </w:rPr>
        <w:t>开标现场被判定为否决单位的，其投标保证金在开标之后的下一月返还到交纳账户。</w:t>
      </w:r>
      <w:r>
        <w:rPr>
          <w:rFonts w:hint="eastAsia" w:ascii="仿宋_GB2312" w:hAnsi="仿宋" w:eastAsia="仿宋_GB2312" w:cs="Times New Roman"/>
          <w:sz w:val="30"/>
          <w:szCs w:val="30"/>
          <w:highlight w:val="none"/>
          <w:lang w:val="en-US" w:eastAsia="zh-CN"/>
        </w:rPr>
        <w:t>保证金均为无息返还。</w:t>
      </w:r>
    </w:p>
    <w:p w14:paraId="39DD61E8">
      <w:pPr>
        <w:pStyle w:val="42"/>
        <w:spacing w:line="500" w:lineRule="exact"/>
        <w:ind w:firstLine="6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发生以下情况时，招标人有权没收投标保证金：</w:t>
      </w:r>
    </w:p>
    <w:p w14:paraId="3C306360">
      <w:pPr>
        <w:pStyle w:val="42"/>
        <w:spacing w:line="500" w:lineRule="exact"/>
        <w:ind w:firstLine="6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a）截至开标前</w:t>
      </w:r>
      <w:r>
        <w:rPr>
          <w:rFonts w:hint="eastAsia" w:ascii="仿宋_GB2312" w:hAnsi="仿宋" w:eastAsia="仿宋_GB2312" w:cs="Times New Roman"/>
          <w:sz w:val="30"/>
          <w:szCs w:val="30"/>
          <w:highlight w:val="none"/>
          <w:lang w:val="en-US" w:eastAsia="zh-CN"/>
        </w:rPr>
        <w:t>3</w:t>
      </w:r>
      <w:r>
        <w:rPr>
          <w:rFonts w:hint="eastAsia" w:ascii="仿宋_GB2312" w:hAnsi="仿宋" w:eastAsia="仿宋_GB2312" w:cs="Times New Roman"/>
          <w:sz w:val="30"/>
          <w:szCs w:val="30"/>
          <w:highlight w:val="none"/>
        </w:rPr>
        <w:t>天，投标人无正当理由、未以书面形式向招标人递交说明而在投标截止日不来投标的；</w:t>
      </w:r>
    </w:p>
    <w:p w14:paraId="14BC30CD">
      <w:pPr>
        <w:pStyle w:val="42"/>
        <w:spacing w:line="500" w:lineRule="exact"/>
        <w:ind w:firstLine="6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b）投标人递送投标文件后，无正当理由放弃投标的；</w:t>
      </w:r>
    </w:p>
    <w:p w14:paraId="3C253F8C">
      <w:pPr>
        <w:pStyle w:val="42"/>
        <w:spacing w:line="500" w:lineRule="exact"/>
        <w:ind w:firstLine="6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c）自中标通知书发出之日起30日内，中标人无正当理由不与招标人签订合同的；</w:t>
      </w:r>
    </w:p>
    <w:p w14:paraId="40F52E56">
      <w:pPr>
        <w:pStyle w:val="42"/>
        <w:spacing w:line="500" w:lineRule="exact"/>
        <w:ind w:firstLine="6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d）投标人在投标过程中被查实有串标、围标、陪标等违法违纪行为的；</w:t>
      </w:r>
    </w:p>
    <w:p w14:paraId="4DFD3334">
      <w:pPr>
        <w:pStyle w:val="42"/>
        <w:spacing w:line="500" w:lineRule="exact"/>
        <w:ind w:firstLine="600"/>
        <w:rPr>
          <w:rFonts w:hint="eastAsia"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e）投标人有违约违规行为或被投诉、举报的，在调查处理期间，保证金暂不退还，待调查处理结束后按有关规定处理。</w:t>
      </w:r>
    </w:p>
    <w:p w14:paraId="35E11BDA">
      <w:pPr>
        <w:pStyle w:val="40"/>
        <w:spacing w:line="500" w:lineRule="exact"/>
        <w:ind w:firstLine="602"/>
        <w:outlineLvl w:val="1"/>
        <w:rPr>
          <w:rFonts w:hint="eastAsia" w:ascii="楷体_GB2312" w:hAnsi="楷体_GB2312" w:eastAsia="楷体_GB2312" w:cs="楷体_GB2312"/>
          <w:sz w:val="30"/>
          <w:szCs w:val="30"/>
          <w:highlight w:val="none"/>
        </w:rPr>
      </w:pPr>
      <w:r>
        <w:rPr>
          <w:rFonts w:hint="eastAsia" w:ascii="楷体_GB2312" w:hAnsi="楷体_GB2312" w:eastAsia="楷体_GB2312" w:cs="楷体_GB2312"/>
          <w:sz w:val="30"/>
          <w:szCs w:val="30"/>
          <w:highlight w:val="none"/>
          <w:lang w:val="en-US" w:eastAsia="zh-CN"/>
        </w:rPr>
        <w:t>4</w:t>
      </w:r>
      <w:r>
        <w:rPr>
          <w:rFonts w:hint="eastAsia" w:ascii="楷体_GB2312" w:hAnsi="楷体_GB2312" w:eastAsia="楷体_GB2312" w:cs="楷体_GB2312"/>
          <w:sz w:val="30"/>
          <w:szCs w:val="30"/>
          <w:highlight w:val="none"/>
        </w:rPr>
        <w:t>.投标文件组成</w:t>
      </w:r>
    </w:p>
    <w:p w14:paraId="2F2CD10D">
      <w:pPr>
        <w:spacing w:line="500" w:lineRule="exact"/>
        <w:ind w:firstLine="600" w:firstLineChars="200"/>
        <w:jc w:val="left"/>
        <w:outlineLvl w:val="2"/>
        <w:rPr>
          <w:rFonts w:hint="eastAsia" w:ascii="仿宋_GB2312" w:hAnsi="仿宋" w:eastAsia="仿宋_GB2312"/>
          <w:sz w:val="30"/>
          <w:szCs w:val="30"/>
          <w:highlight w:val="none"/>
        </w:rPr>
      </w:pPr>
      <w:r>
        <w:rPr>
          <w:rFonts w:hint="eastAsia" w:ascii="仿宋_GB2312" w:hAnsi="仿宋" w:eastAsia="仿宋_GB2312"/>
          <w:sz w:val="30"/>
          <w:szCs w:val="30"/>
          <w:highlight w:val="none"/>
        </w:rPr>
        <w:t>本次投标文件采用盖章扫描电子版形式，须按“资质文件、技术标书、商务标书”分类整理，分开上传。投标人须严格参照重汽</w:t>
      </w:r>
      <w:r>
        <w:rPr>
          <w:rFonts w:hint="eastAsia" w:ascii="仿宋_GB2312" w:hAnsi="仿宋" w:eastAsia="仿宋_GB2312"/>
          <w:sz w:val="30"/>
          <w:szCs w:val="30"/>
          <w:highlight w:val="none"/>
          <w:lang w:val="en-US" w:eastAsia="zh-CN"/>
        </w:rPr>
        <w:t>e</w:t>
      </w:r>
      <w:r>
        <w:rPr>
          <w:rFonts w:hint="eastAsia" w:ascii="仿宋_GB2312" w:hAnsi="仿宋" w:eastAsia="仿宋_GB2312"/>
          <w:sz w:val="30"/>
          <w:szCs w:val="30"/>
          <w:highlight w:val="none"/>
        </w:rPr>
        <w:t>采通系统非生产类供方操作手册中应标投标操作说明，将盖章签字版正本投标文件扫描件完整上传至</w:t>
      </w:r>
      <w:r>
        <w:rPr>
          <w:rFonts w:hint="eastAsia" w:ascii="仿宋_GB2312" w:hAnsi="仿宋" w:eastAsia="仿宋_GB2312"/>
          <w:sz w:val="30"/>
          <w:szCs w:val="30"/>
          <w:highlight w:val="none"/>
          <w:lang w:val="en-US" w:eastAsia="zh-CN"/>
        </w:rPr>
        <w:t>e</w:t>
      </w:r>
      <w:r>
        <w:rPr>
          <w:rFonts w:hint="eastAsia" w:ascii="仿宋_GB2312" w:hAnsi="仿宋" w:eastAsia="仿宋_GB2312"/>
          <w:sz w:val="30"/>
          <w:szCs w:val="30"/>
          <w:highlight w:val="none"/>
        </w:rPr>
        <w:t>采通系统，未按要求上传或文件不完整的，视为无效投标。</w:t>
      </w:r>
    </w:p>
    <w:p w14:paraId="2C61066F">
      <w:pPr>
        <w:spacing w:line="500" w:lineRule="exact"/>
        <w:ind w:firstLine="600" w:firstLineChars="200"/>
        <w:jc w:val="left"/>
        <w:outlineLvl w:val="2"/>
        <w:rPr>
          <w:rFonts w:ascii="仿宋_GB2312" w:hAnsi="仿宋" w:eastAsia="仿宋_GB2312"/>
          <w:b w:val="0"/>
          <w:bCs w:val="0"/>
          <w:sz w:val="30"/>
          <w:szCs w:val="30"/>
          <w:highlight w:val="none"/>
        </w:rPr>
      </w:pPr>
      <w:r>
        <w:rPr>
          <w:rFonts w:hint="eastAsia" w:ascii="仿宋_GB2312" w:hAnsi="仿宋" w:eastAsia="仿宋_GB2312"/>
          <w:b w:val="0"/>
          <w:bCs w:val="0"/>
          <w:sz w:val="30"/>
          <w:szCs w:val="30"/>
          <w:highlight w:val="none"/>
          <w:lang w:val="en-US" w:eastAsia="zh-CN"/>
        </w:rPr>
        <w:t>4</w:t>
      </w:r>
      <w:r>
        <w:rPr>
          <w:rFonts w:hint="eastAsia" w:ascii="仿宋_GB2312" w:hAnsi="仿宋" w:eastAsia="仿宋_GB2312"/>
          <w:b w:val="0"/>
          <w:bCs w:val="0"/>
          <w:sz w:val="30"/>
          <w:szCs w:val="30"/>
          <w:highlight w:val="none"/>
        </w:rPr>
        <w:t>.1资格证明文件包括：</w:t>
      </w:r>
    </w:p>
    <w:p w14:paraId="46D28E93">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（1）</w:t>
      </w:r>
      <w:r>
        <w:rPr>
          <w:rFonts w:hint="eastAsia" w:ascii="仿宋_GB2312" w:hAnsi="仿宋" w:eastAsia="仿宋_GB2312"/>
          <w:sz w:val="30"/>
          <w:szCs w:val="30"/>
          <w:highlight w:val="none"/>
          <w:lang w:val="en-US" w:eastAsia="zh-CN"/>
        </w:rPr>
        <w:t>三证合一的新版</w:t>
      </w:r>
      <w:r>
        <w:rPr>
          <w:rFonts w:hint="eastAsia" w:ascii="仿宋_GB2312" w:hAnsi="仿宋" w:eastAsia="仿宋_GB2312"/>
          <w:sz w:val="30"/>
          <w:szCs w:val="30"/>
          <w:highlight w:val="none"/>
        </w:rPr>
        <w:t>营业执照等相关经营资质复印件；</w:t>
      </w:r>
    </w:p>
    <w:p w14:paraId="40569EEC">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（2）法定代表人或授权代理人身份证复印件和法定代表人授权委托书（须法定代表人签字并加盖公章，授权委托书需明确授权范围及有效期）；</w:t>
      </w:r>
    </w:p>
    <w:p w14:paraId="268615DE">
      <w:pPr>
        <w:spacing w:line="500" w:lineRule="exact"/>
        <w:ind w:firstLine="600" w:firstLineChars="200"/>
        <w:jc w:val="left"/>
        <w:rPr>
          <w:rFonts w:hint="eastAsia" w:ascii="仿宋_GB2312" w:hAnsi="仿宋" w:eastAsia="仿宋_GB2312"/>
          <w:sz w:val="30"/>
          <w:szCs w:val="30"/>
          <w:highlight w:val="none"/>
          <w:lang w:eastAsia="zh-CN"/>
        </w:rPr>
      </w:pPr>
      <w:r>
        <w:rPr>
          <w:rFonts w:hint="eastAsia" w:ascii="仿宋_GB2312" w:hAnsi="仿宋" w:eastAsia="仿宋_GB2312"/>
          <w:sz w:val="30"/>
          <w:szCs w:val="30"/>
          <w:highlight w:val="none"/>
        </w:rPr>
        <w:t>（3）近三年（2023年、2024年、2025年）经审计的公司财务报表（含资产负债表、损益表、现金流量表）复印件（无异常）；若未提供经审计的财务报告，需提供近三年公司财务报表（含资产负债表、利润表、现金流量表）加盖公章复印件（无异常）</w:t>
      </w:r>
      <w:r>
        <w:rPr>
          <w:rFonts w:hint="eastAsia" w:ascii="仿宋_GB2312" w:hAnsi="仿宋" w:eastAsia="仿宋_GB2312"/>
          <w:sz w:val="30"/>
          <w:szCs w:val="30"/>
          <w:highlight w:val="none"/>
          <w:lang w:eastAsia="zh-CN"/>
        </w:rPr>
        <w:t>；</w:t>
      </w:r>
    </w:p>
    <w:p w14:paraId="0B12F38C">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（4）投标人信誉良好，无招标违法违规、谎报年度报告信息、提供虚假资质资料等行为或其他与本投标项目有关的行政处罚的证明材料；（“国家企业信用信息公示系统</w:t>
      </w:r>
      <w:r>
        <w:rPr>
          <w:rFonts w:hint="eastAsia" w:ascii="仿宋_GB2312" w:hAnsi="仿宋" w:eastAsia="仿宋_GB2312"/>
          <w:sz w:val="30"/>
          <w:szCs w:val="30"/>
          <w:highlight w:val="none"/>
          <w:lang w:eastAsia="zh-CN"/>
        </w:rPr>
        <w:t>”“</w:t>
      </w:r>
      <w:r>
        <w:rPr>
          <w:rFonts w:hint="eastAsia" w:ascii="仿宋_GB2312" w:hAnsi="仿宋" w:eastAsia="仿宋_GB2312"/>
          <w:sz w:val="30"/>
          <w:szCs w:val="30"/>
          <w:highlight w:val="none"/>
        </w:rPr>
        <w:t>中国执行信息公开网</w:t>
      </w:r>
      <w:r>
        <w:rPr>
          <w:rFonts w:hint="eastAsia" w:ascii="仿宋_GB2312" w:hAnsi="仿宋" w:eastAsia="仿宋_GB2312"/>
          <w:sz w:val="30"/>
          <w:szCs w:val="30"/>
          <w:highlight w:val="none"/>
          <w:lang w:eastAsia="zh-CN"/>
        </w:rPr>
        <w:t>”“</w:t>
      </w:r>
      <w:r>
        <w:rPr>
          <w:rFonts w:hint="eastAsia" w:ascii="仿宋_GB2312" w:hAnsi="仿宋" w:eastAsia="仿宋_GB2312"/>
          <w:sz w:val="30"/>
          <w:szCs w:val="30"/>
          <w:highlight w:val="none"/>
        </w:rPr>
        <w:t>信用中国”“天眼查</w:t>
      </w:r>
      <w:r>
        <w:rPr>
          <w:rFonts w:hint="eastAsia" w:ascii="仿宋_GB2312" w:hAnsi="仿宋" w:eastAsia="仿宋_GB2312"/>
          <w:sz w:val="30"/>
          <w:szCs w:val="30"/>
          <w:highlight w:val="none"/>
          <w:lang w:eastAsia="zh-CN"/>
        </w:rPr>
        <w:t>”“</w:t>
      </w:r>
      <w:r>
        <w:rPr>
          <w:rFonts w:hint="eastAsia" w:ascii="仿宋_GB2312" w:hAnsi="仿宋" w:eastAsia="仿宋_GB2312"/>
          <w:sz w:val="30"/>
          <w:szCs w:val="30"/>
          <w:highlight w:val="none"/>
        </w:rPr>
        <w:t>判决文书网”等信息平台信用中国截图</w:t>
      </w:r>
      <w:r>
        <w:rPr>
          <w:rFonts w:hint="eastAsia" w:ascii="仿宋_GB2312" w:hAnsi="仿宋" w:eastAsia="仿宋_GB2312"/>
          <w:sz w:val="30"/>
          <w:szCs w:val="30"/>
          <w:highlight w:val="none"/>
          <w:lang w:eastAsia="zh-CN"/>
        </w:rPr>
        <w:t>，</w:t>
      </w:r>
      <w:r>
        <w:rPr>
          <w:rFonts w:hint="eastAsia" w:ascii="仿宋_GB2312" w:hAnsi="仿宋" w:eastAsia="仿宋_GB2312"/>
          <w:sz w:val="30"/>
          <w:szCs w:val="30"/>
          <w:highlight w:val="none"/>
        </w:rPr>
        <w:t>至少一项）；</w:t>
      </w:r>
    </w:p>
    <w:p w14:paraId="57D7B725">
      <w:pPr>
        <w:spacing w:line="500" w:lineRule="exact"/>
        <w:ind w:firstLine="600" w:firstLineChars="200"/>
        <w:jc w:val="left"/>
        <w:rPr>
          <w:rFonts w:hint="eastAsia" w:ascii="仿宋_GB2312" w:hAnsi="仿宋" w:eastAsia="仿宋_GB2312"/>
          <w:sz w:val="30"/>
          <w:szCs w:val="30"/>
          <w:highlight w:val="none"/>
        </w:rPr>
      </w:pPr>
      <w:r>
        <w:rPr>
          <w:rFonts w:hint="eastAsia" w:ascii="仿宋_GB2312" w:hAnsi="仿宋" w:eastAsia="仿宋_GB2312"/>
          <w:sz w:val="30"/>
          <w:szCs w:val="30"/>
          <w:highlight w:val="none"/>
        </w:rPr>
        <w:t>（5）近三年内在经营活动中没有违法违纪行为的声明（加盖单位公章）；</w:t>
      </w:r>
    </w:p>
    <w:p w14:paraId="1F6B18C6">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（6）企业最近半年完税证明、信用证明材料（中国人民银行信用代码证+征信报告）；</w:t>
      </w:r>
    </w:p>
    <w:p w14:paraId="68C4BE07">
      <w:pPr>
        <w:spacing w:line="500" w:lineRule="exact"/>
        <w:ind w:firstLine="600" w:firstLineChars="200"/>
        <w:jc w:val="left"/>
        <w:rPr>
          <w:rFonts w:hint="eastAsia" w:ascii="仿宋_GB2312" w:hAnsi="仿宋" w:eastAsia="仿宋_GB2312"/>
          <w:sz w:val="30"/>
          <w:szCs w:val="30"/>
          <w:highlight w:val="none"/>
          <w:lang w:eastAsia="zh-CN"/>
        </w:rPr>
      </w:pPr>
      <w:r>
        <w:rPr>
          <w:rFonts w:hint="eastAsia" w:ascii="仿宋_GB2312" w:hAnsi="仿宋" w:eastAsia="仿宋_GB2312"/>
          <w:sz w:val="30"/>
          <w:szCs w:val="30"/>
          <w:highlight w:val="none"/>
        </w:rPr>
        <w:t>（7）年度纳税信用评价信息（可从电子税务局查询截图，需加盖公章）；</w:t>
      </w:r>
    </w:p>
    <w:p w14:paraId="54CD0739">
      <w:pPr>
        <w:spacing w:line="500" w:lineRule="exact"/>
        <w:ind w:firstLine="600" w:firstLineChars="200"/>
        <w:jc w:val="left"/>
        <w:rPr>
          <w:rFonts w:hint="eastAsia" w:ascii="仿宋_GB2312" w:hAnsi="仿宋" w:eastAsia="仿宋_GB2312"/>
          <w:sz w:val="30"/>
          <w:szCs w:val="30"/>
          <w:highlight w:val="none"/>
        </w:rPr>
      </w:pPr>
      <w:r>
        <w:rPr>
          <w:rFonts w:hint="eastAsia" w:ascii="仿宋_GB2312" w:hAnsi="仿宋" w:eastAsia="仿宋_GB2312"/>
          <w:sz w:val="30"/>
          <w:szCs w:val="30"/>
          <w:highlight w:val="none"/>
        </w:rPr>
        <w:t>（8）企业对外担保说明（写明贵单位对外有无对外担保和质押业务，需加盖公章）</w:t>
      </w:r>
      <w:r>
        <w:rPr>
          <w:rFonts w:hint="eastAsia" w:ascii="仿宋_GB2312" w:hAnsi="仿宋" w:eastAsia="仿宋_GB2312"/>
          <w:sz w:val="30"/>
          <w:szCs w:val="30"/>
          <w:highlight w:val="none"/>
          <w:lang w:eastAsia="zh-CN"/>
        </w:rPr>
        <w:t>；</w:t>
      </w:r>
    </w:p>
    <w:p w14:paraId="212268DD">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（9）投标保证金缴纳凭证（扫描件），同时在正文中明确付款账号、户名、开户行名称、开户行行号、保证金金额；</w:t>
      </w:r>
    </w:p>
    <w:p w14:paraId="4425FC50">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（10</w:t>
      </w:r>
      <w:r>
        <w:rPr>
          <w:rFonts w:ascii="仿宋_GB2312" w:hAnsi="仿宋" w:eastAsia="仿宋_GB2312"/>
          <w:sz w:val="30"/>
          <w:szCs w:val="30"/>
          <w:highlight w:val="none"/>
        </w:rPr>
        <w:t>）</w:t>
      </w:r>
      <w:r>
        <w:rPr>
          <w:rFonts w:hint="eastAsia" w:ascii="仿宋_GB2312" w:hAnsi="仿宋" w:eastAsia="仿宋_GB2312"/>
          <w:sz w:val="30"/>
          <w:szCs w:val="30"/>
          <w:highlight w:val="none"/>
        </w:rPr>
        <w:t>投标人基本情况表</w:t>
      </w:r>
      <w:r>
        <w:rPr>
          <w:rFonts w:hint="eastAsia" w:ascii="仿宋_GB2312" w:hAnsi="仿宋" w:eastAsia="仿宋_GB2312"/>
          <w:sz w:val="30"/>
          <w:szCs w:val="30"/>
          <w:highlight w:val="none"/>
          <w:lang w:eastAsia="zh-CN"/>
        </w:rPr>
        <w:t>，</w:t>
      </w:r>
      <w:r>
        <w:rPr>
          <w:rFonts w:hint="eastAsia" w:ascii="仿宋_GB2312" w:hAnsi="仿宋" w:eastAsia="仿宋_GB2312"/>
          <w:sz w:val="30"/>
          <w:szCs w:val="30"/>
          <w:highlight w:val="none"/>
          <w:lang w:val="en-US" w:eastAsia="zh-CN"/>
        </w:rPr>
        <w:t>其中业绩部分需附有效合同复印件（</w:t>
      </w:r>
      <w:r>
        <w:rPr>
          <w:rFonts w:hint="eastAsia" w:ascii="仿宋_GB2312" w:hAnsi="仿宋" w:eastAsia="仿宋_GB2312"/>
          <w:sz w:val="30"/>
          <w:szCs w:val="30"/>
          <w:highlight w:val="none"/>
        </w:rPr>
        <w:t>附件2</w:t>
      </w:r>
      <w:r>
        <w:rPr>
          <w:rFonts w:hint="eastAsia" w:ascii="仿宋_GB2312" w:hAnsi="仿宋" w:eastAsia="仿宋_GB2312"/>
          <w:sz w:val="30"/>
          <w:szCs w:val="30"/>
          <w:highlight w:val="none"/>
          <w:lang w:val="en-US" w:eastAsia="zh-CN"/>
        </w:rPr>
        <w:t>加盖单位公章）</w:t>
      </w:r>
      <w:r>
        <w:rPr>
          <w:rFonts w:hint="eastAsia" w:ascii="仿宋_GB2312" w:hAnsi="仿宋" w:eastAsia="仿宋_GB2312"/>
          <w:sz w:val="30"/>
          <w:szCs w:val="30"/>
          <w:highlight w:val="none"/>
        </w:rPr>
        <w:t>；</w:t>
      </w:r>
    </w:p>
    <w:p w14:paraId="21B8C713">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（1</w:t>
      </w:r>
      <w:r>
        <w:rPr>
          <w:rFonts w:hint="eastAsia" w:ascii="仿宋_GB2312" w:hAnsi="仿宋" w:eastAsia="仿宋_GB2312"/>
          <w:sz w:val="30"/>
          <w:szCs w:val="30"/>
          <w:highlight w:val="none"/>
          <w:lang w:val="en-US" w:eastAsia="zh-CN"/>
        </w:rPr>
        <w:t>1</w:t>
      </w:r>
      <w:r>
        <w:rPr>
          <w:rFonts w:ascii="仿宋_GB2312" w:hAnsi="仿宋" w:eastAsia="仿宋_GB2312"/>
          <w:sz w:val="30"/>
          <w:szCs w:val="30"/>
          <w:highlight w:val="none"/>
        </w:rPr>
        <w:t>）</w:t>
      </w:r>
      <w:r>
        <w:rPr>
          <w:rFonts w:hint="eastAsia" w:ascii="仿宋_GB2312" w:hAnsi="仿宋" w:eastAsia="仿宋_GB2312"/>
          <w:sz w:val="30"/>
          <w:szCs w:val="30"/>
          <w:highlight w:val="none"/>
        </w:rPr>
        <w:t>投标人认为对其投标有利的其他资料；</w:t>
      </w:r>
    </w:p>
    <w:p w14:paraId="36B665AF">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（1</w:t>
      </w:r>
      <w:r>
        <w:rPr>
          <w:rFonts w:hint="eastAsia" w:ascii="仿宋_GB2312" w:hAnsi="仿宋" w:eastAsia="仿宋_GB2312"/>
          <w:sz w:val="30"/>
          <w:szCs w:val="30"/>
          <w:highlight w:val="none"/>
          <w:lang w:val="en-US" w:eastAsia="zh-CN"/>
        </w:rPr>
        <w:t>2）</w:t>
      </w:r>
      <w:r>
        <w:rPr>
          <w:rFonts w:hint="eastAsia" w:ascii="仿宋_GB2312" w:hAnsi="仿宋" w:eastAsia="仿宋_GB2312"/>
          <w:sz w:val="30"/>
          <w:szCs w:val="30"/>
          <w:highlight w:val="none"/>
        </w:rPr>
        <w:t>法律法规对合格投标人的其他要求、规定。</w:t>
      </w:r>
    </w:p>
    <w:p w14:paraId="10CF8CC6">
      <w:pPr>
        <w:spacing w:line="500" w:lineRule="exact"/>
        <w:ind w:firstLine="600" w:firstLineChars="200"/>
        <w:jc w:val="left"/>
        <w:outlineLvl w:val="2"/>
        <w:rPr>
          <w:rFonts w:ascii="仿宋_GB2312" w:hAnsi="仿宋" w:eastAsia="仿宋_GB2312"/>
          <w:b w:val="0"/>
          <w:bCs w:val="0"/>
          <w:sz w:val="30"/>
          <w:szCs w:val="30"/>
          <w:highlight w:val="none"/>
        </w:rPr>
      </w:pPr>
      <w:r>
        <w:rPr>
          <w:rFonts w:hint="eastAsia" w:ascii="仿宋_GB2312" w:hAnsi="仿宋" w:eastAsia="仿宋_GB2312"/>
          <w:b w:val="0"/>
          <w:bCs w:val="0"/>
          <w:sz w:val="30"/>
          <w:szCs w:val="30"/>
          <w:highlight w:val="none"/>
          <w:lang w:val="en-US" w:eastAsia="zh-CN"/>
        </w:rPr>
        <w:t>4</w:t>
      </w:r>
      <w:r>
        <w:rPr>
          <w:rFonts w:hint="eastAsia" w:ascii="仿宋_GB2312" w:hAnsi="仿宋" w:eastAsia="仿宋_GB2312"/>
          <w:b w:val="0"/>
          <w:bCs w:val="0"/>
          <w:sz w:val="30"/>
          <w:szCs w:val="30"/>
          <w:highlight w:val="none"/>
        </w:rPr>
        <w:t>.2技术部分文件包括：</w:t>
      </w:r>
    </w:p>
    <w:p w14:paraId="545534B6">
      <w:pPr>
        <w:spacing w:line="500" w:lineRule="exact"/>
        <w:ind w:firstLine="600" w:firstLineChars="200"/>
        <w:jc w:val="left"/>
        <w:rPr>
          <w:rFonts w:hint="default" w:ascii="仿宋_GB2312" w:hAnsi="仿宋" w:eastAsia="仿宋_GB2312"/>
          <w:sz w:val="30"/>
          <w:szCs w:val="30"/>
          <w:highlight w:val="none"/>
          <w:lang w:val="en-US" w:eastAsia="zh-CN"/>
        </w:rPr>
      </w:pPr>
      <w:r>
        <w:rPr>
          <w:rFonts w:hint="eastAsia" w:ascii="仿宋_GB2312" w:hAnsi="仿宋" w:eastAsia="仿宋_GB2312"/>
          <w:sz w:val="30"/>
          <w:szCs w:val="30"/>
          <w:highlight w:val="none"/>
        </w:rPr>
        <w:t>（1）</w:t>
      </w:r>
      <w:r>
        <w:rPr>
          <w:rFonts w:hint="eastAsia" w:ascii="仿宋_GB2312" w:hAnsi="仿宋" w:eastAsia="仿宋_GB2312"/>
          <w:sz w:val="30"/>
          <w:szCs w:val="30"/>
          <w:highlight w:val="none"/>
          <w:lang w:val="en-US" w:eastAsia="zh-CN"/>
        </w:rPr>
        <w:t>投标方业绩及证明材料（合同）；</w:t>
      </w:r>
    </w:p>
    <w:p w14:paraId="5FBD603D">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lang w:val="en-US" w:eastAsia="zh-CN"/>
        </w:rPr>
        <w:t>（2）针对本次职工运动会项目的服务团队情况（含人员数量、姓名、职务、联系方式、专业资质、裁判等级证书等）</w:t>
      </w:r>
      <w:r>
        <w:rPr>
          <w:rFonts w:hint="eastAsia" w:ascii="仿宋_GB2312" w:hAnsi="仿宋" w:eastAsia="仿宋_GB2312"/>
          <w:sz w:val="30"/>
          <w:szCs w:val="30"/>
          <w:highlight w:val="none"/>
        </w:rPr>
        <w:t>；</w:t>
      </w:r>
    </w:p>
    <w:p w14:paraId="67F22493">
      <w:pPr>
        <w:spacing w:line="500" w:lineRule="exact"/>
        <w:ind w:firstLine="600" w:firstLineChars="200"/>
        <w:jc w:val="left"/>
        <w:rPr>
          <w:rFonts w:hint="eastAsia" w:ascii="仿宋_GB2312" w:hAnsi="仿宋" w:eastAsia="仿宋_GB2312"/>
          <w:sz w:val="30"/>
          <w:szCs w:val="30"/>
          <w:highlight w:val="none"/>
        </w:rPr>
      </w:pPr>
      <w:r>
        <w:rPr>
          <w:rFonts w:hint="eastAsia" w:ascii="仿宋_GB2312" w:hAnsi="仿宋" w:eastAsia="仿宋_GB2312"/>
          <w:sz w:val="30"/>
          <w:szCs w:val="30"/>
          <w:highlight w:val="none"/>
        </w:rPr>
        <w:t>（</w:t>
      </w:r>
      <w:r>
        <w:rPr>
          <w:rFonts w:hint="eastAsia" w:ascii="仿宋_GB2312" w:hAnsi="仿宋" w:eastAsia="仿宋_GB2312"/>
          <w:sz w:val="30"/>
          <w:szCs w:val="30"/>
          <w:highlight w:val="none"/>
          <w:lang w:val="en-US" w:eastAsia="zh-CN"/>
        </w:rPr>
        <w:t>3</w:t>
      </w:r>
      <w:r>
        <w:rPr>
          <w:rFonts w:hint="eastAsia" w:ascii="仿宋_GB2312" w:hAnsi="仿宋" w:eastAsia="仿宋_GB2312"/>
          <w:sz w:val="30"/>
          <w:szCs w:val="30"/>
          <w:highlight w:val="none"/>
        </w:rPr>
        <w:t>）</w:t>
      </w:r>
      <w:r>
        <w:rPr>
          <w:rFonts w:hint="eastAsia" w:ascii="仿宋_GB2312" w:hAnsi="仿宋" w:eastAsia="仿宋_GB2312"/>
          <w:sz w:val="30"/>
          <w:szCs w:val="30"/>
          <w:highlight w:val="none"/>
          <w:lang w:val="en-US" w:eastAsia="zh-CN"/>
        </w:rPr>
        <w:t>职工运动会整体项目实施方案（含开闭幕式方案、大型展演方案、竞赛组织方案、赛程编排方案、场地布置方案、安全保障方案等）</w:t>
      </w:r>
      <w:r>
        <w:rPr>
          <w:rFonts w:hint="eastAsia" w:ascii="仿宋_GB2312" w:hAnsi="仿宋" w:eastAsia="仿宋_GB2312"/>
          <w:sz w:val="30"/>
          <w:szCs w:val="30"/>
          <w:highlight w:val="none"/>
        </w:rPr>
        <w:t>；</w:t>
      </w:r>
    </w:p>
    <w:p w14:paraId="2D8C4A6F">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w:t>
      </w:r>
      <w:r>
        <w:rPr>
          <w:rFonts w:hint="eastAsia" w:ascii="仿宋_GB2312" w:hAnsi="仿宋" w:eastAsia="仿宋_GB2312"/>
          <w:sz w:val="30"/>
          <w:szCs w:val="30"/>
          <w:highlight w:val="none"/>
          <w:lang w:val="en-US" w:eastAsia="zh-CN"/>
        </w:rPr>
        <w:t>4</w:t>
      </w:r>
      <w:r>
        <w:rPr>
          <w:rFonts w:hint="eastAsia" w:ascii="仿宋_GB2312" w:hAnsi="仿宋" w:eastAsia="仿宋_GB2312"/>
          <w:sz w:val="30"/>
          <w:szCs w:val="30"/>
          <w:highlight w:val="none"/>
        </w:rPr>
        <w:t>）投标人认为对其投标有利的其他资料。</w:t>
      </w:r>
    </w:p>
    <w:p w14:paraId="61CED96B">
      <w:pPr>
        <w:spacing w:line="500" w:lineRule="exact"/>
        <w:ind w:firstLine="600" w:firstLineChars="200"/>
        <w:jc w:val="left"/>
        <w:outlineLvl w:val="2"/>
        <w:rPr>
          <w:rFonts w:ascii="仿宋_GB2312" w:hAnsi="仿宋" w:eastAsia="仿宋_GB2312"/>
          <w:b w:val="0"/>
          <w:bCs w:val="0"/>
          <w:sz w:val="30"/>
          <w:szCs w:val="30"/>
          <w:highlight w:val="none"/>
        </w:rPr>
      </w:pPr>
      <w:r>
        <w:rPr>
          <w:rFonts w:hint="eastAsia" w:ascii="仿宋_GB2312" w:hAnsi="仿宋" w:eastAsia="仿宋_GB2312"/>
          <w:b w:val="0"/>
          <w:bCs w:val="0"/>
          <w:sz w:val="30"/>
          <w:szCs w:val="30"/>
          <w:highlight w:val="none"/>
          <w:lang w:val="en-US" w:eastAsia="zh-CN"/>
        </w:rPr>
        <w:t>4</w:t>
      </w:r>
      <w:r>
        <w:rPr>
          <w:rFonts w:hint="eastAsia" w:ascii="仿宋_GB2312" w:hAnsi="仿宋" w:eastAsia="仿宋_GB2312"/>
          <w:b w:val="0"/>
          <w:bCs w:val="0"/>
          <w:sz w:val="30"/>
          <w:szCs w:val="30"/>
          <w:highlight w:val="none"/>
        </w:rPr>
        <w:t>.3商务部分文件包括：</w:t>
      </w:r>
    </w:p>
    <w:p w14:paraId="3EC02711">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开标一览表（明确不含税金额、税率、价税合计金额等核心报价信息），需附</w:t>
      </w:r>
      <w:r>
        <w:rPr>
          <w:rFonts w:hint="eastAsia" w:ascii="仿宋_GB2312" w:hAnsi="仿宋_GB2312" w:eastAsia="仿宋_GB2312" w:cs="仿宋_GB2312"/>
          <w:sz w:val="30"/>
          <w:szCs w:val="30"/>
          <w:highlight w:val="none"/>
        </w:rPr>
        <w:t>投标报价明细表；</w:t>
      </w:r>
    </w:p>
    <w:p w14:paraId="5703A980">
      <w:pPr>
        <w:pStyle w:val="40"/>
        <w:spacing w:line="500" w:lineRule="exact"/>
        <w:ind w:firstLine="602"/>
        <w:outlineLvl w:val="1"/>
        <w:rPr>
          <w:rFonts w:hint="default" w:ascii="楷体_GB2312" w:hAnsi="楷体_GB2312" w:eastAsia="楷体_GB2312" w:cs="楷体_GB2312"/>
          <w:sz w:val="30"/>
          <w:szCs w:val="30"/>
          <w:highlight w:val="none"/>
          <w:lang w:val="en-US" w:eastAsia="zh-CN"/>
        </w:rPr>
      </w:pPr>
      <w:r>
        <w:rPr>
          <w:rFonts w:hint="eastAsia" w:ascii="楷体_GB2312" w:hAnsi="楷体_GB2312" w:eastAsia="楷体_GB2312" w:cs="楷体_GB2312"/>
          <w:sz w:val="30"/>
          <w:szCs w:val="30"/>
          <w:highlight w:val="none"/>
          <w:lang w:val="en-US" w:eastAsia="zh-CN"/>
        </w:rPr>
        <w:t>5.投标报价</w:t>
      </w:r>
    </w:p>
    <w:p w14:paraId="1F91B7EC">
      <w:pPr>
        <w:pStyle w:val="10"/>
        <w:spacing w:line="500" w:lineRule="exact"/>
        <w:ind w:firstLine="600" w:firstLineChars="200"/>
        <w:rPr>
          <w:rFonts w:ascii="仿宋_GB2312" w:hAnsi="仿宋" w:eastAsia="仿宋_GB2312" w:cs="Times New Roman"/>
          <w:color w:val="000000"/>
          <w:sz w:val="30"/>
          <w:szCs w:val="30"/>
          <w:highlight w:val="none"/>
        </w:rPr>
      </w:pPr>
      <w:r>
        <w:rPr>
          <w:rFonts w:hint="eastAsia" w:ascii="仿宋_GB2312" w:hAnsi="仿宋" w:eastAsia="仿宋_GB2312" w:cs="Times New Roman"/>
          <w:color w:val="000000"/>
          <w:sz w:val="30"/>
          <w:szCs w:val="30"/>
          <w:highlight w:val="none"/>
          <w:lang w:val="en-US" w:eastAsia="zh-CN"/>
        </w:rPr>
        <w:t>5.1</w:t>
      </w:r>
      <w:r>
        <w:rPr>
          <w:rFonts w:hint="eastAsia" w:ascii="仿宋_GB2312" w:hAnsi="仿宋" w:eastAsia="仿宋_GB2312" w:cs="Times New Roman"/>
          <w:color w:val="000000"/>
          <w:sz w:val="30"/>
          <w:szCs w:val="30"/>
          <w:highlight w:val="none"/>
        </w:rPr>
        <w:t>投标人须在投标截止日期前将电子标书</w:t>
      </w:r>
      <w:r>
        <w:rPr>
          <w:rFonts w:hint="eastAsia" w:ascii="仿宋_GB2312" w:hAnsi="仿宋" w:eastAsia="仿宋_GB2312" w:cs="Times New Roman"/>
          <w:color w:val="000000"/>
          <w:sz w:val="30"/>
          <w:szCs w:val="30"/>
          <w:highlight w:val="none"/>
          <w:lang w:eastAsia="zh-CN"/>
        </w:rPr>
        <w:t>（</w:t>
      </w:r>
      <w:r>
        <w:rPr>
          <w:rFonts w:hint="eastAsia" w:ascii="仿宋_GB2312" w:hAnsi="仿宋" w:eastAsia="仿宋_GB2312" w:cs="Times New Roman"/>
          <w:color w:val="000000"/>
          <w:sz w:val="30"/>
          <w:szCs w:val="30"/>
          <w:highlight w:val="none"/>
          <w:lang w:val="en-US" w:eastAsia="zh-CN"/>
        </w:rPr>
        <w:t>盖章版</w:t>
      </w:r>
      <w:r>
        <w:rPr>
          <w:rFonts w:hint="eastAsia" w:ascii="仿宋_GB2312" w:hAnsi="仿宋" w:eastAsia="仿宋_GB2312" w:cs="Times New Roman"/>
          <w:color w:val="000000"/>
          <w:sz w:val="30"/>
          <w:szCs w:val="30"/>
          <w:highlight w:val="none"/>
          <w:lang w:eastAsia="zh-CN"/>
        </w:rPr>
        <w:t>）</w:t>
      </w:r>
      <w:r>
        <w:rPr>
          <w:rFonts w:hint="eastAsia" w:ascii="仿宋_GB2312" w:hAnsi="仿宋" w:eastAsia="仿宋_GB2312" w:cs="Times New Roman"/>
          <w:color w:val="000000"/>
          <w:sz w:val="30"/>
          <w:szCs w:val="30"/>
          <w:highlight w:val="none"/>
        </w:rPr>
        <w:t>上传到重汽e采通平台。若逾期未完成重汽e采通上传标书，投标无效。</w:t>
      </w:r>
    </w:p>
    <w:p w14:paraId="34CBD319">
      <w:pPr>
        <w:pStyle w:val="10"/>
        <w:spacing w:line="500" w:lineRule="exact"/>
        <w:ind w:firstLine="600" w:firstLineChars="200"/>
        <w:rPr>
          <w:rFonts w:ascii="仿宋_GB2312" w:hAnsi="仿宋" w:eastAsia="仿宋_GB2312" w:cs="Times New Roman"/>
          <w:color w:val="000000"/>
          <w:sz w:val="30"/>
          <w:szCs w:val="30"/>
          <w:highlight w:val="none"/>
        </w:rPr>
      </w:pPr>
      <w:r>
        <w:rPr>
          <w:rFonts w:hint="eastAsia" w:ascii="仿宋_GB2312" w:hAnsi="仿宋" w:eastAsia="仿宋_GB2312" w:cs="Times New Roman"/>
          <w:color w:val="000000"/>
          <w:sz w:val="30"/>
          <w:szCs w:val="30"/>
          <w:highlight w:val="none"/>
          <w:lang w:val="en-US" w:eastAsia="zh-CN"/>
        </w:rPr>
        <w:t>5.2</w:t>
      </w:r>
      <w:r>
        <w:rPr>
          <w:rFonts w:hint="eastAsia" w:ascii="仿宋_GB2312" w:hAnsi="仿宋" w:eastAsia="仿宋_GB2312" w:cs="Times New Roman"/>
          <w:color w:val="000000"/>
          <w:sz w:val="30"/>
          <w:szCs w:val="30"/>
          <w:highlight w:val="none"/>
        </w:rPr>
        <w:t>投标报价应包括职工运动会期间涉及的全部费用，除此之外，采购方无需支付任何费用。</w:t>
      </w:r>
    </w:p>
    <w:p w14:paraId="0763874B">
      <w:pPr>
        <w:pStyle w:val="10"/>
        <w:spacing w:line="500" w:lineRule="exact"/>
        <w:ind w:firstLine="600" w:firstLineChars="200"/>
        <w:rPr>
          <w:rFonts w:hint="eastAsia" w:ascii="仿宋_GB2312" w:hAnsi="仿宋" w:eastAsia="仿宋_GB2312" w:cs="Times New Roman"/>
          <w:color w:val="000000"/>
          <w:sz w:val="30"/>
          <w:szCs w:val="30"/>
          <w:highlight w:val="none"/>
        </w:rPr>
      </w:pPr>
      <w:r>
        <w:rPr>
          <w:rFonts w:hint="eastAsia" w:ascii="仿宋_GB2312" w:hAnsi="仿宋" w:eastAsia="仿宋_GB2312" w:cs="Times New Roman"/>
          <w:color w:val="000000"/>
          <w:sz w:val="30"/>
          <w:szCs w:val="30"/>
          <w:highlight w:val="none"/>
          <w:lang w:val="en-US" w:eastAsia="zh-CN"/>
        </w:rPr>
        <w:t>5.3</w:t>
      </w:r>
      <w:r>
        <w:rPr>
          <w:rFonts w:hint="eastAsia" w:ascii="仿宋_GB2312" w:hAnsi="仿宋" w:eastAsia="仿宋_GB2312" w:cs="Times New Roman"/>
          <w:color w:val="000000"/>
          <w:sz w:val="30"/>
          <w:szCs w:val="30"/>
          <w:highlight w:val="none"/>
        </w:rPr>
        <w:t>报价货币单位为</w:t>
      </w:r>
      <w:r>
        <w:rPr>
          <w:rFonts w:hint="eastAsia" w:ascii="仿宋_GB2312" w:hAnsi="仿宋" w:eastAsia="仿宋_GB2312" w:cs="Times New Roman"/>
          <w:color w:val="000000"/>
          <w:sz w:val="30"/>
          <w:szCs w:val="30"/>
          <w:highlight w:val="none"/>
          <w:lang w:val="en-US" w:eastAsia="zh-CN"/>
        </w:rPr>
        <w:t>万</w:t>
      </w:r>
      <w:r>
        <w:rPr>
          <w:rFonts w:hint="eastAsia" w:ascii="仿宋_GB2312" w:hAnsi="仿宋" w:eastAsia="仿宋_GB2312" w:cs="Times New Roman"/>
          <w:color w:val="000000"/>
          <w:sz w:val="30"/>
          <w:szCs w:val="30"/>
          <w:highlight w:val="none"/>
        </w:rPr>
        <w:t>元（人民币），报价时须注明</w:t>
      </w:r>
      <w:r>
        <w:rPr>
          <w:rFonts w:hint="eastAsia" w:ascii="仿宋_GB2312" w:hAnsi="仿宋" w:eastAsia="仿宋_GB2312" w:cs="Times New Roman"/>
          <w:color w:val="000000"/>
          <w:sz w:val="30"/>
          <w:szCs w:val="30"/>
          <w:highlight w:val="none"/>
          <w:lang w:val="en-US" w:eastAsia="zh-CN"/>
        </w:rPr>
        <w:t>未税</w:t>
      </w:r>
      <w:r>
        <w:rPr>
          <w:rFonts w:hint="eastAsia" w:ascii="仿宋_GB2312" w:hAnsi="仿宋" w:eastAsia="仿宋_GB2312" w:cs="Times New Roman"/>
          <w:color w:val="000000"/>
          <w:sz w:val="30"/>
          <w:szCs w:val="30"/>
          <w:highlight w:val="none"/>
        </w:rPr>
        <w:t>价、税率及价税合计等信息。</w:t>
      </w:r>
    </w:p>
    <w:p w14:paraId="30B2FF13">
      <w:pPr>
        <w:pStyle w:val="10"/>
        <w:spacing w:line="500" w:lineRule="exact"/>
        <w:ind w:firstLine="600" w:firstLineChars="200"/>
        <w:jc w:val="both"/>
        <w:rPr>
          <w:rFonts w:ascii="仿宋_GB2312" w:hAnsi="仿宋" w:eastAsia="仿宋_GB2312" w:cs="Times New Roman"/>
          <w:sz w:val="30"/>
          <w:szCs w:val="30"/>
          <w:highlight w:val="none"/>
        </w:rPr>
      </w:pPr>
      <w:r>
        <w:rPr>
          <w:rFonts w:hint="eastAsia" w:ascii="仿宋_GB2312" w:hAnsi="仿宋" w:eastAsia="仿宋_GB2312" w:cs="Times New Roman"/>
          <w:color w:val="000000"/>
          <w:sz w:val="30"/>
          <w:szCs w:val="30"/>
          <w:highlight w:val="none"/>
          <w:lang w:val="en-US" w:eastAsia="zh-CN"/>
        </w:rPr>
        <w:t>5.4</w:t>
      </w:r>
      <w:r>
        <w:rPr>
          <w:rFonts w:hint="eastAsia" w:ascii="仿宋_GB2312" w:hAnsi="仿宋" w:eastAsia="仿宋_GB2312" w:cs="Times New Roman"/>
          <w:sz w:val="30"/>
          <w:szCs w:val="30"/>
          <w:highlight w:val="none"/>
          <w:lang w:val="en-US" w:eastAsia="zh-CN"/>
        </w:rPr>
        <w:t>投标限价：</w:t>
      </w:r>
      <w:r>
        <w:rPr>
          <w:rFonts w:hint="eastAsia" w:ascii="仿宋_GB2312" w:hAnsi="仿宋" w:eastAsia="仿宋_GB2312" w:cs="Times New Roman"/>
          <w:b/>
          <w:bCs/>
          <w:sz w:val="30"/>
          <w:szCs w:val="30"/>
          <w:highlight w:val="none"/>
        </w:rPr>
        <w:t>人民币</w:t>
      </w:r>
      <w:r>
        <w:rPr>
          <w:rFonts w:hint="eastAsia" w:ascii="仿宋_GB2312" w:hAnsi="仿宋" w:eastAsia="仿宋_GB2312" w:cs="Times New Roman"/>
          <w:b/>
          <w:bCs/>
          <w:sz w:val="30"/>
          <w:szCs w:val="30"/>
          <w:highlight w:val="none"/>
          <w:lang w:val="en-US" w:eastAsia="zh-CN"/>
        </w:rPr>
        <w:t>120万</w:t>
      </w:r>
      <w:r>
        <w:rPr>
          <w:rFonts w:hint="eastAsia" w:ascii="仿宋_GB2312" w:hAnsi="仿宋" w:eastAsia="仿宋_GB2312" w:cs="Times New Roman"/>
          <w:b/>
          <w:bCs/>
          <w:sz w:val="30"/>
          <w:szCs w:val="30"/>
          <w:highlight w:val="none"/>
        </w:rPr>
        <w:t>元（含税全包价</w:t>
      </w:r>
      <w:r>
        <w:rPr>
          <w:rFonts w:hint="eastAsia" w:ascii="仿宋_GB2312" w:hAnsi="仿宋" w:eastAsia="仿宋_GB2312" w:cs="Times New Roman"/>
          <w:b/>
          <w:bCs/>
          <w:sz w:val="30"/>
          <w:szCs w:val="30"/>
          <w:highlight w:val="none"/>
          <w:lang w:eastAsia="zh-CN"/>
        </w:rPr>
        <w:t>）。</w:t>
      </w:r>
    </w:p>
    <w:p w14:paraId="34CB1E83">
      <w:pPr>
        <w:pStyle w:val="40"/>
        <w:spacing w:line="500" w:lineRule="exact"/>
        <w:ind w:firstLine="602"/>
        <w:outlineLvl w:val="1"/>
        <w:rPr>
          <w:rFonts w:hint="default" w:ascii="楷体_GB2312" w:hAnsi="楷体_GB2312" w:eastAsia="楷体_GB2312" w:cs="楷体_GB2312"/>
          <w:sz w:val="30"/>
          <w:szCs w:val="30"/>
          <w:highlight w:val="none"/>
          <w:lang w:val="en-US" w:eastAsia="zh-CN"/>
        </w:rPr>
      </w:pPr>
      <w:r>
        <w:rPr>
          <w:rFonts w:hint="eastAsia" w:ascii="楷体_GB2312" w:hAnsi="楷体_GB2312" w:eastAsia="楷体_GB2312" w:cs="楷体_GB2312"/>
          <w:sz w:val="30"/>
          <w:szCs w:val="30"/>
          <w:highlight w:val="none"/>
          <w:lang w:val="en-US" w:eastAsia="zh-CN"/>
        </w:rPr>
        <w:t>6.评标过程</w:t>
      </w:r>
    </w:p>
    <w:p w14:paraId="7B6B00E2">
      <w:pPr>
        <w:spacing w:line="500" w:lineRule="exact"/>
        <w:ind w:firstLine="600" w:firstLineChars="200"/>
        <w:rPr>
          <w:rFonts w:hint="eastAsia" w:ascii="仿宋_GB2312" w:hAnsi="仿宋" w:eastAsia="仿宋_GB2312"/>
          <w:sz w:val="30"/>
          <w:szCs w:val="30"/>
          <w:highlight w:val="none"/>
          <w:lang w:eastAsia="zh-CN"/>
        </w:rPr>
      </w:pPr>
      <w:r>
        <w:rPr>
          <w:rFonts w:hint="eastAsia" w:ascii="仿宋_GB2312" w:hAnsi="仿宋" w:eastAsia="仿宋_GB2312"/>
          <w:sz w:val="30"/>
          <w:szCs w:val="30"/>
          <w:highlight w:val="none"/>
        </w:rPr>
        <w:t>为保证项目顺利实施，由招标人组织、按国家法律法规及公司相关规章制度要求，设立评标工作小组，投标人在讲标时，须由拟担任招标项目的项目经理及项目组成员讲标</w:t>
      </w:r>
      <w:r>
        <w:rPr>
          <w:rFonts w:hint="eastAsia" w:ascii="仿宋_GB2312" w:hAnsi="仿宋" w:eastAsia="仿宋_GB2312"/>
          <w:sz w:val="30"/>
          <w:szCs w:val="30"/>
          <w:highlight w:val="none"/>
          <w:lang w:eastAsia="zh-CN"/>
        </w:rPr>
        <w:t>。</w:t>
      </w:r>
    </w:p>
    <w:p w14:paraId="32909FFD">
      <w:pPr>
        <w:spacing w:line="500" w:lineRule="exact"/>
        <w:ind w:firstLine="600" w:firstLineChars="200"/>
        <w:rPr>
          <w:rFonts w:ascii="仿宋_GB2312" w:hAnsi="仿宋" w:eastAsia="仿宋_GB2312"/>
          <w:sz w:val="30"/>
          <w:szCs w:val="30"/>
          <w:highlight w:val="none"/>
        </w:rPr>
      </w:pPr>
      <w:r>
        <w:rPr>
          <w:rFonts w:hint="eastAsia" w:ascii="仿宋_GB2312" w:hAnsi="仿宋" w:eastAsia="仿宋_GB2312"/>
          <w:sz w:val="30"/>
          <w:szCs w:val="30"/>
          <w:highlight w:val="none"/>
          <w:lang w:val="en-US" w:eastAsia="zh-CN"/>
        </w:rPr>
        <w:t>6.1.</w:t>
      </w:r>
      <w:r>
        <w:rPr>
          <w:rFonts w:hint="eastAsia" w:ascii="仿宋_GB2312" w:hAnsi="仿宋" w:eastAsia="仿宋_GB2312"/>
          <w:sz w:val="30"/>
          <w:szCs w:val="30"/>
          <w:highlight w:val="none"/>
        </w:rPr>
        <w:t>通过应标资格审查，报名成功的单位进入投标环节，按照“SRM系统供应商用户手册”，在重汽e采通平台投递电子标书（包含资质标、技术标、商务标），没有通过应标资质审查的单位不能进入投标环节；</w:t>
      </w:r>
    </w:p>
    <w:p w14:paraId="284C9C4B">
      <w:pPr>
        <w:spacing w:line="500" w:lineRule="exact"/>
        <w:ind w:firstLine="600" w:firstLineChars="200"/>
        <w:rPr>
          <w:rFonts w:ascii="仿宋_GB2312" w:hAnsi="仿宋" w:eastAsia="仿宋_GB2312"/>
          <w:sz w:val="30"/>
          <w:szCs w:val="30"/>
          <w:highlight w:val="none"/>
        </w:rPr>
      </w:pPr>
      <w:r>
        <w:rPr>
          <w:rFonts w:hint="eastAsia" w:ascii="仿宋_GB2312" w:hAnsi="仿宋" w:eastAsia="仿宋_GB2312"/>
          <w:sz w:val="30"/>
          <w:szCs w:val="30"/>
          <w:highlight w:val="none"/>
          <w:lang w:val="en-US" w:eastAsia="zh-CN"/>
        </w:rPr>
        <w:t>6.2</w:t>
      </w:r>
      <w:r>
        <w:rPr>
          <w:rFonts w:hint="eastAsia" w:ascii="仿宋_GB2312" w:hAnsi="仿宋" w:eastAsia="仿宋_GB2312"/>
          <w:sz w:val="30"/>
          <w:szCs w:val="30"/>
          <w:highlight w:val="none"/>
        </w:rPr>
        <w:t>资质标评审：招标人通过重汽e采通平台对投标人的《资质标》进行审核，审核通过的单位，进入技术标评审；</w:t>
      </w:r>
    </w:p>
    <w:p w14:paraId="6F337E63">
      <w:pPr>
        <w:spacing w:line="500" w:lineRule="exact"/>
        <w:ind w:firstLine="600" w:firstLineChars="200"/>
        <w:rPr>
          <w:rFonts w:hint="eastAsia" w:ascii="黑体" w:hAnsi="黑体" w:eastAsia="黑体" w:cs="黑体"/>
          <w:b/>
          <w:bCs/>
          <w:sz w:val="30"/>
          <w:szCs w:val="30"/>
          <w:highlight w:val="none"/>
          <w:lang w:eastAsia="zh-CN"/>
        </w:rPr>
      </w:pPr>
      <w:r>
        <w:rPr>
          <w:rFonts w:hint="eastAsia" w:ascii="仿宋_GB2312" w:hAnsi="仿宋" w:eastAsia="仿宋_GB2312"/>
          <w:sz w:val="30"/>
          <w:szCs w:val="30"/>
          <w:highlight w:val="none"/>
          <w:lang w:val="en-US" w:eastAsia="zh-CN"/>
        </w:rPr>
        <w:t>6.3</w:t>
      </w:r>
      <w:r>
        <w:rPr>
          <w:rFonts w:hint="eastAsia" w:ascii="仿宋_GB2312" w:hAnsi="仿宋" w:eastAsia="仿宋_GB2312"/>
          <w:sz w:val="30"/>
          <w:szCs w:val="30"/>
          <w:highlight w:val="none"/>
        </w:rPr>
        <w:t>技术标评审：技术标评标专家组，通过重汽e采通，对各投标人的《技术标》进行综合评审；评审期间产生的技术澄清均由投标人在重汽e采通平台内完成提交；</w:t>
      </w:r>
      <w:r>
        <w:rPr>
          <w:rFonts w:hint="eastAsia" w:ascii="黑体" w:hAnsi="黑体" w:eastAsia="黑体" w:cs="黑体"/>
          <w:b/>
          <w:bCs/>
          <w:sz w:val="30"/>
          <w:szCs w:val="30"/>
          <w:highlight w:val="none"/>
        </w:rPr>
        <w:t>本次招标采用</w:t>
      </w:r>
      <w:r>
        <w:rPr>
          <w:rFonts w:hint="eastAsia" w:ascii="黑体" w:hAnsi="黑体" w:eastAsia="黑体" w:cs="黑体"/>
          <w:b/>
          <w:bCs/>
          <w:sz w:val="30"/>
          <w:szCs w:val="30"/>
          <w:highlight w:val="none"/>
          <w:lang w:val="en-US" w:eastAsia="zh-CN"/>
        </w:rPr>
        <w:t>技术标和</w:t>
      </w:r>
      <w:r>
        <w:rPr>
          <w:rFonts w:hint="eastAsia" w:ascii="黑体" w:hAnsi="黑体" w:eastAsia="黑体" w:cs="黑体"/>
          <w:b/>
          <w:bCs/>
          <w:sz w:val="30"/>
          <w:szCs w:val="30"/>
          <w:highlight w:val="none"/>
        </w:rPr>
        <w:t>商务标</w:t>
      </w:r>
      <w:r>
        <w:rPr>
          <w:rFonts w:hint="eastAsia" w:ascii="黑体" w:hAnsi="黑体" w:eastAsia="黑体" w:cs="黑体"/>
          <w:b/>
          <w:bCs/>
          <w:sz w:val="30"/>
          <w:szCs w:val="30"/>
          <w:highlight w:val="none"/>
          <w:lang w:val="en-US" w:eastAsia="zh-CN"/>
        </w:rPr>
        <w:t>分级</w:t>
      </w:r>
      <w:r>
        <w:rPr>
          <w:rFonts w:hint="eastAsia" w:ascii="黑体" w:hAnsi="黑体" w:eastAsia="黑体" w:cs="黑体"/>
          <w:b/>
          <w:bCs/>
          <w:sz w:val="30"/>
          <w:szCs w:val="30"/>
          <w:highlight w:val="none"/>
        </w:rPr>
        <w:t>开标的模式，技术标评分低于</w:t>
      </w:r>
      <w:r>
        <w:rPr>
          <w:rFonts w:hint="eastAsia" w:ascii="黑体" w:hAnsi="黑体" w:eastAsia="黑体" w:cs="黑体"/>
          <w:b/>
          <w:bCs/>
          <w:sz w:val="30"/>
          <w:szCs w:val="30"/>
          <w:highlight w:val="none"/>
          <w:lang w:eastAsia="zh-CN"/>
        </w:rPr>
        <w:t>7</w:t>
      </w:r>
      <w:r>
        <w:rPr>
          <w:rFonts w:hint="eastAsia" w:ascii="黑体" w:hAnsi="黑体" w:eastAsia="黑体" w:cs="黑体"/>
          <w:b/>
          <w:bCs/>
          <w:sz w:val="30"/>
          <w:szCs w:val="30"/>
          <w:highlight w:val="none"/>
        </w:rPr>
        <w:t>0分予以淘汰</w:t>
      </w:r>
      <w:r>
        <w:rPr>
          <w:rFonts w:hint="eastAsia" w:ascii="黑体" w:hAnsi="黑体" w:eastAsia="黑体" w:cs="黑体"/>
          <w:b/>
          <w:bCs/>
          <w:sz w:val="30"/>
          <w:szCs w:val="30"/>
          <w:highlight w:val="none"/>
          <w:lang w:eastAsia="zh-CN"/>
        </w:rPr>
        <w:t>。</w:t>
      </w:r>
    </w:p>
    <w:p w14:paraId="43840880">
      <w:pPr>
        <w:spacing w:line="500" w:lineRule="exact"/>
        <w:ind w:firstLine="600" w:firstLineChars="200"/>
        <w:rPr>
          <w:rFonts w:hint="eastAsia" w:ascii="仿宋_GB2312" w:hAnsi="仿宋" w:eastAsia="仿宋_GB2312"/>
          <w:sz w:val="30"/>
          <w:szCs w:val="30"/>
          <w:highlight w:val="none"/>
        </w:rPr>
      </w:pPr>
      <w:r>
        <w:rPr>
          <w:rFonts w:hint="eastAsia" w:ascii="仿宋_GB2312" w:hAnsi="仿宋" w:eastAsia="仿宋_GB2312"/>
          <w:sz w:val="30"/>
          <w:szCs w:val="30"/>
          <w:highlight w:val="none"/>
          <w:lang w:val="en-US" w:eastAsia="zh-CN"/>
        </w:rPr>
        <w:t>6.4</w:t>
      </w:r>
      <w:r>
        <w:rPr>
          <w:rFonts w:hint="eastAsia" w:ascii="仿宋_GB2312" w:hAnsi="仿宋" w:eastAsia="仿宋_GB2312"/>
          <w:sz w:val="30"/>
          <w:szCs w:val="30"/>
          <w:highlight w:val="none"/>
        </w:rPr>
        <w:t>商务标评审：公开唱标→商务条款相应确认→价格澄清→商务标评审，采用多轮商务谈判。评审期间产生的商务价格澄清均由投标人在重汽e采通平台内限时完成提交；</w:t>
      </w:r>
    </w:p>
    <w:p w14:paraId="23ECD6FB">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eastAsia="仿宋"/>
          <w:sz w:val="30"/>
        </w:rPr>
      </w:pPr>
      <w:r>
        <w:rPr>
          <w:rFonts w:ascii="宋体" w:hAnsi="宋体" w:eastAsia="仿宋" w:cs="宋体"/>
          <w:kern w:val="0"/>
          <w:sz w:val="30"/>
          <w:szCs w:val="24"/>
          <w:lang w:val="en-US" w:eastAsia="zh-CN" w:bidi="ar"/>
        </w:rPr>
        <w:t xml:space="preserve">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w:t>
      </w:r>
    </w:p>
    <w:p w14:paraId="13B9559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pPr>
      <w:r>
        <w:rPr>
          <w:rFonts w:ascii="宋体" w:hAnsi="宋体" w:eastAsia="仿宋" w:cs="宋体"/>
          <w:kern w:val="0"/>
          <w:sz w:val="30"/>
          <w:szCs w:val="24"/>
          <w:lang w:val="en-US" w:eastAsia="zh-CN" w:bidi="ar"/>
        </w:rPr>
        <w:t>注意：每一轮在重汽e采通提供澄清报价均有时间限制，未能在规定时间内提交澄清函及报价的视为放弃本次投标。</w:t>
      </w:r>
    </w:p>
    <w:p w14:paraId="1175F4EE">
      <w:pPr>
        <w:spacing w:line="500" w:lineRule="exact"/>
        <w:rPr>
          <w:rFonts w:hint="eastAsia" w:ascii="仿宋_GB2312" w:hAnsi="仿宋" w:eastAsia="仿宋_GB2312"/>
          <w:sz w:val="30"/>
          <w:szCs w:val="30"/>
          <w:highlight w:val="none"/>
          <w:lang w:eastAsia="zh-CN"/>
        </w:rPr>
      </w:pPr>
      <w:r>
        <w:rPr>
          <w:rFonts w:hint="eastAsia" w:ascii="仿宋_GB2312" w:hAnsi="仿宋" w:eastAsia="仿宋_GB2312"/>
          <w:sz w:val="30"/>
          <w:szCs w:val="30"/>
          <w:highlight w:val="none"/>
        </w:rPr>
        <w:t>注意：投标人均需自带笔记本电脑在重汽e采通平台自主进行投标和提交澄清函；投标和提交澄清函均有时间限制，超时未提交的按无效处理。</w:t>
      </w:r>
    </w:p>
    <w:p w14:paraId="2C58F3E1">
      <w:pPr>
        <w:pageBreakBefore w:val="0"/>
        <w:kinsoku/>
        <w:wordWrap/>
        <w:overflowPunct/>
        <w:topLinePunct w:val="0"/>
        <w:bidi w:val="0"/>
        <w:spacing w:line="520" w:lineRule="exact"/>
        <w:ind w:firstLine="600" w:firstLineChars="200"/>
        <w:textAlignment w:val="auto"/>
        <w:rPr>
          <w:rFonts w:ascii="仿宋_GB2312" w:hAnsi="仿宋" w:eastAsia="仿宋_GB2312"/>
          <w:sz w:val="30"/>
          <w:szCs w:val="30"/>
          <w:highlight w:val="none"/>
        </w:rPr>
      </w:pPr>
      <w:r>
        <w:rPr>
          <w:rFonts w:hint="eastAsia" w:ascii="仿宋_GB2312" w:hAnsi="仿宋" w:eastAsia="仿宋_GB2312"/>
          <w:sz w:val="30"/>
          <w:szCs w:val="30"/>
          <w:highlight w:val="none"/>
          <w:lang w:val="en-US" w:eastAsia="zh-CN"/>
        </w:rPr>
        <w:t>6.5</w:t>
      </w:r>
      <w:r>
        <w:rPr>
          <w:rFonts w:hint="eastAsia" w:ascii="仿宋_GB2312" w:hAnsi="仿宋" w:eastAsia="仿宋_GB2312"/>
          <w:sz w:val="30"/>
          <w:szCs w:val="30"/>
          <w:highlight w:val="none"/>
        </w:rPr>
        <w:t>中标人确定：</w:t>
      </w:r>
      <w:r>
        <w:rPr>
          <w:rFonts w:hint="eastAsia" w:ascii="黑体" w:hAnsi="黑体" w:eastAsia="黑体" w:cs="黑体"/>
          <w:b/>
          <w:bCs/>
          <w:sz w:val="30"/>
          <w:szCs w:val="30"/>
          <w:highlight w:val="none"/>
        </w:rPr>
        <w:t>技术标入围后，综合考虑技术标得分、商务标得分，加权最终得分推荐</w:t>
      </w:r>
      <w:r>
        <w:rPr>
          <w:rFonts w:hint="eastAsia" w:ascii="黑体" w:hAnsi="黑体" w:eastAsia="黑体" w:cs="黑体"/>
          <w:b/>
          <w:bCs/>
          <w:sz w:val="30"/>
          <w:szCs w:val="30"/>
          <w:highlight w:val="none"/>
          <w:lang w:val="en-US" w:eastAsia="zh-CN"/>
        </w:rPr>
        <w:t>中标候选人</w:t>
      </w:r>
      <w:r>
        <w:rPr>
          <w:rFonts w:hint="eastAsia" w:ascii="黑体" w:hAnsi="黑体" w:eastAsia="黑体" w:cs="黑体"/>
          <w:b/>
          <w:bCs/>
          <w:sz w:val="30"/>
          <w:szCs w:val="30"/>
          <w:highlight w:val="none"/>
        </w:rPr>
        <w:t>（最终得分=技术标得分*</w:t>
      </w:r>
      <w:r>
        <w:rPr>
          <w:rFonts w:hint="eastAsia" w:ascii="黑体" w:hAnsi="黑体" w:eastAsia="黑体" w:cs="黑体"/>
          <w:b/>
          <w:bCs/>
          <w:sz w:val="30"/>
          <w:szCs w:val="30"/>
          <w:highlight w:val="none"/>
          <w:lang w:val="en-US" w:eastAsia="zh-CN"/>
        </w:rPr>
        <w:t>40</w:t>
      </w:r>
      <w:r>
        <w:rPr>
          <w:rFonts w:hint="eastAsia" w:ascii="黑体" w:hAnsi="黑体" w:eastAsia="黑体" w:cs="黑体"/>
          <w:b/>
          <w:bCs/>
          <w:sz w:val="30"/>
          <w:szCs w:val="30"/>
          <w:highlight w:val="none"/>
        </w:rPr>
        <w:t>%+商务标得分*</w:t>
      </w:r>
      <w:r>
        <w:rPr>
          <w:rFonts w:hint="eastAsia" w:ascii="黑体" w:hAnsi="黑体" w:eastAsia="黑体" w:cs="黑体"/>
          <w:b/>
          <w:bCs/>
          <w:sz w:val="30"/>
          <w:szCs w:val="30"/>
          <w:highlight w:val="none"/>
          <w:lang w:val="en-US" w:eastAsia="zh-CN"/>
        </w:rPr>
        <w:t>60</w:t>
      </w:r>
      <w:r>
        <w:rPr>
          <w:rFonts w:hint="eastAsia" w:ascii="黑体" w:hAnsi="黑体" w:eastAsia="黑体" w:cs="黑体"/>
          <w:b/>
          <w:bCs/>
          <w:sz w:val="30"/>
          <w:szCs w:val="30"/>
          <w:highlight w:val="none"/>
        </w:rPr>
        <w:t>%，保留两位小数）。</w:t>
      </w:r>
      <w:r>
        <w:rPr>
          <w:rFonts w:hint="eastAsia" w:ascii="仿宋_GB2312" w:hAnsi="仿宋_GB2312" w:eastAsia="仿宋_GB2312" w:cs="仿宋_GB2312"/>
          <w:b w:val="0"/>
          <w:bCs w:val="0"/>
          <w:sz w:val="30"/>
          <w:szCs w:val="30"/>
          <w:highlight w:val="none"/>
          <w:lang w:val="en-US" w:eastAsia="zh-CN"/>
        </w:rPr>
        <w:t>本项目中标人为1个，</w:t>
      </w:r>
      <w:r>
        <w:rPr>
          <w:rFonts w:hint="eastAsia" w:ascii="仿宋_GB2312" w:hAnsi="仿宋" w:eastAsia="仿宋_GB2312"/>
          <w:sz w:val="30"/>
          <w:szCs w:val="30"/>
          <w:highlight w:val="none"/>
        </w:rPr>
        <w:t>中标人签订合同前须进行最终审查。最终审查的对象是投标项目的中标候选人。最终审查的内容是对中标候选人的经营状况、服务质量、资格、信誉以及招标人认为有必要了解的</w:t>
      </w:r>
      <w:r>
        <w:rPr>
          <w:rFonts w:hint="eastAsia" w:ascii="仿宋_GB2312" w:hAnsi="仿宋" w:eastAsia="仿宋_GB2312"/>
          <w:sz w:val="30"/>
          <w:szCs w:val="30"/>
          <w:highlight w:val="none"/>
          <w:lang w:val="en-US" w:eastAsia="zh-CN"/>
        </w:rPr>
        <w:t>其他</w:t>
      </w:r>
      <w:r>
        <w:rPr>
          <w:rFonts w:hint="eastAsia" w:ascii="仿宋_GB2312" w:hAnsi="仿宋" w:eastAsia="仿宋_GB2312"/>
          <w:sz w:val="30"/>
          <w:szCs w:val="30"/>
          <w:highlight w:val="none"/>
        </w:rPr>
        <w:t>问题</w:t>
      </w:r>
      <w:r>
        <w:rPr>
          <w:rFonts w:hint="eastAsia" w:ascii="仿宋_GB2312" w:hAnsi="仿宋" w:eastAsia="仿宋_GB2312"/>
          <w:sz w:val="30"/>
          <w:szCs w:val="30"/>
          <w:highlight w:val="none"/>
          <w:lang w:eastAsia="zh-CN"/>
        </w:rPr>
        <w:t>做</w:t>
      </w:r>
      <w:r>
        <w:rPr>
          <w:rFonts w:hint="eastAsia" w:ascii="仿宋_GB2312" w:hAnsi="仿宋" w:eastAsia="仿宋_GB2312"/>
          <w:sz w:val="30"/>
          <w:szCs w:val="30"/>
          <w:highlight w:val="none"/>
        </w:rPr>
        <w:t>进一步的</w:t>
      </w:r>
      <w:r>
        <w:rPr>
          <w:rFonts w:hint="eastAsia" w:ascii="仿宋_GB2312" w:hAnsi="仿宋" w:eastAsia="仿宋_GB2312"/>
          <w:sz w:val="30"/>
          <w:szCs w:val="30"/>
          <w:highlight w:val="none"/>
          <w:lang w:eastAsia="zh-CN"/>
        </w:rPr>
        <w:t>考察</w:t>
      </w:r>
      <w:r>
        <w:rPr>
          <w:rFonts w:hint="eastAsia" w:ascii="仿宋_GB2312" w:hAnsi="仿宋" w:eastAsia="仿宋_GB2312"/>
          <w:sz w:val="30"/>
          <w:szCs w:val="30"/>
          <w:highlight w:val="none"/>
        </w:rPr>
        <w:t>及后审。最终审查的方式，根据需要采取问询或实地查证等方式。如审查结果不符合成交条件的，则本次评标作废或变更意向中标人。</w:t>
      </w:r>
    </w:p>
    <w:p w14:paraId="627893D2">
      <w:pPr>
        <w:pStyle w:val="40"/>
        <w:spacing w:line="500" w:lineRule="exact"/>
        <w:ind w:firstLine="602"/>
        <w:outlineLvl w:val="1"/>
        <w:rPr>
          <w:rFonts w:hint="eastAsia" w:ascii="楷体_GB2312" w:hAnsi="楷体_GB2312" w:eastAsia="楷体_GB2312" w:cs="楷体_GB2312"/>
          <w:sz w:val="30"/>
          <w:szCs w:val="30"/>
          <w:highlight w:val="none"/>
          <w:lang w:val="en-US" w:eastAsia="zh-CN"/>
        </w:rPr>
      </w:pPr>
      <w:r>
        <w:rPr>
          <w:rFonts w:hint="eastAsia" w:ascii="楷体_GB2312" w:hAnsi="楷体_GB2312" w:eastAsia="楷体_GB2312" w:cs="楷体_GB2312"/>
          <w:sz w:val="30"/>
          <w:szCs w:val="30"/>
          <w:highlight w:val="none"/>
          <w:lang w:val="en-US" w:eastAsia="zh-CN"/>
        </w:rPr>
        <w:t>7.评标原则和评分标准</w:t>
      </w:r>
    </w:p>
    <w:p w14:paraId="5862403A">
      <w:pPr>
        <w:keepNext w:val="0"/>
        <w:keepLines w:val="0"/>
        <w:pageBreakBefore w:val="0"/>
        <w:widowControl w:val="0"/>
        <w:kinsoku/>
        <w:wordWrap/>
        <w:overflowPunct/>
        <w:topLinePunct w:val="0"/>
        <w:bidi w:val="0"/>
        <w:snapToGrid/>
        <w:spacing w:line="520" w:lineRule="exact"/>
        <w:ind w:firstLine="600" w:firstLineChars="200"/>
        <w:jc w:val="left"/>
        <w:textAlignment w:val="auto"/>
        <w:rPr>
          <w:rFonts w:hint="eastAsia"/>
          <w:highlight w:val="none"/>
        </w:rPr>
      </w:pPr>
      <w:r>
        <w:rPr>
          <w:rFonts w:hint="eastAsia" w:ascii="仿宋_GB2312" w:hAnsi="仿宋" w:eastAsia="仿宋_GB2312"/>
          <w:sz w:val="30"/>
          <w:szCs w:val="30"/>
          <w:highlight w:val="none"/>
          <w:lang w:val="en-US" w:eastAsia="zh-CN"/>
        </w:rPr>
        <w:t>7.1</w:t>
      </w:r>
      <w:r>
        <w:rPr>
          <w:rFonts w:hint="eastAsia" w:ascii="仿宋_GB2312" w:hAnsi="仿宋" w:eastAsia="仿宋_GB2312"/>
          <w:sz w:val="30"/>
          <w:szCs w:val="30"/>
          <w:highlight w:val="none"/>
        </w:rPr>
        <w:t>评标工作由招标人为该项目依法组织的、由3人及以上单数成员组成的评标工作小组负责。由评标工作小组按照国家招投标有关规定，本着公平、公正、公开、有序的原则，在最大限度地满足招标文件实质性要求的前提下，按照招标文件中规定的各项因素进行评审。</w:t>
      </w:r>
    </w:p>
    <w:p w14:paraId="002B8590">
      <w:pPr>
        <w:keepNext w:val="0"/>
        <w:keepLines w:val="0"/>
        <w:pageBreakBefore w:val="0"/>
        <w:widowControl w:val="0"/>
        <w:numPr>
          <w:ilvl w:val="0"/>
          <w:numId w:val="0"/>
        </w:numPr>
        <w:kinsoku/>
        <w:wordWrap/>
        <w:overflowPunct/>
        <w:topLinePunct w:val="0"/>
        <w:bidi w:val="0"/>
        <w:snapToGrid/>
        <w:spacing w:line="520" w:lineRule="exact"/>
        <w:ind w:firstLine="600" w:firstLineChars="200"/>
        <w:jc w:val="left"/>
        <w:textAlignment w:val="auto"/>
        <w:outlineLvl w:val="2"/>
        <w:rPr>
          <w:highlight w:val="none"/>
        </w:rPr>
      </w:pPr>
      <w:r>
        <w:rPr>
          <w:rFonts w:hint="eastAsia" w:ascii="仿宋_GB2312" w:hAnsi="仿宋" w:eastAsia="仿宋_GB2312" w:cs="Times New Roman"/>
          <w:sz w:val="30"/>
          <w:szCs w:val="30"/>
          <w:highlight w:val="none"/>
        </w:rPr>
        <w:t>（</w:t>
      </w:r>
      <w:r>
        <w:rPr>
          <w:rFonts w:hint="eastAsia" w:ascii="仿宋_GB2312" w:hAnsi="仿宋" w:eastAsia="仿宋_GB2312" w:cs="Times New Roman"/>
          <w:sz w:val="30"/>
          <w:szCs w:val="30"/>
          <w:highlight w:val="none"/>
          <w:lang w:val="en-US" w:eastAsia="zh-CN"/>
        </w:rPr>
        <w:t>1</w:t>
      </w:r>
      <w:r>
        <w:rPr>
          <w:rFonts w:hint="eastAsia" w:ascii="仿宋_GB2312" w:hAnsi="仿宋" w:eastAsia="仿宋_GB2312" w:cs="Times New Roman"/>
          <w:sz w:val="30"/>
          <w:szCs w:val="30"/>
          <w:highlight w:val="none"/>
        </w:rPr>
        <w:t>）</w:t>
      </w:r>
      <w:r>
        <w:rPr>
          <w:rFonts w:hint="eastAsia" w:ascii="仿宋_GB2312" w:hAnsi="仿宋" w:eastAsia="仿宋_GB2312"/>
          <w:sz w:val="30"/>
          <w:szCs w:val="30"/>
          <w:highlight w:val="none"/>
        </w:rPr>
        <w:t>技术标评分标准如下：</w:t>
      </w:r>
    </w:p>
    <w:tbl>
      <w:tblPr>
        <w:tblStyle w:val="20"/>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9"/>
        <w:gridCol w:w="1434"/>
        <w:gridCol w:w="5400"/>
        <w:gridCol w:w="971"/>
        <w:gridCol w:w="534"/>
      </w:tblGrid>
      <w:tr w14:paraId="381D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99" w:type="dxa"/>
            <w:vAlign w:val="center"/>
          </w:tcPr>
          <w:p w14:paraId="00706429">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项目</w:t>
            </w:r>
          </w:p>
        </w:tc>
        <w:tc>
          <w:tcPr>
            <w:tcW w:w="1434" w:type="dxa"/>
            <w:shd w:val="clear" w:color="auto" w:fill="auto"/>
            <w:vAlign w:val="center"/>
          </w:tcPr>
          <w:p w14:paraId="5B09D3D5">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细则</w:t>
            </w:r>
          </w:p>
        </w:tc>
        <w:tc>
          <w:tcPr>
            <w:tcW w:w="6371" w:type="dxa"/>
            <w:gridSpan w:val="2"/>
            <w:shd w:val="clear" w:color="auto" w:fill="auto"/>
            <w:vAlign w:val="center"/>
          </w:tcPr>
          <w:p w14:paraId="33B8A0F9">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技术标评分标准</w:t>
            </w:r>
          </w:p>
        </w:tc>
        <w:tc>
          <w:tcPr>
            <w:tcW w:w="534" w:type="dxa"/>
            <w:shd w:val="clear" w:color="auto" w:fill="auto"/>
            <w:vAlign w:val="center"/>
          </w:tcPr>
          <w:p w14:paraId="202657D6">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得分</w:t>
            </w:r>
          </w:p>
        </w:tc>
      </w:tr>
      <w:tr w14:paraId="1231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1299" w:type="dxa"/>
            <w:vMerge w:val="restart"/>
            <w:vAlign w:val="center"/>
          </w:tcPr>
          <w:p w14:paraId="0E439F30">
            <w:pPr>
              <w:widowControl/>
              <w:spacing w:line="30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技术标</w:t>
            </w:r>
          </w:p>
          <w:p w14:paraId="3010E50B">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highlight w:val="none"/>
              </w:rPr>
              <w:t>（100分）</w:t>
            </w:r>
          </w:p>
        </w:tc>
        <w:tc>
          <w:tcPr>
            <w:tcW w:w="1434" w:type="dxa"/>
            <w:shd w:val="clear" w:color="auto" w:fill="auto"/>
            <w:vAlign w:val="center"/>
          </w:tcPr>
          <w:p w14:paraId="229840F9">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投标方业绩</w:t>
            </w:r>
          </w:p>
          <w:p w14:paraId="63C488B2">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w:t>
            </w:r>
            <w:r>
              <w:rPr>
                <w:rFonts w:hint="eastAsia" w:ascii="仿宋_GB2312" w:hAnsi="仿宋_GB2312" w:eastAsia="仿宋_GB2312" w:cs="仿宋_GB2312"/>
                <w:szCs w:val="21"/>
                <w:highlight w:val="none"/>
                <w:lang w:val="en-US" w:eastAsia="zh-CN"/>
              </w:rPr>
              <w:t>3</w:t>
            </w:r>
            <w:r>
              <w:rPr>
                <w:rFonts w:hint="eastAsia" w:ascii="仿宋_GB2312" w:hAnsi="仿宋_GB2312" w:eastAsia="仿宋_GB2312" w:cs="仿宋_GB2312"/>
                <w:szCs w:val="21"/>
                <w:highlight w:val="none"/>
              </w:rPr>
              <w:t>0分）</w:t>
            </w:r>
          </w:p>
        </w:tc>
        <w:tc>
          <w:tcPr>
            <w:tcW w:w="5400" w:type="dxa"/>
            <w:shd w:val="clear" w:color="auto" w:fill="auto"/>
            <w:vAlign w:val="center"/>
          </w:tcPr>
          <w:p w14:paraId="7ACE1853">
            <w:pPr>
              <w:widowControl/>
              <w:numPr>
                <w:ilvl w:val="0"/>
                <w:numId w:val="0"/>
              </w:numPr>
              <w:spacing w:line="300" w:lineRule="exact"/>
              <w:jc w:val="left"/>
              <w:rPr>
                <w:rFonts w:hint="eastAsia" w:ascii="仿宋_GB2312" w:hAnsi="仿宋_GB2312" w:eastAsia="仿宋_GB2312" w:cs="仿宋_GB2312"/>
                <w:szCs w:val="21"/>
                <w:highlight w:val="none"/>
              </w:rPr>
            </w:pPr>
            <w:r>
              <w:rPr>
                <w:rFonts w:hint="eastAsia" w:ascii="仿宋_GB2312" w:hAnsi="仿宋_GB2312" w:eastAsia="仿宋_GB2312" w:cs="仿宋_GB2312"/>
                <w:kern w:val="2"/>
                <w:sz w:val="21"/>
                <w:szCs w:val="21"/>
                <w:highlight w:val="none"/>
                <w:lang w:val="en-US" w:eastAsia="zh-CN" w:bidi="ar-SA"/>
              </w:rPr>
              <w:t>1.</w:t>
            </w:r>
            <w:r>
              <w:rPr>
                <w:rFonts w:hint="eastAsia" w:ascii="仿宋_GB2312" w:hAnsi="仿宋_GB2312" w:eastAsia="仿宋_GB2312" w:cs="仿宋_GB2312"/>
                <w:szCs w:val="21"/>
                <w:highlight w:val="none"/>
              </w:rPr>
              <w:t>近</w:t>
            </w:r>
            <w:r>
              <w:rPr>
                <w:rFonts w:hint="eastAsia" w:ascii="仿宋_GB2312" w:hAnsi="仿宋_GB2312" w:eastAsia="仿宋_GB2312" w:cs="仿宋_GB2312"/>
                <w:szCs w:val="21"/>
                <w:highlight w:val="none"/>
                <w:lang w:val="en-US" w:eastAsia="zh-CN"/>
              </w:rPr>
              <w:t>3</w:t>
            </w:r>
            <w:r>
              <w:rPr>
                <w:rFonts w:hint="eastAsia" w:ascii="仿宋_GB2312" w:hAnsi="仿宋_GB2312" w:eastAsia="仿宋_GB2312" w:cs="仿宋_GB2312"/>
                <w:szCs w:val="21"/>
                <w:highlight w:val="none"/>
              </w:rPr>
              <w:t>年承接过</w:t>
            </w:r>
            <w:r>
              <w:rPr>
                <w:rFonts w:hint="eastAsia" w:ascii="仿宋_GB2312" w:hAnsi="仿宋_GB2312" w:eastAsia="仿宋_GB2312" w:cs="仿宋_GB2312"/>
                <w:szCs w:val="21"/>
                <w:highlight w:val="none"/>
                <w:lang w:val="en-US" w:eastAsia="zh-CN"/>
              </w:rPr>
              <w:t>100万以上的</w:t>
            </w:r>
            <w:r>
              <w:rPr>
                <w:rFonts w:hint="eastAsia" w:ascii="仿宋_GB2312" w:hAnsi="仿宋_GB2312" w:eastAsia="仿宋_GB2312" w:cs="仿宋_GB2312"/>
                <w:szCs w:val="21"/>
                <w:highlight w:val="none"/>
              </w:rPr>
              <w:t>大型企业运动会或大型体育赛事项目业绩。合作过一家得</w:t>
            </w:r>
            <w:r>
              <w:rPr>
                <w:rFonts w:hint="eastAsia" w:ascii="仿宋_GB2312" w:hAnsi="仿宋_GB2312" w:eastAsia="仿宋_GB2312" w:cs="仿宋_GB2312"/>
                <w:szCs w:val="21"/>
                <w:highlight w:val="none"/>
                <w:lang w:val="en-US" w:eastAsia="zh-CN"/>
              </w:rPr>
              <w:t>4</w:t>
            </w:r>
            <w:r>
              <w:rPr>
                <w:rFonts w:hint="eastAsia" w:ascii="仿宋_GB2312" w:hAnsi="仿宋_GB2312" w:eastAsia="仿宋_GB2312" w:cs="仿宋_GB2312"/>
                <w:szCs w:val="21"/>
                <w:highlight w:val="none"/>
              </w:rPr>
              <w:t>分，最高</w:t>
            </w:r>
            <w:r>
              <w:rPr>
                <w:rFonts w:hint="eastAsia" w:ascii="仿宋_GB2312" w:hAnsi="仿宋_GB2312" w:eastAsia="仿宋_GB2312" w:cs="仿宋_GB2312"/>
                <w:szCs w:val="21"/>
                <w:highlight w:val="none"/>
                <w:lang w:val="en-US" w:eastAsia="zh-CN"/>
              </w:rPr>
              <w:t>24</w:t>
            </w:r>
            <w:r>
              <w:rPr>
                <w:rFonts w:hint="eastAsia" w:ascii="仿宋_GB2312" w:hAnsi="仿宋_GB2312" w:eastAsia="仿宋_GB2312" w:cs="仿宋_GB2312"/>
                <w:szCs w:val="21"/>
                <w:highlight w:val="none"/>
              </w:rPr>
              <w:t>分。</w:t>
            </w:r>
          </w:p>
          <w:p w14:paraId="3E9F83A0">
            <w:pPr>
              <w:widowControl/>
              <w:numPr>
                <w:ilvl w:val="0"/>
                <w:numId w:val="0"/>
              </w:numPr>
              <w:spacing w:line="300" w:lineRule="exact"/>
              <w:jc w:val="left"/>
              <w:rPr>
                <w:rFonts w:hint="eastAsia" w:ascii="仿宋_GB2312" w:hAnsi="仿宋_GB2312" w:eastAsia="仿宋_GB2312" w:cs="仿宋_GB2312"/>
                <w:szCs w:val="21"/>
                <w:highlight w:val="none"/>
              </w:rPr>
            </w:pPr>
            <w:r>
              <w:rPr>
                <w:rFonts w:hint="eastAsia" w:ascii="仿宋_GB2312" w:hAnsi="仿宋_GB2312" w:eastAsia="仿宋_GB2312" w:cs="仿宋_GB2312"/>
                <w:kern w:val="2"/>
                <w:sz w:val="21"/>
                <w:szCs w:val="21"/>
                <w:highlight w:val="none"/>
                <w:lang w:val="en-US" w:eastAsia="zh-CN" w:bidi="ar-SA"/>
              </w:rPr>
              <w:t>2.</w:t>
            </w:r>
            <w:r>
              <w:rPr>
                <w:rFonts w:hint="eastAsia" w:ascii="仿宋_GB2312" w:hAnsi="仿宋_GB2312" w:eastAsia="仿宋_GB2312" w:cs="仿宋_GB2312"/>
                <w:szCs w:val="21"/>
                <w:highlight w:val="none"/>
              </w:rPr>
              <w:t>取得的相关</w:t>
            </w:r>
            <w:r>
              <w:rPr>
                <w:rFonts w:hint="eastAsia" w:ascii="仿宋_GB2312" w:hAnsi="仿宋_GB2312" w:eastAsia="仿宋_GB2312" w:cs="仿宋_GB2312"/>
                <w:szCs w:val="21"/>
                <w:highlight w:val="none"/>
                <w:lang w:val="en-US" w:eastAsia="zh-CN"/>
              </w:rPr>
              <w:t>省级、国家级</w:t>
            </w:r>
            <w:r>
              <w:rPr>
                <w:rFonts w:hint="eastAsia" w:ascii="仿宋_GB2312" w:hAnsi="仿宋_GB2312" w:eastAsia="仿宋_GB2312" w:cs="仿宋_GB2312"/>
                <w:szCs w:val="21"/>
                <w:highlight w:val="none"/>
              </w:rPr>
              <w:t>荣誉</w:t>
            </w:r>
            <w:r>
              <w:rPr>
                <w:rFonts w:hint="eastAsia" w:ascii="仿宋_GB2312" w:hAnsi="仿宋_GB2312" w:eastAsia="仿宋_GB2312" w:cs="仿宋_GB2312"/>
                <w:szCs w:val="21"/>
                <w:highlight w:val="none"/>
                <w:lang w:val="en-US" w:eastAsia="zh-CN"/>
              </w:rPr>
              <w:t>表彰及</w:t>
            </w:r>
            <w:r>
              <w:rPr>
                <w:rFonts w:hint="eastAsia" w:ascii="仿宋_GB2312" w:hAnsi="仿宋_GB2312" w:eastAsia="仿宋_GB2312" w:cs="仿宋_GB2312"/>
                <w:szCs w:val="21"/>
                <w:highlight w:val="none"/>
              </w:rPr>
              <w:t>认证证书</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lang w:val="en-US" w:eastAsia="zh-CN"/>
              </w:rPr>
              <w:t>每有一项得2分，最高</w:t>
            </w:r>
            <w:r>
              <w:rPr>
                <w:rFonts w:hint="eastAsia" w:ascii="仿宋_GB2312" w:hAnsi="仿宋_GB2312" w:eastAsia="仿宋_GB2312" w:cs="仿宋_GB2312"/>
                <w:szCs w:val="21"/>
                <w:highlight w:val="none"/>
              </w:rPr>
              <w:t>得</w:t>
            </w:r>
            <w:r>
              <w:rPr>
                <w:rFonts w:hint="eastAsia" w:ascii="仿宋_GB2312" w:hAnsi="仿宋_GB2312" w:eastAsia="仿宋_GB2312" w:cs="仿宋_GB2312"/>
                <w:szCs w:val="21"/>
                <w:highlight w:val="none"/>
                <w:lang w:val="en-US" w:eastAsia="zh-CN"/>
              </w:rPr>
              <w:t>6</w:t>
            </w:r>
            <w:r>
              <w:rPr>
                <w:rFonts w:hint="eastAsia" w:ascii="仿宋_GB2312" w:hAnsi="仿宋_GB2312" w:eastAsia="仿宋_GB2312" w:cs="仿宋_GB2312"/>
                <w:szCs w:val="21"/>
                <w:highlight w:val="none"/>
              </w:rPr>
              <w:t>分，</w:t>
            </w:r>
            <w:r>
              <w:rPr>
                <w:rFonts w:hint="eastAsia" w:ascii="仿宋_GB2312" w:hAnsi="仿宋_GB2312" w:eastAsia="仿宋_GB2312" w:cs="仿宋_GB2312"/>
                <w:szCs w:val="21"/>
                <w:highlight w:val="none"/>
                <w:lang w:val="en-US" w:eastAsia="zh-CN"/>
              </w:rPr>
              <w:t>没有不得</w:t>
            </w:r>
            <w:r>
              <w:rPr>
                <w:rFonts w:hint="eastAsia" w:ascii="仿宋_GB2312" w:hAnsi="仿宋_GB2312" w:eastAsia="仿宋_GB2312" w:cs="仿宋_GB2312"/>
                <w:szCs w:val="21"/>
                <w:highlight w:val="none"/>
              </w:rPr>
              <w:t>分。</w:t>
            </w:r>
          </w:p>
        </w:tc>
        <w:tc>
          <w:tcPr>
            <w:tcW w:w="971" w:type="dxa"/>
            <w:vMerge w:val="restart"/>
            <w:shd w:val="clear" w:color="auto" w:fill="auto"/>
            <w:vAlign w:val="center"/>
          </w:tcPr>
          <w:p w14:paraId="1BC1B4FB">
            <w:pPr>
              <w:widowControl/>
              <w:spacing w:line="300" w:lineRule="exact"/>
              <w:jc w:val="both"/>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现场讲标。围绕投标方业绩、</w:t>
            </w:r>
            <w:r>
              <w:rPr>
                <w:rFonts w:hint="eastAsia" w:ascii="仿宋_GB2312" w:hAnsi="仿宋_GB2312" w:eastAsia="仿宋_GB2312" w:cs="仿宋_GB2312"/>
                <w:szCs w:val="21"/>
                <w:highlight w:val="none"/>
                <w:lang w:val="en-US" w:eastAsia="zh-CN"/>
              </w:rPr>
              <w:t>设计</w:t>
            </w:r>
            <w:r>
              <w:rPr>
                <w:rFonts w:hint="eastAsia" w:ascii="仿宋_GB2312" w:hAnsi="仿宋_GB2312" w:eastAsia="仿宋_GB2312" w:cs="仿宋_GB2312"/>
                <w:szCs w:val="21"/>
                <w:highlight w:val="none"/>
              </w:rPr>
              <w:t>方案、服务承诺、投标方资质等方面阐述项目保障、计划、技术服务等。</w:t>
            </w:r>
          </w:p>
        </w:tc>
        <w:tc>
          <w:tcPr>
            <w:tcW w:w="534" w:type="dxa"/>
            <w:shd w:val="clear" w:color="auto" w:fill="auto"/>
            <w:vAlign w:val="center"/>
          </w:tcPr>
          <w:p w14:paraId="2D11B44D">
            <w:pPr>
              <w:widowControl/>
              <w:spacing w:line="300" w:lineRule="exact"/>
              <w:jc w:val="left"/>
              <w:rPr>
                <w:rFonts w:hint="eastAsia" w:ascii="仿宋_GB2312" w:hAnsi="仿宋_GB2312" w:eastAsia="仿宋_GB2312" w:cs="仿宋_GB2312"/>
                <w:szCs w:val="21"/>
                <w:highlight w:val="none"/>
              </w:rPr>
            </w:pPr>
          </w:p>
        </w:tc>
      </w:tr>
      <w:tr w14:paraId="6920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5" w:hRule="atLeast"/>
          <w:jc w:val="center"/>
        </w:trPr>
        <w:tc>
          <w:tcPr>
            <w:tcW w:w="1299" w:type="dxa"/>
            <w:vMerge w:val="continue"/>
          </w:tcPr>
          <w:p w14:paraId="31858783">
            <w:pPr>
              <w:widowControl/>
              <w:spacing w:line="300" w:lineRule="exact"/>
              <w:jc w:val="center"/>
              <w:rPr>
                <w:rFonts w:hint="eastAsia" w:ascii="仿宋_GB2312" w:hAnsi="仿宋_GB2312" w:eastAsia="仿宋_GB2312" w:cs="仿宋_GB2312"/>
                <w:szCs w:val="21"/>
                <w:highlight w:val="none"/>
              </w:rPr>
            </w:pPr>
          </w:p>
        </w:tc>
        <w:tc>
          <w:tcPr>
            <w:tcW w:w="1434" w:type="dxa"/>
            <w:shd w:val="clear" w:color="auto" w:fill="auto"/>
            <w:vAlign w:val="center"/>
          </w:tcPr>
          <w:p w14:paraId="6808F324">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val="en-US" w:eastAsia="zh-CN"/>
              </w:rPr>
              <w:t>整体</w:t>
            </w:r>
            <w:r>
              <w:rPr>
                <w:rFonts w:hint="eastAsia" w:ascii="仿宋_GB2312" w:hAnsi="仿宋_GB2312" w:eastAsia="仿宋_GB2312" w:cs="仿宋_GB2312"/>
                <w:szCs w:val="21"/>
                <w:highlight w:val="none"/>
              </w:rPr>
              <w:t>方案</w:t>
            </w:r>
          </w:p>
          <w:p w14:paraId="712D268E">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w:t>
            </w:r>
            <w:r>
              <w:rPr>
                <w:rFonts w:hint="eastAsia" w:ascii="仿宋_GB2312" w:hAnsi="仿宋_GB2312" w:eastAsia="仿宋_GB2312" w:cs="仿宋_GB2312"/>
                <w:szCs w:val="21"/>
                <w:highlight w:val="none"/>
                <w:lang w:val="en-US" w:eastAsia="zh-CN"/>
              </w:rPr>
              <w:t>7</w:t>
            </w:r>
            <w:r>
              <w:rPr>
                <w:rFonts w:hint="eastAsia" w:ascii="仿宋_GB2312" w:hAnsi="仿宋_GB2312" w:eastAsia="仿宋_GB2312" w:cs="仿宋_GB2312"/>
                <w:szCs w:val="21"/>
                <w:highlight w:val="none"/>
              </w:rPr>
              <w:t>0分）</w:t>
            </w:r>
          </w:p>
        </w:tc>
        <w:tc>
          <w:tcPr>
            <w:tcW w:w="5400" w:type="dxa"/>
            <w:shd w:val="clear" w:color="auto" w:fill="auto"/>
            <w:vAlign w:val="center"/>
          </w:tcPr>
          <w:p w14:paraId="307BC46F">
            <w:pPr>
              <w:widowControl/>
              <w:spacing w:line="300" w:lineRule="exact"/>
              <w:jc w:val="left"/>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b/>
                <w:bCs/>
                <w:szCs w:val="21"/>
                <w:highlight w:val="none"/>
                <w:lang w:val="en-US" w:eastAsia="zh-CN"/>
              </w:rPr>
              <w:t>1.方案设计</w:t>
            </w:r>
            <w:r>
              <w:rPr>
                <w:rFonts w:hint="eastAsia" w:ascii="仿宋_GB2312" w:hAnsi="仿宋_GB2312" w:eastAsia="仿宋_GB2312" w:cs="仿宋_GB2312"/>
                <w:szCs w:val="21"/>
                <w:highlight w:val="none"/>
                <w:lang w:val="en-US" w:eastAsia="zh-CN"/>
              </w:rPr>
              <w:t>：针对本次职工运动会的整体策划思路、开闭幕式创意、竞赛项目设置与赛程编排、内容适配性，贴合企业调性、氛围热烈昂扬、兼具竞技性与群众性。（完全符合得30分，符合得25分，基本符合得15分，不符合得5分）。</w:t>
            </w:r>
          </w:p>
          <w:p w14:paraId="194F8FB6">
            <w:pPr>
              <w:widowControl/>
              <w:spacing w:line="300" w:lineRule="exact"/>
              <w:jc w:val="left"/>
              <w:rPr>
                <w:rFonts w:hint="eastAsia" w:ascii="仿宋_GB2312" w:hAnsi="仿宋_GB2312" w:eastAsia="仿宋_GB2312" w:cs="仿宋_GB2312"/>
                <w:szCs w:val="21"/>
                <w:highlight w:val="none"/>
                <w:lang w:val="en-US" w:eastAsia="zh-CN"/>
              </w:rPr>
            </w:pPr>
            <w:r>
              <w:rPr>
                <w:rFonts w:hint="eastAsia" w:ascii="仿宋_GB2312" w:hAnsi="仿宋_GB2312" w:eastAsia="仿宋_GB2312" w:cs="仿宋_GB2312"/>
                <w:b/>
                <w:bCs/>
                <w:szCs w:val="21"/>
                <w:highlight w:val="none"/>
                <w:lang w:val="en-US" w:eastAsia="zh-CN"/>
              </w:rPr>
              <w:t>2.团队管理：</w:t>
            </w:r>
            <w:r>
              <w:rPr>
                <w:rFonts w:hint="eastAsia" w:ascii="仿宋_GB2312" w:hAnsi="仿宋_GB2312" w:eastAsia="仿宋_GB2312" w:cs="仿宋_GB2312"/>
                <w:szCs w:val="21"/>
                <w:highlight w:val="none"/>
                <w:lang w:val="en-US" w:eastAsia="zh-CN"/>
              </w:rPr>
              <w:t>针对本次运动会配置专项服务团队，管理架构清晰、裁判人员资质齐全、执行经验及应急保障能力强、保障体系完善。视情况得10-20分。</w:t>
            </w:r>
          </w:p>
          <w:p w14:paraId="606DB6C7">
            <w:pPr>
              <w:widowControl/>
              <w:spacing w:line="300" w:lineRule="exact"/>
              <w:jc w:val="left"/>
              <w:rPr>
                <w:rFonts w:hint="eastAsia" w:ascii="仿宋_GB2312" w:hAnsi="仿宋_GB2312" w:eastAsia="仿宋_GB2312" w:cs="仿宋_GB2312"/>
                <w:szCs w:val="21"/>
                <w:highlight w:val="none"/>
                <w:lang w:val="en-US" w:eastAsia="zh-CN"/>
              </w:rPr>
            </w:pPr>
            <w:r>
              <w:rPr>
                <w:rFonts w:hint="eastAsia" w:ascii="仿宋_GB2312" w:hAnsi="仿宋_GB2312" w:eastAsia="仿宋_GB2312" w:cs="仿宋_GB2312"/>
                <w:b/>
                <w:bCs/>
                <w:szCs w:val="21"/>
                <w:highlight w:val="none"/>
                <w:lang w:val="en-US" w:eastAsia="zh-CN"/>
              </w:rPr>
              <w:t>3.执行保障：</w:t>
            </w:r>
            <w:r>
              <w:rPr>
                <w:rFonts w:hint="eastAsia" w:ascii="仿宋_GB2312" w:hAnsi="仿宋_GB2312" w:eastAsia="仿宋_GB2312" w:cs="仿宋_GB2312"/>
                <w:szCs w:val="21"/>
                <w:highlight w:val="none"/>
                <w:lang w:val="en-US" w:eastAsia="zh-CN"/>
              </w:rPr>
              <w:t>运动会场地布置、竞赛器材保障、设备保障、人员服务、赛程把控、现场统筹、成绩统计与公告等落地执行能力，保障赛事现场有序、完美呈现。视情况得1-10分。</w:t>
            </w:r>
          </w:p>
          <w:p w14:paraId="67281494">
            <w:pPr>
              <w:widowControl/>
              <w:spacing w:line="300" w:lineRule="exact"/>
              <w:jc w:val="left"/>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lang w:val="en-US" w:eastAsia="zh-CN"/>
              </w:rPr>
              <w:t>4.应急预案与增值服务：</w:t>
            </w:r>
            <w:r>
              <w:rPr>
                <w:rFonts w:hint="eastAsia" w:ascii="仿宋_GB2312" w:hAnsi="仿宋_GB2312" w:eastAsia="仿宋_GB2312" w:cs="仿宋_GB2312"/>
                <w:szCs w:val="21"/>
                <w:highlight w:val="none"/>
                <w:lang w:val="en-US" w:eastAsia="zh-CN"/>
              </w:rPr>
              <w:t>综合考虑赛事期间运动损伤医疗应急、天气应急、设备故障应急、人员突发情况应急方案，以及专属增值服务、赛后影像资料交付等内容。视情况得1-10分。</w:t>
            </w:r>
          </w:p>
        </w:tc>
        <w:tc>
          <w:tcPr>
            <w:tcW w:w="971" w:type="dxa"/>
            <w:vMerge w:val="continue"/>
            <w:shd w:val="clear" w:color="auto" w:fill="auto"/>
            <w:vAlign w:val="center"/>
          </w:tcPr>
          <w:p w14:paraId="1A1E45D5">
            <w:pPr>
              <w:widowControl/>
              <w:spacing w:line="300" w:lineRule="exact"/>
              <w:jc w:val="left"/>
              <w:rPr>
                <w:rFonts w:hint="eastAsia" w:ascii="仿宋_GB2312" w:hAnsi="仿宋_GB2312" w:eastAsia="仿宋_GB2312" w:cs="仿宋_GB2312"/>
                <w:szCs w:val="21"/>
                <w:highlight w:val="none"/>
              </w:rPr>
            </w:pPr>
          </w:p>
        </w:tc>
        <w:tc>
          <w:tcPr>
            <w:tcW w:w="534" w:type="dxa"/>
            <w:shd w:val="clear" w:color="auto" w:fill="auto"/>
            <w:vAlign w:val="center"/>
          </w:tcPr>
          <w:p w14:paraId="24F63806">
            <w:pPr>
              <w:widowControl/>
              <w:spacing w:line="300" w:lineRule="exact"/>
              <w:jc w:val="left"/>
              <w:rPr>
                <w:rFonts w:hint="eastAsia" w:ascii="仿宋_GB2312" w:hAnsi="仿宋_GB2312" w:eastAsia="仿宋_GB2312" w:cs="仿宋_GB2312"/>
                <w:szCs w:val="21"/>
                <w:highlight w:val="none"/>
              </w:rPr>
            </w:pPr>
          </w:p>
        </w:tc>
      </w:tr>
    </w:tbl>
    <w:p w14:paraId="4FBB3432">
      <w:pPr>
        <w:pStyle w:val="10"/>
        <w:spacing w:line="500" w:lineRule="exact"/>
        <w:ind w:firstLine="600" w:firstLineChars="2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注1：投标人得分取所有评委对该投标人计分之和的算术平均值。</w:t>
      </w:r>
    </w:p>
    <w:p w14:paraId="6049803E">
      <w:pPr>
        <w:pStyle w:val="10"/>
        <w:spacing w:line="500" w:lineRule="exact"/>
        <w:ind w:firstLine="600" w:firstLineChars="200"/>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注2：最终得分小数点后保留2位有效数字。</w:t>
      </w:r>
    </w:p>
    <w:p w14:paraId="427789FA">
      <w:pPr>
        <w:pStyle w:val="10"/>
        <w:spacing w:line="500" w:lineRule="exact"/>
        <w:ind w:firstLine="600" w:firstLineChars="200"/>
        <w:outlineLvl w:val="2"/>
        <w:rPr>
          <w:rFonts w:ascii="仿宋_GB2312" w:hAnsi="仿宋" w:eastAsia="仿宋_GB2312" w:cs="Times New Roman"/>
          <w:sz w:val="30"/>
          <w:szCs w:val="30"/>
          <w:highlight w:val="none"/>
        </w:rPr>
      </w:pPr>
      <w:r>
        <w:rPr>
          <w:rFonts w:hint="eastAsia" w:ascii="仿宋_GB2312" w:hAnsi="仿宋" w:eastAsia="仿宋_GB2312" w:cs="Times New Roman"/>
          <w:sz w:val="30"/>
          <w:szCs w:val="30"/>
          <w:highlight w:val="none"/>
        </w:rPr>
        <w:t>（2）商务标评分标准</w:t>
      </w:r>
    </w:p>
    <w:tbl>
      <w:tblPr>
        <w:tblStyle w:val="20"/>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1104"/>
        <w:gridCol w:w="6815"/>
        <w:gridCol w:w="695"/>
      </w:tblGrid>
      <w:tr w14:paraId="16208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085" w:type="dxa"/>
            <w:vAlign w:val="center"/>
          </w:tcPr>
          <w:p w14:paraId="2D386199">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项目</w:t>
            </w:r>
          </w:p>
        </w:tc>
        <w:tc>
          <w:tcPr>
            <w:tcW w:w="1104" w:type="dxa"/>
            <w:shd w:val="clear" w:color="auto" w:fill="auto"/>
            <w:vAlign w:val="center"/>
          </w:tcPr>
          <w:p w14:paraId="2D4285A4">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细则</w:t>
            </w:r>
          </w:p>
        </w:tc>
        <w:tc>
          <w:tcPr>
            <w:tcW w:w="6815" w:type="dxa"/>
            <w:shd w:val="clear" w:color="auto" w:fill="auto"/>
            <w:vAlign w:val="center"/>
          </w:tcPr>
          <w:p w14:paraId="37A30089">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商务标评分标准</w:t>
            </w:r>
          </w:p>
        </w:tc>
        <w:tc>
          <w:tcPr>
            <w:tcW w:w="695" w:type="dxa"/>
            <w:shd w:val="clear" w:color="auto" w:fill="auto"/>
            <w:vAlign w:val="center"/>
          </w:tcPr>
          <w:p w14:paraId="7E1D6870">
            <w:pPr>
              <w:widowControl/>
              <w:spacing w:line="300" w:lineRule="exact"/>
              <w:jc w:val="center"/>
              <w:rPr>
                <w:rFonts w:hint="eastAsia" w:ascii="黑体" w:hAnsi="黑体" w:eastAsia="黑体" w:cs="黑体"/>
                <w:b/>
                <w:bCs/>
                <w:color w:val="000000"/>
                <w:kern w:val="0"/>
                <w:sz w:val="20"/>
                <w:highlight w:val="none"/>
                <w:lang w:bidi="ar"/>
              </w:rPr>
            </w:pPr>
            <w:r>
              <w:rPr>
                <w:rFonts w:hint="eastAsia" w:ascii="黑体" w:hAnsi="黑体" w:eastAsia="黑体" w:cs="黑体"/>
                <w:b/>
                <w:bCs/>
                <w:color w:val="000000"/>
                <w:kern w:val="0"/>
                <w:sz w:val="20"/>
                <w:highlight w:val="none"/>
                <w:lang w:bidi="ar"/>
              </w:rPr>
              <w:t>得分</w:t>
            </w:r>
          </w:p>
        </w:tc>
      </w:tr>
      <w:tr w14:paraId="47B2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1085" w:type="dxa"/>
            <w:vAlign w:val="center"/>
          </w:tcPr>
          <w:p w14:paraId="5EF50F00">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商务标</w:t>
            </w:r>
          </w:p>
          <w:p w14:paraId="52679951">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（100分）</w:t>
            </w:r>
          </w:p>
        </w:tc>
        <w:tc>
          <w:tcPr>
            <w:tcW w:w="1104" w:type="dxa"/>
            <w:shd w:val="clear" w:color="auto" w:fill="auto"/>
            <w:vAlign w:val="center"/>
          </w:tcPr>
          <w:p w14:paraId="413E1A42">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商务标</w:t>
            </w:r>
          </w:p>
          <w:p w14:paraId="74E1BF87">
            <w:pPr>
              <w:widowControl/>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val="en-US" w:eastAsia="zh-CN"/>
              </w:rPr>
              <w:t>报价</w:t>
            </w:r>
          </w:p>
        </w:tc>
        <w:tc>
          <w:tcPr>
            <w:tcW w:w="6815" w:type="dxa"/>
            <w:shd w:val="clear" w:color="auto" w:fill="auto"/>
            <w:vAlign w:val="center"/>
          </w:tcPr>
          <w:p w14:paraId="614A65F6">
            <w:pPr>
              <w:widowControl/>
              <w:spacing w:line="300" w:lineRule="exact"/>
              <w:jc w:val="left"/>
              <w:rPr>
                <w:rFonts w:hint="eastAsia" w:ascii="仿宋_GB2312" w:hAnsi="仿宋_GB2312" w:eastAsia="仿宋_GB2312" w:cs="仿宋_GB2312"/>
                <w:szCs w:val="21"/>
                <w:highlight w:val="none"/>
                <w:lang w:eastAsia="zh-CN"/>
              </w:rPr>
            </w:pPr>
            <w:r>
              <w:rPr>
                <w:rFonts w:hint="eastAsia" w:ascii="仿宋_GB2312" w:hAnsi="仿宋_GB2312" w:eastAsia="仿宋_GB2312" w:cs="仿宋_GB2312"/>
                <w:szCs w:val="21"/>
                <w:highlight w:val="none"/>
              </w:rPr>
              <w:t>各报价采用低价优先法计算，各方案以满足招标文件要求且报价最低的投标报价为评标基准价，其价格分为满分100分，其他供应商的价格分按照下列公式计算：投标报价得分=（评标基准价/投标报价）×100分。</w:t>
            </w:r>
          </w:p>
        </w:tc>
        <w:tc>
          <w:tcPr>
            <w:tcW w:w="695" w:type="dxa"/>
            <w:shd w:val="clear" w:color="auto" w:fill="auto"/>
            <w:vAlign w:val="center"/>
          </w:tcPr>
          <w:p w14:paraId="35581E98">
            <w:pPr>
              <w:widowControl/>
              <w:spacing w:line="300" w:lineRule="exact"/>
              <w:jc w:val="left"/>
              <w:rPr>
                <w:rFonts w:hint="eastAsia" w:ascii="仿宋_GB2312" w:hAnsi="仿宋_GB2312" w:eastAsia="仿宋_GB2312" w:cs="仿宋_GB2312"/>
                <w:szCs w:val="21"/>
                <w:highlight w:val="none"/>
              </w:rPr>
            </w:pPr>
          </w:p>
        </w:tc>
      </w:tr>
    </w:tbl>
    <w:p w14:paraId="1014C045">
      <w:pPr>
        <w:pStyle w:val="13"/>
        <w:rPr>
          <w:highlight w:val="none"/>
        </w:rPr>
      </w:pPr>
    </w:p>
    <w:p w14:paraId="4DB27520">
      <w:pPr>
        <w:spacing w:line="500" w:lineRule="exact"/>
        <w:ind w:firstLine="600" w:firstLineChars="200"/>
        <w:rPr>
          <w:rFonts w:ascii="仿宋_GB2312" w:hAnsi="仿宋" w:eastAsia="仿宋_GB2312"/>
          <w:color w:val="000000" w:themeColor="text1"/>
          <w:sz w:val="30"/>
          <w:szCs w:val="30"/>
          <w:highlight w:val="none"/>
          <w14:textFill>
            <w14:solidFill>
              <w14:schemeClr w14:val="tx1"/>
            </w14:solidFill>
          </w14:textFill>
        </w:rPr>
      </w:pPr>
      <w:r>
        <w:rPr>
          <w:rFonts w:hint="eastAsia" w:ascii="仿宋_GB2312" w:hAnsi="仿宋" w:eastAsia="仿宋_GB2312"/>
          <w:sz w:val="30"/>
          <w:szCs w:val="30"/>
          <w:highlight w:val="none"/>
          <w:lang w:val="en-US" w:eastAsia="zh-CN"/>
        </w:rPr>
        <w:t>7.2</w:t>
      </w:r>
      <w:r>
        <w:rPr>
          <w:rFonts w:hint="eastAsia" w:ascii="仿宋_GB2312" w:hAnsi="仿宋" w:eastAsia="仿宋_GB2312"/>
          <w:color w:val="000000" w:themeColor="text1"/>
          <w:sz w:val="30"/>
          <w:szCs w:val="30"/>
          <w:highlight w:val="none"/>
          <w14:textFill>
            <w14:solidFill>
              <w14:schemeClr w14:val="tx1"/>
            </w14:solidFill>
          </w14:textFill>
        </w:rPr>
        <w:t>投标文件资料不完整、投标人对招标文件的实质性要求未做出全面响应、有迹象表明投标人串通投标、中标后无正当理由在规定的时</w:t>
      </w:r>
      <w:r>
        <w:rPr>
          <w:rFonts w:hint="eastAsia" w:ascii="仿宋_GB2312" w:hAnsi="仿宋" w:eastAsia="仿宋_GB2312"/>
          <w:color w:val="000000" w:themeColor="text1"/>
          <w:sz w:val="30"/>
          <w:szCs w:val="30"/>
          <w:highlight w:val="none"/>
          <w:lang w:eastAsia="zh-CN"/>
          <w14:textFill>
            <w14:solidFill>
              <w14:schemeClr w14:val="tx1"/>
            </w14:solidFill>
          </w14:textFill>
        </w:rPr>
        <w:t>间内</w:t>
      </w:r>
      <w:r>
        <w:rPr>
          <w:rFonts w:hint="eastAsia" w:ascii="仿宋_GB2312" w:hAnsi="仿宋" w:eastAsia="仿宋_GB2312"/>
          <w:color w:val="000000" w:themeColor="text1"/>
          <w:sz w:val="30"/>
          <w:szCs w:val="30"/>
          <w:highlight w:val="none"/>
          <w14:textFill>
            <w14:solidFill>
              <w14:schemeClr w14:val="tx1"/>
            </w14:solidFill>
          </w14:textFill>
        </w:rPr>
        <w:t>不签订合同的、投标人提供的投标文件弄虚作假及其它违反法律、法规规定情形的，视为无效投标。</w:t>
      </w:r>
    </w:p>
    <w:p w14:paraId="29F05608">
      <w:pPr>
        <w:pStyle w:val="40"/>
        <w:spacing w:line="500" w:lineRule="exact"/>
        <w:ind w:firstLine="602"/>
        <w:outlineLvl w:val="1"/>
        <w:rPr>
          <w:rFonts w:hint="eastAsia" w:ascii="楷体_GB2312" w:hAnsi="楷体_GB2312" w:eastAsia="楷体_GB2312" w:cs="楷体_GB2312"/>
          <w:sz w:val="30"/>
          <w:szCs w:val="30"/>
          <w:highlight w:val="none"/>
          <w:lang w:val="en-US" w:eastAsia="zh-CN"/>
        </w:rPr>
      </w:pPr>
      <w:bookmarkStart w:id="8" w:name="_Toc30928"/>
      <w:bookmarkStart w:id="9" w:name="_Toc29804"/>
      <w:r>
        <w:rPr>
          <w:rFonts w:hint="eastAsia" w:ascii="楷体_GB2312" w:hAnsi="楷体_GB2312" w:eastAsia="楷体_GB2312" w:cs="楷体_GB2312"/>
          <w:sz w:val="30"/>
          <w:szCs w:val="30"/>
          <w:highlight w:val="none"/>
          <w:lang w:val="en-US" w:eastAsia="zh-CN"/>
        </w:rPr>
        <w:t>8.付款条件及付款方式</w:t>
      </w:r>
    </w:p>
    <w:p w14:paraId="7A32CEB1">
      <w:pPr>
        <w:autoSpaceDE w:val="0"/>
        <w:autoSpaceDN w:val="0"/>
        <w:adjustRightInd w:val="0"/>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lang w:val="en-US" w:eastAsia="zh-CN"/>
        </w:rPr>
        <w:t>8.1</w:t>
      </w:r>
      <w:r>
        <w:rPr>
          <w:rFonts w:hint="eastAsia" w:ascii="仿宋_GB2312" w:hAnsi="仿宋" w:eastAsia="仿宋_GB2312"/>
          <w:sz w:val="30"/>
          <w:szCs w:val="30"/>
          <w:highlight w:val="none"/>
        </w:rPr>
        <w:t>付款条件：签署合同后，经甲方对</w:t>
      </w:r>
      <w:r>
        <w:rPr>
          <w:rFonts w:hint="eastAsia" w:ascii="仿宋_GB2312" w:hAnsi="仿宋" w:eastAsia="仿宋_GB2312"/>
          <w:sz w:val="30"/>
          <w:szCs w:val="30"/>
          <w:highlight w:val="none"/>
          <w:lang w:val="en-US" w:eastAsia="zh-CN"/>
        </w:rPr>
        <w:t>项目</w:t>
      </w:r>
      <w:r>
        <w:rPr>
          <w:rFonts w:hint="eastAsia" w:ascii="仿宋_GB2312" w:hAnsi="仿宋" w:eastAsia="仿宋_GB2312"/>
          <w:sz w:val="30"/>
          <w:szCs w:val="30"/>
          <w:highlight w:val="none"/>
        </w:rPr>
        <w:t>完成情况进行确认后</w:t>
      </w:r>
      <w:r>
        <w:rPr>
          <w:rFonts w:hint="eastAsia" w:ascii="仿宋_GB2312" w:hAnsi="仿宋" w:eastAsia="仿宋_GB2312"/>
          <w:sz w:val="30"/>
          <w:szCs w:val="30"/>
          <w:highlight w:val="none"/>
          <w:lang w:val="en-US" w:eastAsia="zh-CN"/>
        </w:rPr>
        <w:t>进行</w:t>
      </w:r>
      <w:r>
        <w:rPr>
          <w:rFonts w:hint="eastAsia" w:ascii="仿宋_GB2312" w:hAnsi="仿宋" w:eastAsia="仿宋_GB2312"/>
          <w:sz w:val="30"/>
          <w:szCs w:val="30"/>
          <w:highlight w:val="none"/>
        </w:rPr>
        <w:t>结算。</w:t>
      </w:r>
    </w:p>
    <w:p w14:paraId="69BA6F55">
      <w:pPr>
        <w:keepNext w:val="0"/>
        <w:keepLines w:val="0"/>
        <w:pageBreakBefore w:val="0"/>
        <w:widowControl w:val="0"/>
        <w:kinsoku/>
        <w:wordWrap/>
        <w:overflowPunct/>
        <w:topLinePunct w:val="0"/>
        <w:autoSpaceDE/>
        <w:autoSpaceDN/>
        <w:bidi w:val="0"/>
        <w:adjustRightInd/>
        <w:snapToGrid/>
        <w:spacing w:beforeLines="0" w:afterLines="0" w:line="520" w:lineRule="exact"/>
        <w:ind w:firstLine="600" w:firstLineChars="200"/>
        <w:jc w:val="left"/>
        <w:textAlignment w:val="auto"/>
        <w:rPr>
          <w:rFonts w:hint="eastAsia" w:ascii="仿宋_GB2312" w:hAnsi="仿宋" w:eastAsia="仿宋_GB2312"/>
          <w:sz w:val="30"/>
          <w:szCs w:val="30"/>
          <w:highlight w:val="none"/>
          <w:lang w:val="en-US" w:eastAsia="zh-CN"/>
        </w:rPr>
      </w:pPr>
      <w:r>
        <w:rPr>
          <w:rFonts w:hint="eastAsia" w:ascii="仿宋_GB2312" w:hAnsi="仿宋" w:eastAsia="仿宋_GB2312"/>
          <w:sz w:val="30"/>
          <w:szCs w:val="30"/>
          <w:highlight w:val="none"/>
          <w:lang w:val="en-US" w:eastAsia="zh-CN"/>
        </w:rPr>
        <w:t>8.2</w:t>
      </w:r>
      <w:r>
        <w:rPr>
          <w:rFonts w:hint="eastAsia" w:ascii="仿宋_GB2312" w:hAnsi="仿宋" w:eastAsia="仿宋_GB2312"/>
          <w:sz w:val="30"/>
          <w:szCs w:val="30"/>
          <w:highlight w:val="none"/>
        </w:rPr>
        <w:t>付款方式：</w:t>
      </w:r>
      <w:r>
        <w:rPr>
          <w:rFonts w:hint="eastAsia" w:ascii="黑体" w:hAnsi="黑体" w:eastAsia="黑体" w:cs="黑体"/>
          <w:b/>
          <w:bCs/>
          <w:sz w:val="30"/>
          <w:szCs w:val="30"/>
          <w:highlight w:val="none"/>
          <w:lang w:val="en-US" w:eastAsia="zh-CN"/>
        </w:rPr>
        <w:t>银行转账，</w:t>
      </w:r>
      <w:r>
        <w:rPr>
          <w:rFonts w:hint="eastAsia" w:ascii="仿宋_GB2312" w:hAnsi="仿宋" w:eastAsia="仿宋_GB2312"/>
          <w:sz w:val="30"/>
          <w:szCs w:val="30"/>
          <w:highlight w:val="none"/>
          <w:lang w:val="en-US" w:eastAsia="zh-CN"/>
        </w:rPr>
        <w:t>职工运动会结束后，乙方提供增值税普通发票，经甲方确认无误后60日内通过银行转账方式结算。</w:t>
      </w:r>
    </w:p>
    <w:p w14:paraId="2584707E">
      <w:pPr>
        <w:pStyle w:val="2"/>
        <w:rPr>
          <w:rFonts w:hint="default"/>
          <w:sz w:val="30"/>
          <w:szCs w:val="30"/>
          <w:lang w:val="en-US" w:eastAsia="zh-CN"/>
        </w:rPr>
      </w:pPr>
      <w:r>
        <w:rPr>
          <w:rFonts w:hint="eastAsia" w:ascii="仿宋_GB2312" w:hAnsi="仿宋" w:eastAsia="仿宋_GB2312"/>
          <w:sz w:val="30"/>
          <w:szCs w:val="30"/>
          <w:highlight w:val="none"/>
          <w:lang w:val="en-US" w:eastAsia="zh-CN"/>
        </w:rPr>
        <w:t>注：付款方式不允许偏离</w:t>
      </w:r>
    </w:p>
    <w:bookmarkEnd w:id="8"/>
    <w:bookmarkEnd w:id="9"/>
    <w:p w14:paraId="5685DD02">
      <w:pPr>
        <w:spacing w:line="500" w:lineRule="exact"/>
        <w:ind w:firstLine="602" w:firstLineChars="200"/>
        <w:jc w:val="left"/>
        <w:outlineLvl w:val="0"/>
        <w:rPr>
          <w:rFonts w:ascii="黑体" w:hAnsi="黑体" w:eastAsia="黑体" w:cs="黑体"/>
          <w:b/>
          <w:bCs/>
          <w:sz w:val="30"/>
          <w:szCs w:val="30"/>
          <w:highlight w:val="none"/>
        </w:rPr>
      </w:pPr>
      <w:bookmarkStart w:id="10" w:name="_Toc22774"/>
      <w:bookmarkStart w:id="11" w:name="_Toc13247"/>
      <w:r>
        <w:rPr>
          <w:rFonts w:hint="eastAsia" w:ascii="黑体" w:hAnsi="黑体" w:eastAsia="黑体" w:cs="黑体"/>
          <w:b/>
          <w:bCs/>
          <w:sz w:val="30"/>
          <w:szCs w:val="30"/>
          <w:highlight w:val="none"/>
          <w:lang w:val="en-US" w:eastAsia="zh-CN"/>
        </w:rPr>
        <w:t>四</w:t>
      </w:r>
      <w:r>
        <w:rPr>
          <w:rFonts w:hint="eastAsia" w:ascii="黑体" w:hAnsi="黑体" w:eastAsia="黑体" w:cs="黑体"/>
          <w:b/>
          <w:bCs/>
          <w:sz w:val="30"/>
          <w:szCs w:val="30"/>
          <w:highlight w:val="none"/>
        </w:rPr>
        <w:t>、合同签订</w:t>
      </w:r>
      <w:bookmarkEnd w:id="10"/>
      <w:bookmarkEnd w:id="11"/>
    </w:p>
    <w:p w14:paraId="64D01F9C">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1.招标人根据评标工作小组的评标结果确定中标人，并书面通知中标人。</w:t>
      </w:r>
    </w:p>
    <w:p w14:paraId="2E73D028">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2.中标结果将在重汽e采通平台公布。</w:t>
      </w:r>
    </w:p>
    <w:p w14:paraId="1A733161">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中标人收到中标结果后，应及时与招标人联系，在规定的时间内完成合同签订，如果中标人接到《中标通知书》后，无不正当理由拒签合同、在签订合同时向招标人提出无理附加条件的，取消该投标人的中标资格，该投标人2年内不得参与招标人关于该类服务和培训的招投标项目。</w:t>
      </w:r>
    </w:p>
    <w:p w14:paraId="2F8D207A">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4.中标人应当按照合同约定的履约责任，在保证质量的前提下完成中标项目，不得将中标项目转包或分包给他人，否则视为违约，招标人有权解除合同。</w:t>
      </w:r>
    </w:p>
    <w:p w14:paraId="1D57BBC1">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5.在履行合同过程中，中标人由于履行义务的能力或信用有严重缺陷，招标人有权解除合同并取消其中标资格，招标人将从中标候选单位中依序重新确定中标人，或重新组织招标。</w:t>
      </w:r>
    </w:p>
    <w:p w14:paraId="75B2FE82">
      <w:pPr>
        <w:spacing w:line="500" w:lineRule="exact"/>
        <w:ind w:firstLine="600" w:firstLineChars="200"/>
        <w:jc w:val="lef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rPr>
        <w:t>6.双方的权利义务以最终签署的合同为准</w:t>
      </w:r>
      <w:r>
        <w:rPr>
          <w:rFonts w:hint="eastAsia" w:ascii="仿宋_GB2312" w:hAnsi="仿宋_GB2312" w:eastAsia="仿宋_GB2312" w:cs="仿宋_GB2312"/>
          <w:sz w:val="30"/>
          <w:szCs w:val="30"/>
          <w:highlight w:val="none"/>
          <w:lang w:eastAsia="zh-CN"/>
        </w:rPr>
        <w:t>。</w:t>
      </w:r>
    </w:p>
    <w:p w14:paraId="199677CE">
      <w:pPr>
        <w:pStyle w:val="10"/>
        <w:spacing w:line="500" w:lineRule="exact"/>
        <w:ind w:firstLine="602" w:firstLineChars="200"/>
        <w:outlineLvl w:val="0"/>
        <w:rPr>
          <w:rFonts w:ascii="黑体" w:hAnsi="黑体" w:eastAsia="黑体" w:cs="黑体"/>
          <w:b/>
          <w:bCs/>
          <w:sz w:val="30"/>
          <w:szCs w:val="30"/>
          <w:highlight w:val="none"/>
        </w:rPr>
      </w:pPr>
      <w:bookmarkStart w:id="12" w:name="_Toc28350"/>
      <w:bookmarkStart w:id="13" w:name="_Toc23973"/>
      <w:r>
        <w:rPr>
          <w:rFonts w:hint="eastAsia" w:ascii="黑体" w:hAnsi="黑体" w:eastAsia="黑体" w:cs="黑体"/>
          <w:b/>
          <w:bCs/>
          <w:sz w:val="30"/>
          <w:szCs w:val="30"/>
          <w:highlight w:val="none"/>
          <w:lang w:val="en-US" w:eastAsia="zh-CN"/>
        </w:rPr>
        <w:t>五</w:t>
      </w:r>
      <w:r>
        <w:rPr>
          <w:rFonts w:hint="eastAsia" w:ascii="黑体" w:hAnsi="黑体" w:eastAsia="黑体" w:cs="黑体"/>
          <w:b/>
          <w:bCs/>
          <w:sz w:val="30"/>
          <w:szCs w:val="30"/>
          <w:highlight w:val="none"/>
        </w:rPr>
        <w:t>、废标及终止招标</w:t>
      </w:r>
      <w:bookmarkEnd w:id="12"/>
      <w:bookmarkEnd w:id="13"/>
    </w:p>
    <w:p w14:paraId="5E7E1A79">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1.投标人有下列情形之一的，将被视为废标，招标人将按照有关法律法规行使权力。投标人给招标人造成损失的，招标人有索赔的</w:t>
      </w:r>
      <w:r>
        <w:rPr>
          <w:rFonts w:hint="eastAsia" w:ascii="仿宋_GB2312" w:hAnsi="仿宋_GB2312" w:eastAsia="仿宋_GB2312" w:cs="仿宋_GB2312"/>
          <w:sz w:val="30"/>
          <w:szCs w:val="30"/>
          <w:highlight w:val="none"/>
          <w:lang w:eastAsia="zh-CN"/>
        </w:rPr>
        <w:t>权利</w:t>
      </w:r>
      <w:r>
        <w:rPr>
          <w:rFonts w:hint="eastAsia" w:ascii="仿宋_GB2312" w:hAnsi="仿宋_GB2312" w:eastAsia="仿宋_GB2312" w:cs="仿宋_GB2312"/>
          <w:sz w:val="30"/>
          <w:szCs w:val="30"/>
          <w:highlight w:val="none"/>
        </w:rPr>
        <w:t>，投标人应给予赔偿。</w:t>
      </w:r>
    </w:p>
    <w:p w14:paraId="39C298BF">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（1）投标人提供的有关资格、资质证明文件不全、不真实；</w:t>
      </w:r>
    </w:p>
    <w:p w14:paraId="62F71D82">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（2）投标人在报价有效期内撤回投标；</w:t>
      </w:r>
    </w:p>
    <w:p w14:paraId="58795100">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（3）在评标过程中，投标人有企图影响评标结果公正性的任何项目；</w:t>
      </w:r>
    </w:p>
    <w:p w14:paraId="48DACF03">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（4）投标人以任何形式诋毁他人投标；</w:t>
      </w:r>
    </w:p>
    <w:p w14:paraId="717DFD83">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（5）以他人名义投标或以任何方式骗取中标；</w:t>
      </w:r>
    </w:p>
    <w:p w14:paraId="475E673C">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（6）投标人对招标文件做出实质性变更</w:t>
      </w:r>
      <w:bookmarkStart w:id="14" w:name="_Hlk105656847"/>
      <w:r>
        <w:rPr>
          <w:rFonts w:hint="eastAsia" w:ascii="仿宋_GB2312" w:hAnsi="仿宋_GB2312" w:eastAsia="仿宋_GB2312" w:cs="仿宋_GB2312"/>
          <w:sz w:val="30"/>
          <w:szCs w:val="30"/>
          <w:highlight w:val="none"/>
        </w:rPr>
        <w:t>；</w:t>
      </w:r>
      <w:bookmarkEnd w:id="14"/>
    </w:p>
    <w:p w14:paraId="57AF43EA">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（7）投标人被举报、检举，并经招标方查实无误的；</w:t>
      </w:r>
    </w:p>
    <w:p w14:paraId="055F4700">
      <w:pPr>
        <w:spacing w:line="500" w:lineRule="exact"/>
        <w:ind w:firstLine="600" w:firstLineChars="200"/>
        <w:jc w:val="lef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rPr>
        <w:t>（8）投标单位负责人为同一人或存在管理关系的</w:t>
      </w:r>
      <w:r>
        <w:rPr>
          <w:rFonts w:hint="eastAsia" w:ascii="仿宋_GB2312" w:hAnsi="仿宋_GB2312" w:eastAsia="仿宋_GB2312" w:cs="仿宋_GB2312"/>
          <w:sz w:val="30"/>
          <w:szCs w:val="30"/>
          <w:highlight w:val="none"/>
          <w:lang w:eastAsia="zh-CN"/>
        </w:rPr>
        <w:t>；</w:t>
      </w:r>
    </w:p>
    <w:p w14:paraId="6F7D57AD">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（9）法律、法规规定的其他情况。</w:t>
      </w:r>
    </w:p>
    <w:p w14:paraId="10C8DAA3">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2.出现下列情形，招标人有权否决投标人的投标，并终止招标。</w:t>
      </w:r>
    </w:p>
    <w:p w14:paraId="430A6239">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（1）出现影响评审公正性的违法、违规行为；</w:t>
      </w:r>
    </w:p>
    <w:p w14:paraId="02669D02">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（2）因重大变故，本项目取消；</w:t>
      </w:r>
    </w:p>
    <w:p w14:paraId="780BF980">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（3）符合投标条件的投标方或者对招标文件做实质响应的投标方不足3家的；</w:t>
      </w:r>
    </w:p>
    <w:p w14:paraId="1AEDCDAD">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（4）不同投标人的投标文件异常一致或者投标报价呈规律性差异的；</w:t>
      </w:r>
    </w:p>
    <w:p w14:paraId="4F218B72">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（5）投标人报价均超过投标限价的；</w:t>
      </w:r>
    </w:p>
    <w:p w14:paraId="1115EF6D">
      <w:pPr>
        <w:spacing w:line="500" w:lineRule="exact"/>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（6）招标人认为其他应终止招标的情形。</w:t>
      </w:r>
    </w:p>
    <w:p w14:paraId="048E5974">
      <w:pPr>
        <w:pStyle w:val="10"/>
        <w:spacing w:line="500" w:lineRule="exact"/>
        <w:ind w:firstLine="602" w:firstLineChars="200"/>
        <w:outlineLvl w:val="0"/>
        <w:rPr>
          <w:rFonts w:ascii="黑体" w:hAnsi="黑体" w:eastAsia="黑体" w:cs="黑体"/>
          <w:b/>
          <w:bCs/>
          <w:sz w:val="30"/>
          <w:szCs w:val="30"/>
          <w:highlight w:val="none"/>
        </w:rPr>
      </w:pPr>
      <w:bookmarkStart w:id="15" w:name="_Toc24329"/>
      <w:bookmarkStart w:id="16" w:name="_Toc8621"/>
      <w:r>
        <w:rPr>
          <w:rFonts w:hint="eastAsia" w:ascii="黑体" w:hAnsi="黑体" w:eastAsia="黑体" w:cs="黑体"/>
          <w:b/>
          <w:bCs/>
          <w:sz w:val="30"/>
          <w:szCs w:val="30"/>
          <w:highlight w:val="none"/>
          <w:lang w:val="en-US" w:eastAsia="zh-CN"/>
        </w:rPr>
        <w:t>六</w:t>
      </w:r>
      <w:r>
        <w:rPr>
          <w:rFonts w:hint="eastAsia" w:ascii="黑体" w:hAnsi="黑体" w:eastAsia="黑体" w:cs="黑体"/>
          <w:b/>
          <w:bCs/>
          <w:sz w:val="30"/>
          <w:szCs w:val="30"/>
          <w:highlight w:val="none"/>
        </w:rPr>
        <w:t>、中标人瑕疵滞后发现的处理原则</w:t>
      </w:r>
      <w:bookmarkEnd w:id="15"/>
      <w:bookmarkEnd w:id="16"/>
    </w:p>
    <w:p w14:paraId="186939FF">
      <w:pPr>
        <w:spacing w:line="500" w:lineRule="exact"/>
        <w:ind w:firstLine="600" w:firstLineChars="200"/>
        <w:jc w:val="left"/>
        <w:rPr>
          <w:rFonts w:hint="eastAsia" w:ascii="仿宋_GB2312" w:hAnsi="仿宋" w:eastAsia="仿宋_GB2312"/>
          <w:sz w:val="30"/>
          <w:szCs w:val="30"/>
          <w:highlight w:val="none"/>
        </w:rPr>
      </w:pPr>
      <w:r>
        <w:rPr>
          <w:rFonts w:hint="eastAsia" w:ascii="仿宋_GB2312" w:hAnsi="仿宋" w:eastAsia="仿宋_GB2312"/>
          <w:sz w:val="30"/>
          <w:szCs w:val="30"/>
          <w:highlight w:val="none"/>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85D74A9">
      <w:pPr>
        <w:pStyle w:val="10"/>
        <w:spacing w:line="500" w:lineRule="exact"/>
        <w:ind w:firstLine="602" w:firstLineChars="200"/>
        <w:outlineLvl w:val="0"/>
        <w:rPr>
          <w:rFonts w:ascii="黑体" w:hAnsi="黑体" w:eastAsia="黑体" w:cs="黑体"/>
          <w:b/>
          <w:bCs/>
          <w:sz w:val="30"/>
          <w:szCs w:val="30"/>
          <w:highlight w:val="none"/>
        </w:rPr>
      </w:pPr>
      <w:bookmarkStart w:id="17" w:name="_Toc10048"/>
      <w:bookmarkStart w:id="18" w:name="_Toc31113"/>
      <w:r>
        <w:rPr>
          <w:rFonts w:hint="eastAsia" w:ascii="黑体" w:hAnsi="黑体" w:eastAsia="黑体" w:cs="黑体"/>
          <w:b/>
          <w:bCs/>
          <w:sz w:val="30"/>
          <w:szCs w:val="30"/>
          <w:highlight w:val="none"/>
          <w:lang w:val="en-US" w:eastAsia="zh-CN"/>
        </w:rPr>
        <w:t>七</w:t>
      </w:r>
      <w:r>
        <w:rPr>
          <w:rFonts w:hint="eastAsia" w:ascii="黑体" w:hAnsi="黑体" w:eastAsia="黑体" w:cs="黑体"/>
          <w:b/>
          <w:bCs/>
          <w:sz w:val="30"/>
          <w:szCs w:val="30"/>
          <w:highlight w:val="none"/>
        </w:rPr>
        <w:t>、投标文件格式</w:t>
      </w:r>
      <w:bookmarkEnd w:id="17"/>
      <w:bookmarkEnd w:id="18"/>
    </w:p>
    <w:p w14:paraId="20ECE6AB">
      <w:pPr>
        <w:spacing w:line="500" w:lineRule="exact"/>
        <w:ind w:firstLine="600" w:firstLineChars="200"/>
        <w:jc w:val="left"/>
        <w:rPr>
          <w:rFonts w:ascii="仿宋_GB2312" w:hAnsi="仿宋" w:eastAsia="仿宋_GB2312"/>
          <w:sz w:val="30"/>
          <w:szCs w:val="30"/>
          <w:highlight w:val="none"/>
        </w:rPr>
      </w:pPr>
      <w:r>
        <w:rPr>
          <w:rFonts w:hint="eastAsia" w:ascii="仿宋_GB2312" w:hAnsi="仿宋" w:eastAsia="仿宋_GB2312"/>
          <w:sz w:val="30"/>
          <w:szCs w:val="30"/>
          <w:highlight w:val="none"/>
        </w:rPr>
        <w:t>详见附件。</w:t>
      </w:r>
    </w:p>
    <w:p w14:paraId="24B2476C">
      <w:pPr>
        <w:pStyle w:val="10"/>
        <w:spacing w:line="500" w:lineRule="exact"/>
        <w:ind w:firstLine="602" w:firstLineChars="200"/>
        <w:outlineLvl w:val="0"/>
        <w:rPr>
          <w:rFonts w:ascii="黑体" w:hAnsi="黑体" w:eastAsia="黑体" w:cs="黑体"/>
          <w:b/>
          <w:bCs/>
          <w:sz w:val="30"/>
          <w:szCs w:val="30"/>
          <w:highlight w:val="none"/>
        </w:rPr>
      </w:pPr>
      <w:bookmarkStart w:id="19" w:name="_Toc14896"/>
      <w:bookmarkStart w:id="20" w:name="_Toc2515"/>
      <w:r>
        <w:rPr>
          <w:rFonts w:hint="eastAsia" w:ascii="黑体" w:hAnsi="黑体" w:eastAsia="黑体" w:cs="黑体"/>
          <w:b/>
          <w:bCs/>
          <w:sz w:val="30"/>
          <w:szCs w:val="30"/>
          <w:highlight w:val="none"/>
          <w:lang w:val="en-US" w:eastAsia="zh-CN"/>
        </w:rPr>
        <w:t>八</w:t>
      </w:r>
      <w:r>
        <w:rPr>
          <w:rFonts w:hint="eastAsia" w:ascii="黑体" w:hAnsi="黑体" w:eastAsia="黑体" w:cs="黑体"/>
          <w:b/>
          <w:bCs/>
          <w:sz w:val="30"/>
          <w:szCs w:val="30"/>
          <w:highlight w:val="none"/>
        </w:rPr>
        <w:t>、技术协议书</w:t>
      </w:r>
      <w:bookmarkEnd w:id="19"/>
      <w:bookmarkEnd w:id="20"/>
    </w:p>
    <w:p w14:paraId="6A002A74">
      <w:pPr>
        <w:spacing w:line="500" w:lineRule="exact"/>
        <w:ind w:firstLine="600" w:firstLineChars="200"/>
        <w:jc w:val="left"/>
        <w:rPr>
          <w:rFonts w:hint="eastAsia" w:ascii="仿宋_GB2312" w:hAnsi="仿宋" w:eastAsia="仿宋_GB2312"/>
          <w:sz w:val="30"/>
          <w:szCs w:val="30"/>
          <w:highlight w:val="none"/>
        </w:rPr>
      </w:pPr>
      <w:r>
        <w:rPr>
          <w:rFonts w:hint="eastAsia" w:ascii="仿宋_GB2312" w:hAnsi="仿宋" w:eastAsia="仿宋_GB2312"/>
          <w:sz w:val="30"/>
          <w:szCs w:val="30"/>
          <w:highlight w:val="none"/>
        </w:rPr>
        <w:t>附后，以最后签订版本为准。</w:t>
      </w:r>
    </w:p>
    <w:p w14:paraId="09F471C8">
      <w:pPr>
        <w:pStyle w:val="2"/>
      </w:pPr>
    </w:p>
    <w:p w14:paraId="11B3F5FC">
      <w:pPr>
        <w:pStyle w:val="10"/>
        <w:spacing w:line="500" w:lineRule="exact"/>
        <w:ind w:firstLine="602" w:firstLineChars="200"/>
        <w:outlineLvl w:val="0"/>
        <w:rPr>
          <w:rFonts w:ascii="黑体" w:hAnsi="黑体" w:eastAsia="黑体" w:cs="黑体"/>
          <w:b/>
          <w:bCs/>
          <w:sz w:val="30"/>
          <w:szCs w:val="30"/>
          <w:highlight w:val="none"/>
        </w:rPr>
      </w:pPr>
      <w:bookmarkStart w:id="21" w:name="_Toc23780"/>
      <w:bookmarkStart w:id="22" w:name="_Toc17203"/>
      <w:r>
        <w:rPr>
          <w:rFonts w:hint="eastAsia" w:ascii="黑体" w:hAnsi="黑体" w:eastAsia="黑体" w:cs="黑体"/>
          <w:b/>
          <w:bCs/>
          <w:sz w:val="30"/>
          <w:szCs w:val="30"/>
          <w:highlight w:val="none"/>
          <w:lang w:val="en-US" w:eastAsia="zh-CN"/>
        </w:rPr>
        <w:t>九</w:t>
      </w:r>
      <w:r>
        <w:rPr>
          <w:rFonts w:hint="eastAsia" w:ascii="黑体" w:hAnsi="黑体" w:eastAsia="黑体" w:cs="黑体"/>
          <w:b/>
          <w:bCs/>
          <w:sz w:val="30"/>
          <w:szCs w:val="30"/>
          <w:highlight w:val="none"/>
        </w:rPr>
        <w:t>、本次招标最终解释权归中国重型汽车集团有限公司工会委员会。</w:t>
      </w:r>
      <w:bookmarkEnd w:id="21"/>
      <w:bookmarkEnd w:id="22"/>
    </w:p>
    <w:p w14:paraId="78DEF406">
      <w:pPr>
        <w:pStyle w:val="13"/>
        <w:spacing w:line="500" w:lineRule="exact"/>
        <w:rPr>
          <w:sz w:val="30"/>
          <w:szCs w:val="30"/>
          <w:highlight w:val="none"/>
        </w:rPr>
      </w:pPr>
    </w:p>
    <w:p w14:paraId="6C9D142F">
      <w:pPr>
        <w:pStyle w:val="13"/>
        <w:spacing w:line="500" w:lineRule="exact"/>
        <w:rPr>
          <w:sz w:val="30"/>
          <w:szCs w:val="30"/>
          <w:highlight w:val="none"/>
        </w:rPr>
      </w:pPr>
    </w:p>
    <w:p w14:paraId="4588C3C0">
      <w:pPr>
        <w:pStyle w:val="13"/>
        <w:spacing w:line="500" w:lineRule="exact"/>
        <w:rPr>
          <w:sz w:val="30"/>
          <w:szCs w:val="30"/>
          <w:highlight w:val="none"/>
        </w:rPr>
      </w:pPr>
    </w:p>
    <w:p w14:paraId="44863750">
      <w:pPr>
        <w:spacing w:line="500" w:lineRule="exact"/>
        <w:ind w:firstLine="600" w:firstLineChars="200"/>
        <w:jc w:val="center"/>
        <w:rPr>
          <w:rFonts w:hint="eastAsia" w:ascii="仿宋_GB2312" w:hAnsi="仿宋" w:eastAsia="仿宋_GB2312"/>
          <w:sz w:val="30"/>
          <w:szCs w:val="30"/>
          <w:highlight w:val="none"/>
        </w:rPr>
      </w:pPr>
      <w:r>
        <w:rPr>
          <w:rFonts w:hint="eastAsia" w:ascii="仿宋_GB2312" w:hAnsi="仿宋" w:eastAsia="仿宋_GB2312"/>
          <w:sz w:val="30"/>
          <w:szCs w:val="30"/>
          <w:highlight w:val="none"/>
          <w:lang w:val="en-US" w:eastAsia="zh-CN"/>
        </w:rPr>
        <w:t>中国重型汽车集团有限公司工会委员会</w:t>
      </w:r>
    </w:p>
    <w:p w14:paraId="7B11FFC2">
      <w:pPr>
        <w:spacing w:line="500" w:lineRule="exact"/>
        <w:ind w:firstLine="600" w:firstLineChars="200"/>
        <w:jc w:val="center"/>
        <w:rPr>
          <w:rFonts w:hint="eastAsia" w:ascii="仿宋_GB2312" w:hAnsi="仿宋" w:eastAsia="仿宋_GB2312"/>
          <w:sz w:val="30"/>
          <w:szCs w:val="30"/>
          <w:highlight w:val="none"/>
        </w:rPr>
      </w:pPr>
      <w:r>
        <w:rPr>
          <w:rFonts w:hint="eastAsia" w:ascii="仿宋_GB2312" w:hAnsi="仿宋" w:eastAsia="仿宋_GB2312"/>
          <w:sz w:val="30"/>
          <w:szCs w:val="30"/>
          <w:highlight w:val="none"/>
        </w:rPr>
        <w:t>202</w:t>
      </w:r>
      <w:r>
        <w:rPr>
          <w:rFonts w:hint="eastAsia" w:ascii="仿宋_GB2312" w:hAnsi="仿宋" w:eastAsia="仿宋_GB2312"/>
          <w:sz w:val="30"/>
          <w:szCs w:val="30"/>
          <w:highlight w:val="none"/>
          <w:lang w:val="en-US" w:eastAsia="zh-CN"/>
        </w:rPr>
        <w:t>6</w:t>
      </w:r>
      <w:r>
        <w:rPr>
          <w:rFonts w:hint="eastAsia" w:ascii="仿宋_GB2312" w:hAnsi="仿宋" w:eastAsia="仿宋_GB2312"/>
          <w:sz w:val="30"/>
          <w:szCs w:val="30"/>
          <w:highlight w:val="none"/>
        </w:rPr>
        <w:t>年</w:t>
      </w:r>
      <w:r>
        <w:rPr>
          <w:rFonts w:hint="eastAsia" w:ascii="仿宋_GB2312" w:hAnsi="仿宋" w:eastAsia="仿宋_GB2312"/>
          <w:sz w:val="30"/>
          <w:szCs w:val="30"/>
          <w:highlight w:val="none"/>
          <w:lang w:val="en-US" w:eastAsia="zh-CN"/>
        </w:rPr>
        <w:t>8</w:t>
      </w:r>
      <w:r>
        <w:rPr>
          <w:rFonts w:hint="eastAsia" w:ascii="仿宋_GB2312" w:hAnsi="仿宋" w:eastAsia="仿宋_GB2312"/>
          <w:sz w:val="30"/>
          <w:szCs w:val="30"/>
          <w:highlight w:val="none"/>
        </w:rPr>
        <w:t>月</w:t>
      </w:r>
    </w:p>
    <w:p w14:paraId="6A2C7928">
      <w:pPr>
        <w:spacing w:line="500" w:lineRule="exact"/>
        <w:ind w:firstLine="600" w:firstLineChars="200"/>
        <w:jc w:val="left"/>
        <w:rPr>
          <w:rFonts w:hint="eastAsia" w:ascii="仿宋_GB2312" w:hAnsi="仿宋" w:eastAsia="仿宋_GB2312"/>
          <w:sz w:val="30"/>
          <w:szCs w:val="30"/>
          <w:highlight w:val="none"/>
        </w:rPr>
      </w:pPr>
      <w:r>
        <w:rPr>
          <w:rFonts w:hint="eastAsia" w:ascii="仿宋_GB2312" w:hAnsi="仿宋" w:eastAsia="仿宋_GB2312"/>
          <w:sz w:val="30"/>
          <w:szCs w:val="30"/>
          <w:highlight w:val="none"/>
        </w:rPr>
        <w:br w:type="page"/>
      </w:r>
    </w:p>
    <w:p w14:paraId="4868C998">
      <w:pPr>
        <w:rPr>
          <w:rFonts w:hint="eastAsia" w:ascii="黑体" w:hAnsi="黑体" w:eastAsia="黑体" w:cs="黑体"/>
          <w:sz w:val="24"/>
          <w:szCs w:val="24"/>
          <w:highlight w:val="none"/>
        </w:rPr>
      </w:pPr>
      <w:bookmarkStart w:id="23" w:name="_Toc13641"/>
      <w:r>
        <w:rPr>
          <w:rFonts w:hint="eastAsia" w:ascii="黑体" w:hAnsi="黑体" w:eastAsia="黑体" w:cs="黑体"/>
          <w:sz w:val="24"/>
          <w:szCs w:val="24"/>
          <w:highlight w:val="none"/>
        </w:rPr>
        <w:t>附件1：</w:t>
      </w:r>
      <w:bookmarkEnd w:id="23"/>
    </w:p>
    <w:p w14:paraId="59943C5A">
      <w:pPr>
        <w:pStyle w:val="7"/>
        <w:spacing w:line="460" w:lineRule="exact"/>
        <w:jc w:val="center"/>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t>投标书</w:t>
      </w:r>
    </w:p>
    <w:p w14:paraId="5A886D0B">
      <w:pPr>
        <w:pStyle w:val="7"/>
        <w:spacing w:line="560" w:lineRule="exact"/>
        <w:ind w:firstLine="480"/>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中国重型汽车集团有限公司工会委员会：</w:t>
      </w:r>
    </w:p>
    <w:p w14:paraId="7870960A">
      <w:pPr>
        <w:pStyle w:val="7"/>
        <w:spacing w:line="560" w:lineRule="exact"/>
        <w:ind w:firstLine="48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根据贵方为（项目名称）招标采购及服务的投标邀请，签字代表（全名、职务）经正式授权并代表投标人（投标人名称、地址）</w:t>
      </w:r>
    </w:p>
    <w:p w14:paraId="65088DFA">
      <w:pPr>
        <w:pStyle w:val="7"/>
        <w:spacing w:line="56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提交下述文件：电子版投标文件一份</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据此，签字代表宣布同意如下：</w:t>
      </w:r>
    </w:p>
    <w:p w14:paraId="0C3E13BE">
      <w:pPr>
        <w:pStyle w:val="7"/>
        <w:spacing w:line="56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1．所附投标报价表中规定的应提供和交付的物品投标单价。</w:t>
      </w:r>
    </w:p>
    <w:p w14:paraId="3D3922AB">
      <w:pPr>
        <w:pStyle w:val="7"/>
        <w:spacing w:line="56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2．投标人将按招标文件的规定履行合同责任和义务。</w:t>
      </w:r>
    </w:p>
    <w:p w14:paraId="2DA705A0">
      <w:pPr>
        <w:pStyle w:val="7"/>
        <w:spacing w:line="56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3．投标人已详细审查全部招标文件，包括修改文件（如有的话）以及全部参考资料和有关附件，我们完全理解并同意放弃对这方面有不明及误解的权利。</w:t>
      </w:r>
    </w:p>
    <w:p w14:paraId="28D48C52">
      <w:pPr>
        <w:pStyle w:val="7"/>
        <w:spacing w:line="56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4．投标有效期：自投标截止之日起90个日历日内有效。</w:t>
      </w:r>
    </w:p>
    <w:p w14:paraId="2E73BBFE">
      <w:pPr>
        <w:pStyle w:val="7"/>
        <w:spacing w:line="56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5．投标人同意提供贵方要求的可能与投标有关的一切数据和资料，完全理解贵方不一定要接受最低价的投标或收到的任何投标。</w:t>
      </w:r>
    </w:p>
    <w:p w14:paraId="55664991">
      <w:pPr>
        <w:pStyle w:val="7"/>
        <w:spacing w:line="56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6．与本投标有关的一切正式往来通讯请寄：</w:t>
      </w:r>
    </w:p>
    <w:p w14:paraId="7A3EB62A">
      <w:pPr>
        <w:pStyle w:val="7"/>
        <w:spacing w:line="56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地址：邮编：</w:t>
      </w:r>
    </w:p>
    <w:p w14:paraId="354CFC07">
      <w:pPr>
        <w:pStyle w:val="7"/>
        <w:spacing w:line="56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电话：传真：</w:t>
      </w:r>
    </w:p>
    <w:p w14:paraId="2FFCCD1D">
      <w:pPr>
        <w:pStyle w:val="7"/>
        <w:spacing w:line="560" w:lineRule="exact"/>
        <w:ind w:firstLine="480"/>
        <w:jc w:val="right"/>
        <w:rPr>
          <w:rFonts w:hint="eastAsia" w:ascii="宋体" w:hAnsi="宋体" w:eastAsia="宋体" w:cs="宋体"/>
          <w:sz w:val="24"/>
          <w:szCs w:val="24"/>
          <w:highlight w:val="none"/>
        </w:rPr>
      </w:pPr>
    </w:p>
    <w:p w14:paraId="36E60F90">
      <w:pPr>
        <w:pStyle w:val="7"/>
        <w:spacing w:line="56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投标人代表签字：职务：日期：</w:t>
      </w:r>
    </w:p>
    <w:p w14:paraId="082EBA3D">
      <w:pPr>
        <w:pStyle w:val="7"/>
        <w:spacing w:line="56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投标人代表姓名、职务（印刷体）：</w:t>
      </w:r>
    </w:p>
    <w:p w14:paraId="052740E5">
      <w:pPr>
        <w:pStyle w:val="7"/>
        <w:spacing w:line="56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投标人名称（及公章）：</w:t>
      </w:r>
    </w:p>
    <w:p w14:paraId="319F4719">
      <w:pPr>
        <w:pStyle w:val="7"/>
        <w:spacing w:line="560" w:lineRule="exact"/>
        <w:ind w:firstLine="480"/>
        <w:jc w:val="right"/>
        <w:rPr>
          <w:rFonts w:hint="eastAsia" w:ascii="宋体" w:hAnsi="宋体" w:eastAsia="宋体" w:cs="宋体"/>
          <w:sz w:val="24"/>
          <w:szCs w:val="24"/>
          <w:highlight w:val="none"/>
        </w:rPr>
      </w:pPr>
    </w:p>
    <w:p w14:paraId="282FB2E9">
      <w:pPr>
        <w:pStyle w:val="7"/>
        <w:spacing w:line="56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日期：年月日</w:t>
      </w:r>
    </w:p>
    <w:p w14:paraId="0C80AB8D">
      <w:pPr>
        <w:pStyle w:val="7"/>
        <w:spacing w:line="460" w:lineRule="exact"/>
        <w:jc w:val="center"/>
        <w:rPr>
          <w:rFonts w:hint="eastAsia" w:ascii="宋体" w:hAnsi="宋体" w:eastAsia="宋体" w:cs="宋体"/>
          <w:b/>
          <w:bCs/>
          <w:sz w:val="36"/>
          <w:szCs w:val="36"/>
          <w:highlight w:val="none"/>
        </w:rPr>
      </w:pPr>
    </w:p>
    <w:p w14:paraId="25C0D046">
      <w:pPr>
        <w:pStyle w:val="7"/>
        <w:spacing w:line="460" w:lineRule="exact"/>
        <w:jc w:val="center"/>
        <w:rPr>
          <w:rFonts w:hint="eastAsia" w:ascii="宋体" w:hAnsi="宋体" w:eastAsia="宋体" w:cs="宋体"/>
          <w:b/>
          <w:bCs/>
          <w:sz w:val="36"/>
          <w:szCs w:val="36"/>
          <w:highlight w:val="none"/>
        </w:rPr>
      </w:pPr>
    </w:p>
    <w:p w14:paraId="4DF8B6E8">
      <w:pPr>
        <w:pStyle w:val="7"/>
        <w:spacing w:line="460" w:lineRule="exact"/>
        <w:jc w:val="center"/>
        <w:rPr>
          <w:rFonts w:hint="eastAsia" w:ascii="宋体" w:hAnsi="宋体" w:eastAsia="宋体" w:cs="宋体"/>
          <w:b/>
          <w:bCs/>
          <w:sz w:val="36"/>
          <w:szCs w:val="36"/>
          <w:highlight w:val="none"/>
        </w:rPr>
      </w:pPr>
    </w:p>
    <w:p w14:paraId="40D72D0A">
      <w:pPr>
        <w:pStyle w:val="7"/>
        <w:spacing w:line="460" w:lineRule="exact"/>
        <w:jc w:val="center"/>
        <w:rPr>
          <w:rFonts w:hint="eastAsia" w:ascii="宋体" w:hAnsi="宋体" w:eastAsia="宋体" w:cs="宋体"/>
          <w:b/>
          <w:bCs/>
          <w:sz w:val="36"/>
          <w:szCs w:val="36"/>
          <w:highlight w:val="none"/>
        </w:rPr>
      </w:pPr>
    </w:p>
    <w:p w14:paraId="0503952C">
      <w:pPr>
        <w:rPr>
          <w:rFonts w:hint="eastAsia" w:ascii="黑体" w:hAnsi="黑体" w:eastAsia="黑体" w:cs="黑体"/>
          <w:sz w:val="24"/>
          <w:szCs w:val="24"/>
          <w:highlight w:val="none"/>
        </w:rPr>
      </w:pPr>
      <w:r>
        <w:rPr>
          <w:rFonts w:hint="eastAsia" w:ascii="黑体" w:hAnsi="黑体" w:eastAsia="黑体" w:cs="黑体"/>
          <w:sz w:val="24"/>
          <w:szCs w:val="24"/>
          <w:highlight w:val="none"/>
        </w:rPr>
        <w:t>附件</w:t>
      </w:r>
      <w:r>
        <w:rPr>
          <w:rFonts w:hint="eastAsia" w:ascii="黑体" w:hAnsi="黑体" w:eastAsia="黑体" w:cs="黑体"/>
          <w:sz w:val="24"/>
          <w:szCs w:val="24"/>
          <w:highlight w:val="none"/>
          <w:lang w:val="en-US" w:eastAsia="zh-CN"/>
        </w:rPr>
        <w:t>2</w:t>
      </w:r>
      <w:r>
        <w:rPr>
          <w:rFonts w:hint="eastAsia" w:ascii="黑体" w:hAnsi="黑体" w:eastAsia="黑体" w:cs="黑体"/>
          <w:sz w:val="24"/>
          <w:szCs w:val="24"/>
          <w:highlight w:val="none"/>
        </w:rPr>
        <w:t>：</w:t>
      </w:r>
    </w:p>
    <w:p w14:paraId="0FA2612E">
      <w:pPr>
        <w:pStyle w:val="7"/>
        <w:spacing w:line="460" w:lineRule="exact"/>
        <w:jc w:val="center"/>
        <w:rPr>
          <w:rFonts w:ascii="宋体" w:hAnsi="宋体" w:eastAsia="宋体"/>
          <w:b/>
          <w:bCs/>
          <w:sz w:val="36"/>
          <w:szCs w:val="36"/>
          <w:highlight w:val="none"/>
        </w:rPr>
      </w:pPr>
      <w:r>
        <w:rPr>
          <w:rFonts w:hint="eastAsia" w:ascii="宋体" w:hAnsi="宋体" w:eastAsia="宋体" w:cs="宋体"/>
          <w:b/>
          <w:bCs/>
          <w:sz w:val="36"/>
          <w:szCs w:val="36"/>
          <w:highlight w:val="none"/>
        </w:rPr>
        <w:t>法定代表人授权委托书</w:t>
      </w:r>
    </w:p>
    <w:p w14:paraId="1D4A2C9B">
      <w:pPr>
        <w:pStyle w:val="7"/>
        <w:spacing w:line="460" w:lineRule="exact"/>
        <w:jc w:val="center"/>
        <w:rPr>
          <w:rFonts w:ascii="宋体" w:hAnsi="宋体" w:eastAsia="宋体"/>
          <w:b/>
          <w:bCs/>
          <w:szCs w:val="32"/>
          <w:highlight w:val="none"/>
        </w:rPr>
      </w:pPr>
    </w:p>
    <w:p w14:paraId="4029DCEC">
      <w:pPr>
        <w:pStyle w:val="7"/>
        <w:spacing w:line="560" w:lineRule="exact"/>
        <w:rPr>
          <w:rFonts w:ascii="宋体" w:hAnsi="宋体" w:eastAsia="宋体"/>
          <w:sz w:val="24"/>
          <w:szCs w:val="24"/>
          <w:highlight w:val="none"/>
          <w:u w:val="single"/>
        </w:rPr>
      </w:pPr>
      <w:r>
        <w:rPr>
          <w:rFonts w:hint="eastAsia" w:ascii="宋体" w:hAnsi="宋体" w:eastAsia="宋体" w:cs="宋体"/>
          <w:sz w:val="24"/>
          <w:szCs w:val="24"/>
          <w:highlight w:val="none"/>
          <w:u w:val="single"/>
        </w:rPr>
        <w:t>中国重型汽车集团有限公司工会委员会：</w:t>
      </w:r>
    </w:p>
    <w:p w14:paraId="11A53350">
      <w:pPr>
        <w:pStyle w:val="7"/>
        <w:spacing w:line="560" w:lineRule="exact"/>
        <w:ind w:firstLine="480"/>
        <w:rPr>
          <w:rFonts w:ascii="宋体" w:hAnsi="宋体" w:eastAsia="宋体"/>
          <w:sz w:val="24"/>
          <w:szCs w:val="24"/>
          <w:highlight w:val="none"/>
        </w:rPr>
      </w:pPr>
      <w:r>
        <w:rPr>
          <w:rFonts w:hint="eastAsia" w:ascii="宋体" w:hAnsi="宋体" w:eastAsia="宋体" w:cs="宋体"/>
          <w:sz w:val="24"/>
          <w:szCs w:val="24"/>
          <w:highlight w:val="none"/>
        </w:rPr>
        <w:t>（投标人名称）法定代表人授权我公司（职务或职称）（姓名）为我单位本次投标授权代理人，全权处理此次招标项目（项目编号：）投标活动的一切事宜。</w:t>
      </w:r>
    </w:p>
    <w:p w14:paraId="4A81A2CE">
      <w:pPr>
        <w:adjustRightInd w:val="0"/>
        <w:snapToGrid w:val="0"/>
        <w:spacing w:before="93" w:beforeLines="30" w:line="360" w:lineRule="auto"/>
        <w:ind w:firstLine="480" w:firstLineChars="200"/>
        <w:rPr>
          <w:rFonts w:hint="eastAsia" w:ascii="宋体" w:hAnsi="宋体" w:eastAsia="宋体"/>
          <w:sz w:val="24"/>
          <w:highlight w:val="none"/>
          <w:lang w:eastAsia="zh-CN"/>
        </w:rPr>
      </w:pPr>
      <w:r>
        <w:rPr>
          <w:rFonts w:hint="eastAsia" w:ascii="宋体" w:hAnsi="宋体"/>
          <w:sz w:val="24"/>
          <w:highlight w:val="none"/>
        </w:rPr>
        <w:t>委托期限：</w:t>
      </w:r>
    </w:p>
    <w:p w14:paraId="09C1B6B9">
      <w:pPr>
        <w:adjustRightInd w:val="0"/>
        <w:snapToGrid w:val="0"/>
        <w:spacing w:before="93" w:beforeLines="30" w:line="312" w:lineRule="auto"/>
        <w:ind w:firstLine="480" w:firstLineChars="200"/>
        <w:rPr>
          <w:rFonts w:ascii="宋体" w:hAnsi="宋体"/>
          <w:sz w:val="24"/>
          <w:highlight w:val="none"/>
        </w:rPr>
      </w:pPr>
      <w:r>
        <w:rPr>
          <w:rFonts w:hint="eastAsia" w:ascii="宋体" w:hAnsi="宋体"/>
          <w:sz w:val="24"/>
          <w:highlight w:val="none"/>
        </w:rPr>
        <w:t>全权代表无转委权。特此委托。</w:t>
      </w:r>
      <w:r>
        <w:rPr>
          <w:rFonts w:hint="eastAsia" w:ascii="宋体" w:hAnsi="宋体"/>
          <w:highlight w:val="none"/>
        </w:rPr>
        <mc:AlternateContent>
          <mc:Choice Requires="wps">
            <w:drawing>
              <wp:anchor distT="0" distB="0" distL="114300" distR="114300" simplePos="0" relativeHeight="251659264" behindDoc="0" locked="0" layoutInCell="1" allowOverlap="1">
                <wp:simplePos x="0" y="0"/>
                <wp:positionH relativeFrom="column">
                  <wp:posOffset>323215</wp:posOffset>
                </wp:positionH>
                <wp:positionV relativeFrom="paragraph">
                  <wp:posOffset>245745</wp:posOffset>
                </wp:positionV>
                <wp:extent cx="2657475" cy="1552575"/>
                <wp:effectExtent l="4445" t="4445" r="5080" b="508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657475" cy="1552575"/>
                        </a:xfrm>
                        <a:prstGeom prst="rect">
                          <a:avLst/>
                        </a:prstGeom>
                        <a:solidFill>
                          <a:srgbClr val="FFFFFF"/>
                        </a:solidFill>
                        <a:ln w="9525">
                          <a:solidFill>
                            <a:srgbClr val="000000"/>
                          </a:solidFill>
                          <a:miter lim="800000"/>
                        </a:ln>
                      </wps:spPr>
                      <wps:txbx>
                        <w:txbxContent>
                          <w:p w14:paraId="603346BC">
                            <w:pPr>
                              <w:jc w:val="center"/>
                            </w:pPr>
                          </w:p>
                          <w:p w14:paraId="1EA0D21D">
                            <w:pPr>
                              <w:jc w:val="center"/>
                            </w:pPr>
                          </w:p>
                          <w:p w14:paraId="44D36275">
                            <w:pPr>
                              <w:jc w:val="center"/>
                            </w:pPr>
                          </w:p>
                          <w:p w14:paraId="6C60D16B">
                            <w:pPr>
                              <w:jc w:val="center"/>
                            </w:pPr>
                            <w:r>
                              <w:rPr>
                                <w:rFonts w:hint="eastAsia"/>
                              </w:rPr>
                              <w:t>法定代表人身份证复印件（正面）</w:t>
                            </w:r>
                          </w:p>
                          <w:p w14:paraId="2D9550C2">
                            <w:pPr>
                              <w:jc w:val="center"/>
                            </w:pPr>
                          </w:p>
                          <w:p w14:paraId="5E737F5F">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5.45pt;margin-top:19.35pt;height:122.25pt;width:209.25pt;z-index:251659264;mso-width-relative:page;mso-height-relative:page;" fillcolor="#FFFFFF" filled="t" stroked="t" coordsize="21600,21600" o:gfxdata="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L6VH8tgAAAAJAQAADwAAAAAAAAABACAAAAAiAAAAZHJzL2Rvd25y&#10;ZXYueG1sUEsBAhQAFAAAAAgAh07iQAPUsD83AgAAewQAAA4AAAAAAAAAAQAgAAAAJwEAAGRycy9l&#10;Mm9Eb2MueG1sUEsFBgAAAAAGAAYAWQEAANAFAAAAAA==&#10;">
                <v:fill on="t" focussize="0,0"/>
                <v:stroke color="#000000" miterlimit="8" joinstyle="miter"/>
                <v:imagedata o:title=""/>
                <o:lock v:ext="edit" aspectratio="f"/>
                <v:textbox>
                  <w:txbxContent>
                    <w:p w14:paraId="603346BC">
                      <w:pPr>
                        <w:jc w:val="center"/>
                      </w:pPr>
                    </w:p>
                    <w:p w14:paraId="1EA0D21D">
                      <w:pPr>
                        <w:jc w:val="center"/>
                      </w:pPr>
                    </w:p>
                    <w:p w14:paraId="44D36275">
                      <w:pPr>
                        <w:jc w:val="center"/>
                      </w:pPr>
                    </w:p>
                    <w:p w14:paraId="6C60D16B">
                      <w:pPr>
                        <w:jc w:val="center"/>
                      </w:pPr>
                      <w:r>
                        <w:rPr>
                          <w:rFonts w:hint="eastAsia"/>
                        </w:rPr>
                        <w:t>法定代表人身份证复印件（正面）</w:t>
                      </w:r>
                    </w:p>
                    <w:p w14:paraId="2D9550C2">
                      <w:pPr>
                        <w:jc w:val="center"/>
                      </w:pPr>
                    </w:p>
                    <w:p w14:paraId="5E737F5F">
                      <w:pPr>
                        <w:jc w:val="center"/>
                      </w:pPr>
                    </w:p>
                  </w:txbxContent>
                </v:textbox>
              </v:rect>
            </w:pict>
          </mc:Fallback>
        </mc:AlternateContent>
      </w:r>
      <w:r>
        <w:rPr>
          <w:rFonts w:hint="eastAsia" w:ascii="宋体" w:hAnsi="宋体"/>
          <w:highlight w:val="none"/>
        </w:rPr>
        <mc:AlternateContent>
          <mc:Choice Requires="wps">
            <w:drawing>
              <wp:anchor distT="0" distB="0" distL="114300" distR="114300" simplePos="0" relativeHeight="251661312" behindDoc="0" locked="0" layoutInCell="1" allowOverlap="1">
                <wp:simplePos x="0" y="0"/>
                <wp:positionH relativeFrom="column">
                  <wp:posOffset>323215</wp:posOffset>
                </wp:positionH>
                <wp:positionV relativeFrom="paragraph">
                  <wp:posOffset>1845945</wp:posOffset>
                </wp:positionV>
                <wp:extent cx="2657475" cy="1552575"/>
                <wp:effectExtent l="4445" t="4445" r="5080" b="5080"/>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657475" cy="1552575"/>
                        </a:xfrm>
                        <a:prstGeom prst="rect">
                          <a:avLst/>
                        </a:prstGeom>
                        <a:solidFill>
                          <a:srgbClr val="FFFFFF"/>
                        </a:solidFill>
                        <a:ln w="9525">
                          <a:solidFill>
                            <a:srgbClr val="000000"/>
                          </a:solidFill>
                          <a:miter lim="800000"/>
                        </a:ln>
                      </wps:spPr>
                      <wps:txbx>
                        <w:txbxContent>
                          <w:p w14:paraId="2927C19F">
                            <w:pPr>
                              <w:jc w:val="center"/>
                            </w:pPr>
                            <w:r>
                              <w:rPr>
                                <w:rFonts w:hint="eastAsia"/>
                              </w:rPr>
                              <w:t>授权代理人身份证复印件（正面）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5.45pt;margin-top:145.35pt;height:122.25pt;width:209.25pt;z-index:251661312;mso-width-relative:page;mso-height-relative:page;" fillcolor="#FFFFFF" filled="t" stroked="t" coordsize="21600,21600" o:gfxdata="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qP4KwtgAAAAKAQAADwAAAAAAAAABACAAAAAiAAAAZHJzL2Rvd25y&#10;ZXYueG1sUEsBAhQAFAAAAAgAh07iQKCcKZw3AgAAewQAAA4AAAAAAAAAAQAgAAAAJwEAAGRycy9l&#10;Mm9Eb2MueG1sUEsFBgAAAAAGAAYAWQEAANAFAAAAAA==&#10;">
                <v:fill on="t" focussize="0,0"/>
                <v:stroke color="#000000" miterlimit="8" joinstyle="miter"/>
                <v:imagedata o:title=""/>
                <o:lock v:ext="edit" aspectratio="f"/>
                <v:textbox>
                  <w:txbxContent>
                    <w:p w14:paraId="2927C19F">
                      <w:pPr>
                        <w:jc w:val="center"/>
                      </w:pPr>
                      <w:r>
                        <w:rPr>
                          <w:rFonts w:hint="eastAsia"/>
                        </w:rPr>
                        <w:t>授权代理人身份证复印件（正面）</w:t>
                      </w:r>
                    </w:p>
                  </w:txbxContent>
                </v:textbox>
              </v:rect>
            </w:pict>
          </mc:Fallback>
        </mc:AlternateContent>
      </w:r>
      <w:r>
        <w:rPr>
          <w:rFonts w:hint="eastAsia" w:ascii="宋体" w:hAnsi="宋体"/>
          <w:highlight w:val="none"/>
        </w:rPr>
        <mc:AlternateContent>
          <mc:Choice Requires="wps">
            <w:drawing>
              <wp:anchor distT="0" distB="0" distL="114300" distR="114300" simplePos="0" relativeHeight="251660288" behindDoc="0" locked="0" layoutInCell="1" allowOverlap="1">
                <wp:simplePos x="0" y="0"/>
                <wp:positionH relativeFrom="column">
                  <wp:posOffset>3123565</wp:posOffset>
                </wp:positionH>
                <wp:positionV relativeFrom="paragraph">
                  <wp:posOffset>245745</wp:posOffset>
                </wp:positionV>
                <wp:extent cx="2514600" cy="1552575"/>
                <wp:effectExtent l="4445" t="4445" r="8255" b="5080"/>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514600" cy="1552575"/>
                        </a:xfrm>
                        <a:prstGeom prst="rect">
                          <a:avLst/>
                        </a:prstGeom>
                        <a:solidFill>
                          <a:srgbClr val="FFFFFF"/>
                        </a:solidFill>
                        <a:ln w="9525">
                          <a:solidFill>
                            <a:srgbClr val="000000"/>
                          </a:solidFill>
                          <a:miter lim="800000"/>
                        </a:ln>
                      </wps:spPr>
                      <wps:txbx>
                        <w:txbxContent>
                          <w:p w14:paraId="3C4FDE31">
                            <w:pPr>
                              <w:jc w:val="center"/>
                            </w:pPr>
                          </w:p>
                          <w:p w14:paraId="6E346174">
                            <w:pPr>
                              <w:jc w:val="center"/>
                            </w:pPr>
                          </w:p>
                          <w:p w14:paraId="242A6CC8">
                            <w:pPr>
                              <w:jc w:val="center"/>
                            </w:pPr>
                          </w:p>
                          <w:p w14:paraId="78714C69">
                            <w:pPr>
                              <w:jc w:val="center"/>
                            </w:pPr>
                            <w:r>
                              <w:rPr>
                                <w:rFonts w:hint="eastAsia"/>
                              </w:rPr>
                              <w:t>法定代表人身份证复印件（反面）</w:t>
                            </w:r>
                          </w:p>
                          <w:p w14:paraId="6869324F">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5.95pt;margin-top:19.35pt;height:122.25pt;width:198pt;z-index:251660288;mso-width-relative:page;mso-height-relative:page;" fillcolor="#FFFFFF" filled="t" stroked="t" coordsize="21600,21600" o:gfxdata="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67nBPYAAAACgEAAA8AAAAAAAAAAQAgAAAAIgAAAGRycy9kb3du&#10;cmV2LnhtbFBLAQIUABQAAAAIAIdO4kAryhzXOAIAAHsEAAAOAAAAAAAAAAEAIAAAACcBAABkcnMv&#10;ZTJvRG9jLnhtbFBLBQYAAAAABgAGAFkBAADRBQAAAAA=&#10;">
                <v:fill on="t" focussize="0,0"/>
                <v:stroke color="#000000" miterlimit="8" joinstyle="miter"/>
                <v:imagedata o:title=""/>
                <o:lock v:ext="edit" aspectratio="f"/>
                <v:textbox>
                  <w:txbxContent>
                    <w:p w14:paraId="3C4FDE31">
                      <w:pPr>
                        <w:jc w:val="center"/>
                      </w:pPr>
                    </w:p>
                    <w:p w14:paraId="6E346174">
                      <w:pPr>
                        <w:jc w:val="center"/>
                      </w:pPr>
                    </w:p>
                    <w:p w14:paraId="242A6CC8">
                      <w:pPr>
                        <w:jc w:val="center"/>
                      </w:pPr>
                    </w:p>
                    <w:p w14:paraId="78714C69">
                      <w:pPr>
                        <w:jc w:val="center"/>
                      </w:pPr>
                      <w:r>
                        <w:rPr>
                          <w:rFonts w:hint="eastAsia"/>
                        </w:rPr>
                        <w:t>法定代表人身份证复印件（反面）</w:t>
                      </w:r>
                    </w:p>
                    <w:p w14:paraId="6869324F">
                      <w:pPr>
                        <w:jc w:val="center"/>
                      </w:pPr>
                    </w:p>
                  </w:txbxContent>
                </v:textbox>
              </v:rect>
            </w:pict>
          </mc:Fallback>
        </mc:AlternateContent>
      </w:r>
      <w:r>
        <w:rPr>
          <w:rFonts w:hint="eastAsia" w:ascii="宋体" w:hAnsi="宋体"/>
          <w:highlight w:val="none"/>
        </w:rPr>
        <mc:AlternateContent>
          <mc:Choice Requires="wps">
            <w:drawing>
              <wp:anchor distT="0" distB="0" distL="114300" distR="114300" simplePos="0" relativeHeight="251662336" behindDoc="0" locked="0" layoutInCell="1" allowOverlap="1">
                <wp:simplePos x="0" y="0"/>
                <wp:positionH relativeFrom="column">
                  <wp:posOffset>3123565</wp:posOffset>
                </wp:positionH>
                <wp:positionV relativeFrom="paragraph">
                  <wp:posOffset>1836420</wp:posOffset>
                </wp:positionV>
                <wp:extent cx="2514600" cy="1552575"/>
                <wp:effectExtent l="4445" t="4445" r="8255" b="508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514600" cy="1552575"/>
                        </a:xfrm>
                        <a:prstGeom prst="rect">
                          <a:avLst/>
                        </a:prstGeom>
                        <a:solidFill>
                          <a:srgbClr val="FFFFFF"/>
                        </a:solidFill>
                        <a:ln w="9525">
                          <a:solidFill>
                            <a:srgbClr val="000000"/>
                          </a:solidFill>
                          <a:miter lim="800000"/>
                        </a:ln>
                      </wps:spPr>
                      <wps:txbx>
                        <w:txbxContent>
                          <w:p w14:paraId="06310711">
                            <w:pPr>
                              <w:jc w:val="center"/>
                            </w:pPr>
                            <w:r>
                              <w:rPr>
                                <w:rFonts w:hint="eastAsia"/>
                              </w:rPr>
                              <w:t>授权代理人身份证复印件（反面）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5.95pt;margin-top:144.6pt;height:122.25pt;width:198pt;z-index:251662336;mso-width-relative:page;mso-height-relative:page;" fillcolor="#FFFFFF" filled="t" stroked="t" coordsize="21600,21600" o:gfxdata="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GctpajaAAAACwEAAA8AAAAAAAAAAQAgAAAAIgAAAGRycy9kb3du&#10;cmV2LnhtbFBLAQIUABQAAAAIAIdO4kC8VCSbNgIAAHsEAAAOAAAAAAAAAAEAIAAAACkBAABkcnMv&#10;ZTJvRG9jLnhtbFBLBQYAAAAABgAGAFkBAADRBQAAAAA=&#10;">
                <v:fill on="t" focussize="0,0"/>
                <v:stroke color="#000000" miterlimit="8" joinstyle="miter"/>
                <v:imagedata o:title=""/>
                <o:lock v:ext="edit" aspectratio="f"/>
                <v:textbox>
                  <w:txbxContent>
                    <w:p w14:paraId="06310711">
                      <w:pPr>
                        <w:jc w:val="center"/>
                      </w:pPr>
                      <w:r>
                        <w:rPr>
                          <w:rFonts w:hint="eastAsia"/>
                        </w:rPr>
                        <w:t>授权代理人身份证复印件（反面）</w:t>
                      </w:r>
                    </w:p>
                  </w:txbxContent>
                </v:textbox>
              </v:rect>
            </w:pict>
          </mc:Fallback>
        </mc:AlternateContent>
      </w:r>
    </w:p>
    <w:p w14:paraId="09302EC9">
      <w:pPr>
        <w:spacing w:line="480" w:lineRule="exact"/>
        <w:ind w:firstLine="480" w:firstLineChars="200"/>
        <w:rPr>
          <w:rFonts w:ascii="宋体" w:hAnsi="宋体"/>
          <w:sz w:val="24"/>
          <w:highlight w:val="none"/>
        </w:rPr>
      </w:pPr>
    </w:p>
    <w:p w14:paraId="1EA5ACB6">
      <w:pPr>
        <w:spacing w:line="480" w:lineRule="exact"/>
        <w:ind w:firstLine="480" w:firstLineChars="200"/>
        <w:rPr>
          <w:rFonts w:ascii="宋体" w:hAnsi="宋体"/>
          <w:sz w:val="24"/>
          <w:highlight w:val="none"/>
        </w:rPr>
      </w:pPr>
    </w:p>
    <w:p w14:paraId="199AD8FF">
      <w:pPr>
        <w:spacing w:line="480" w:lineRule="exact"/>
        <w:ind w:firstLine="480" w:firstLineChars="200"/>
        <w:rPr>
          <w:rFonts w:ascii="宋体" w:hAnsi="宋体"/>
          <w:sz w:val="24"/>
          <w:highlight w:val="none"/>
        </w:rPr>
      </w:pPr>
    </w:p>
    <w:p w14:paraId="104556B2">
      <w:pPr>
        <w:spacing w:line="480" w:lineRule="exact"/>
        <w:ind w:firstLine="480" w:firstLineChars="200"/>
        <w:rPr>
          <w:rFonts w:ascii="宋体" w:hAnsi="宋体"/>
          <w:sz w:val="24"/>
          <w:highlight w:val="none"/>
        </w:rPr>
      </w:pPr>
    </w:p>
    <w:p w14:paraId="26036A77">
      <w:pPr>
        <w:spacing w:line="480" w:lineRule="exact"/>
        <w:ind w:firstLine="480" w:firstLineChars="200"/>
        <w:rPr>
          <w:rFonts w:ascii="宋体" w:hAnsi="宋体"/>
          <w:sz w:val="24"/>
          <w:highlight w:val="none"/>
        </w:rPr>
      </w:pPr>
    </w:p>
    <w:p w14:paraId="5DC8974C">
      <w:pPr>
        <w:spacing w:line="480" w:lineRule="exact"/>
        <w:ind w:firstLine="480" w:firstLineChars="200"/>
        <w:rPr>
          <w:rFonts w:ascii="宋体" w:hAnsi="宋体"/>
          <w:sz w:val="24"/>
          <w:highlight w:val="none"/>
        </w:rPr>
      </w:pPr>
    </w:p>
    <w:p w14:paraId="213BD27F">
      <w:pPr>
        <w:spacing w:line="480" w:lineRule="exact"/>
        <w:ind w:firstLine="480" w:firstLineChars="200"/>
        <w:rPr>
          <w:rFonts w:ascii="宋体" w:hAnsi="宋体"/>
          <w:sz w:val="24"/>
          <w:highlight w:val="none"/>
        </w:rPr>
      </w:pPr>
    </w:p>
    <w:p w14:paraId="67EC6D6B">
      <w:pPr>
        <w:spacing w:line="480" w:lineRule="exact"/>
        <w:ind w:firstLine="480" w:firstLineChars="200"/>
        <w:rPr>
          <w:rFonts w:ascii="宋体" w:hAnsi="宋体"/>
          <w:sz w:val="24"/>
          <w:highlight w:val="none"/>
        </w:rPr>
      </w:pPr>
    </w:p>
    <w:p w14:paraId="48152F70">
      <w:pPr>
        <w:spacing w:line="480" w:lineRule="exact"/>
        <w:ind w:firstLine="480" w:firstLineChars="200"/>
        <w:rPr>
          <w:rFonts w:ascii="宋体" w:hAnsi="宋体"/>
          <w:sz w:val="24"/>
          <w:highlight w:val="none"/>
        </w:rPr>
      </w:pPr>
    </w:p>
    <w:p w14:paraId="24F9AC05">
      <w:pPr>
        <w:spacing w:line="480" w:lineRule="exact"/>
        <w:rPr>
          <w:rFonts w:ascii="宋体" w:hAnsi="宋体"/>
          <w:sz w:val="24"/>
          <w:highlight w:val="none"/>
        </w:rPr>
      </w:pPr>
    </w:p>
    <w:p w14:paraId="328BF81A">
      <w:pPr>
        <w:pStyle w:val="7"/>
        <w:spacing w:line="560" w:lineRule="exact"/>
        <w:rPr>
          <w:rFonts w:hint="eastAsia" w:ascii="宋体" w:hAnsi="宋体" w:eastAsia="宋体"/>
          <w:sz w:val="24"/>
          <w:szCs w:val="24"/>
          <w:highlight w:val="none"/>
          <w:lang w:eastAsia="zh-CN"/>
        </w:rPr>
      </w:pPr>
      <w:r>
        <w:rPr>
          <w:rFonts w:hint="eastAsia" w:ascii="宋体" w:hAnsi="宋体" w:eastAsia="宋体" w:cs="宋体"/>
          <w:sz w:val="24"/>
          <w:szCs w:val="24"/>
          <w:highlight w:val="none"/>
        </w:rPr>
        <w:t>单位名称（公章）：</w:t>
      </w:r>
    </w:p>
    <w:p w14:paraId="1FB358D9">
      <w:pPr>
        <w:pStyle w:val="7"/>
        <w:spacing w:line="560" w:lineRule="exact"/>
        <w:rPr>
          <w:rFonts w:hint="eastAsia" w:ascii="宋体" w:hAnsi="宋体" w:eastAsia="宋体"/>
          <w:sz w:val="24"/>
          <w:szCs w:val="24"/>
          <w:highlight w:val="none"/>
          <w:lang w:eastAsia="zh-CN"/>
        </w:rPr>
      </w:pPr>
      <w:r>
        <w:rPr>
          <w:rFonts w:hint="eastAsia" w:ascii="宋体" w:hAnsi="宋体" w:eastAsia="宋体" w:cs="宋体"/>
          <w:sz w:val="24"/>
          <w:szCs w:val="24"/>
          <w:highlight w:val="none"/>
        </w:rPr>
        <w:t>法定代表人签字：</w:t>
      </w:r>
    </w:p>
    <w:p w14:paraId="689C5FB9">
      <w:pPr>
        <w:pStyle w:val="7"/>
        <w:spacing w:line="560" w:lineRule="exact"/>
        <w:rPr>
          <w:rFonts w:hint="eastAsia" w:ascii="宋体" w:hAnsi="宋体" w:eastAsia="宋体"/>
          <w:sz w:val="24"/>
          <w:szCs w:val="24"/>
          <w:highlight w:val="none"/>
          <w:lang w:eastAsia="zh-CN"/>
        </w:rPr>
      </w:pPr>
      <w:r>
        <w:rPr>
          <w:rFonts w:hint="eastAsia" w:ascii="宋体" w:hAnsi="宋体" w:eastAsia="宋体" w:cs="宋体"/>
          <w:sz w:val="24"/>
          <w:szCs w:val="24"/>
          <w:highlight w:val="none"/>
        </w:rPr>
        <w:t>授权代理人签字：</w:t>
      </w:r>
    </w:p>
    <w:p w14:paraId="14FDC601">
      <w:pPr>
        <w:pStyle w:val="7"/>
        <w:spacing w:line="560" w:lineRule="exact"/>
        <w:ind w:left="5880" w:right="283" w:rightChars="135" w:firstLine="420"/>
        <w:jc w:val="right"/>
        <w:rPr>
          <w:rFonts w:hint="eastAsia" w:ascii="宋体" w:hAnsi="宋体" w:eastAsia="宋体"/>
          <w:sz w:val="24"/>
          <w:highlight w:val="none"/>
        </w:rPr>
      </w:pPr>
      <w:r>
        <w:rPr>
          <w:rFonts w:hint="eastAsia" w:ascii="宋体" w:hAnsi="宋体" w:eastAsia="宋体"/>
          <w:sz w:val="24"/>
          <w:highlight w:val="none"/>
        </w:rPr>
        <w:t>年月日</w:t>
      </w:r>
    </w:p>
    <w:p w14:paraId="541BBDF4">
      <w:pPr>
        <w:pStyle w:val="7"/>
        <w:spacing w:line="560" w:lineRule="exact"/>
        <w:ind w:right="283" w:rightChars="135"/>
        <w:jc w:val="both"/>
        <w:rPr>
          <w:rFonts w:hint="default" w:ascii="宋体" w:hAnsi="宋体" w:eastAsia="宋体"/>
          <w:sz w:val="24"/>
          <w:highlight w:val="none"/>
          <w:lang w:val="en-US" w:eastAsia="zh-CN"/>
        </w:rPr>
      </w:pPr>
      <w:r>
        <w:rPr>
          <w:rFonts w:hint="eastAsia" w:ascii="宋体" w:hAnsi="宋体" w:eastAsia="宋体" w:cs="宋体"/>
          <w:sz w:val="24"/>
          <w:szCs w:val="24"/>
          <w:highlight w:val="none"/>
        </w:rPr>
        <w:t>授权代理人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电话：                          邮箱：</w:t>
      </w:r>
    </w:p>
    <w:p w14:paraId="1E7048B7">
      <w:pPr>
        <w:rPr>
          <w:rFonts w:ascii="仿宋_GB2312" w:hAnsi="Calibri" w:eastAsia="仿宋_GB2312"/>
          <w:sz w:val="32"/>
          <w:szCs w:val="32"/>
          <w:highlight w:val="none"/>
        </w:rPr>
      </w:pPr>
      <w:bookmarkStart w:id="24" w:name="_Toc16307"/>
    </w:p>
    <w:p w14:paraId="10DA9163">
      <w:pPr>
        <w:pStyle w:val="2"/>
        <w:rPr>
          <w:rFonts w:ascii="仿宋_GB2312" w:hAnsi="Calibri" w:eastAsia="仿宋_GB2312"/>
          <w:sz w:val="32"/>
          <w:szCs w:val="32"/>
          <w:highlight w:val="none"/>
        </w:rPr>
      </w:pPr>
    </w:p>
    <w:p w14:paraId="7324F176">
      <w:pPr>
        <w:rPr>
          <w:rFonts w:ascii="仿宋_GB2312" w:hAnsi="Calibri" w:eastAsia="仿宋_GB2312"/>
          <w:sz w:val="32"/>
          <w:szCs w:val="32"/>
          <w:highlight w:val="none"/>
        </w:rPr>
      </w:pPr>
    </w:p>
    <w:p w14:paraId="4DF9CB76">
      <w:pPr>
        <w:rPr>
          <w:rFonts w:hint="eastAsia" w:ascii="黑体" w:hAnsi="黑体" w:eastAsia="黑体" w:cs="黑体"/>
          <w:sz w:val="32"/>
          <w:szCs w:val="32"/>
          <w:highlight w:val="none"/>
        </w:rPr>
      </w:pPr>
    </w:p>
    <w:p w14:paraId="112AB1B9">
      <w:pPr>
        <w:rPr>
          <w:rFonts w:hint="default" w:ascii="黑体" w:hAnsi="黑体" w:eastAsia="黑体" w:cs="黑体"/>
          <w:sz w:val="24"/>
          <w:szCs w:val="24"/>
          <w:highlight w:val="none"/>
          <w:lang w:val="en-US" w:eastAsia="zh-CN"/>
        </w:rPr>
      </w:pPr>
      <w:r>
        <w:rPr>
          <w:rFonts w:hint="eastAsia" w:ascii="黑体" w:hAnsi="黑体" w:eastAsia="黑体" w:cs="黑体"/>
          <w:sz w:val="24"/>
          <w:szCs w:val="24"/>
          <w:highlight w:val="none"/>
        </w:rPr>
        <w:t>附件</w:t>
      </w:r>
      <w:r>
        <w:rPr>
          <w:rFonts w:hint="eastAsia" w:ascii="黑体" w:hAnsi="黑体" w:eastAsia="黑体" w:cs="黑体"/>
          <w:sz w:val="24"/>
          <w:szCs w:val="24"/>
          <w:highlight w:val="none"/>
          <w:lang w:val="en-US" w:eastAsia="zh-CN"/>
        </w:rPr>
        <w:t>3</w:t>
      </w:r>
    </w:p>
    <w:p w14:paraId="3F9B474F">
      <w:pPr>
        <w:pStyle w:val="7"/>
        <w:spacing w:line="560" w:lineRule="exact"/>
        <w:ind w:right="283" w:rightChars="135"/>
        <w:jc w:val="center"/>
        <w:rPr>
          <w:rFonts w:ascii="宋体" w:hAnsi="宋体" w:eastAsia="宋体" w:cs="宋体"/>
          <w:sz w:val="36"/>
          <w:szCs w:val="36"/>
          <w:highlight w:val="none"/>
        </w:rPr>
      </w:pPr>
      <w:r>
        <w:rPr>
          <w:rFonts w:hint="eastAsia" w:ascii="宋体" w:hAnsi="宋体" w:eastAsia="宋体" w:cs="宋体"/>
          <w:b/>
          <w:bCs/>
          <w:sz w:val="36"/>
          <w:szCs w:val="36"/>
          <w:highlight w:val="none"/>
        </w:rPr>
        <w:t>投标人基本情况表</w:t>
      </w:r>
    </w:p>
    <w:tbl>
      <w:tblPr>
        <w:tblStyle w:val="20"/>
        <w:tblW w:w="8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1"/>
        <w:gridCol w:w="1086"/>
        <w:gridCol w:w="950"/>
        <w:gridCol w:w="1088"/>
        <w:gridCol w:w="1630"/>
        <w:gridCol w:w="2004"/>
      </w:tblGrid>
      <w:tr w14:paraId="79569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41" w:type="dxa"/>
            <w:vAlign w:val="center"/>
          </w:tcPr>
          <w:p w14:paraId="6593CBC5">
            <w:pPr>
              <w:spacing w:line="276" w:lineRule="auto"/>
              <w:jc w:val="center"/>
              <w:rPr>
                <w:rFonts w:ascii="宋体" w:hAnsi="宋体" w:cs="Calibri"/>
                <w:sz w:val="24"/>
                <w:highlight w:val="none"/>
              </w:rPr>
            </w:pPr>
            <w:r>
              <w:rPr>
                <w:rFonts w:ascii="宋体" w:hAnsi="宋体" w:cs="Calibri"/>
                <w:sz w:val="24"/>
                <w:highlight w:val="none"/>
              </w:rPr>
              <w:t>投标人名称</w:t>
            </w:r>
          </w:p>
        </w:tc>
        <w:tc>
          <w:tcPr>
            <w:tcW w:w="6758" w:type="dxa"/>
            <w:gridSpan w:val="5"/>
            <w:vAlign w:val="center"/>
          </w:tcPr>
          <w:p w14:paraId="77DCDC32">
            <w:pPr>
              <w:spacing w:line="276" w:lineRule="auto"/>
              <w:jc w:val="center"/>
              <w:rPr>
                <w:rFonts w:ascii="宋体" w:hAnsi="宋体" w:cs="Calibri"/>
                <w:sz w:val="24"/>
                <w:highlight w:val="none"/>
              </w:rPr>
            </w:pPr>
          </w:p>
        </w:tc>
      </w:tr>
      <w:tr w14:paraId="3872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41" w:type="dxa"/>
            <w:vAlign w:val="center"/>
          </w:tcPr>
          <w:p w14:paraId="55527811">
            <w:pPr>
              <w:spacing w:line="276" w:lineRule="auto"/>
              <w:jc w:val="center"/>
              <w:rPr>
                <w:rFonts w:ascii="宋体" w:hAnsi="宋体" w:cs="Calibri"/>
                <w:sz w:val="24"/>
                <w:highlight w:val="none"/>
              </w:rPr>
            </w:pPr>
            <w:r>
              <w:rPr>
                <w:rFonts w:ascii="宋体" w:hAnsi="宋体" w:cs="Calibri"/>
                <w:sz w:val="24"/>
                <w:highlight w:val="none"/>
              </w:rPr>
              <w:t>注册地址</w:t>
            </w:r>
          </w:p>
        </w:tc>
        <w:tc>
          <w:tcPr>
            <w:tcW w:w="3124" w:type="dxa"/>
            <w:gridSpan w:val="3"/>
            <w:vAlign w:val="center"/>
          </w:tcPr>
          <w:p w14:paraId="1DCC0E64">
            <w:pPr>
              <w:spacing w:line="276" w:lineRule="auto"/>
              <w:jc w:val="center"/>
              <w:rPr>
                <w:rFonts w:ascii="宋体" w:hAnsi="宋体" w:cs="Calibri"/>
                <w:sz w:val="24"/>
                <w:highlight w:val="none"/>
              </w:rPr>
            </w:pPr>
          </w:p>
        </w:tc>
        <w:tc>
          <w:tcPr>
            <w:tcW w:w="1630" w:type="dxa"/>
            <w:vAlign w:val="center"/>
          </w:tcPr>
          <w:p w14:paraId="1341A395">
            <w:pPr>
              <w:spacing w:line="276" w:lineRule="auto"/>
              <w:jc w:val="center"/>
              <w:rPr>
                <w:rFonts w:ascii="宋体" w:hAnsi="宋体" w:cs="Calibri"/>
                <w:sz w:val="24"/>
                <w:highlight w:val="none"/>
              </w:rPr>
            </w:pPr>
            <w:r>
              <w:rPr>
                <w:rFonts w:ascii="宋体" w:hAnsi="宋体" w:cs="Calibri"/>
                <w:sz w:val="24"/>
                <w:highlight w:val="none"/>
              </w:rPr>
              <w:t>邮政编码</w:t>
            </w:r>
          </w:p>
        </w:tc>
        <w:tc>
          <w:tcPr>
            <w:tcW w:w="2004" w:type="dxa"/>
            <w:vAlign w:val="center"/>
          </w:tcPr>
          <w:p w14:paraId="35300358">
            <w:pPr>
              <w:spacing w:line="276" w:lineRule="auto"/>
              <w:jc w:val="center"/>
              <w:rPr>
                <w:rFonts w:ascii="宋体" w:hAnsi="宋体" w:cs="Calibri"/>
                <w:sz w:val="24"/>
                <w:highlight w:val="none"/>
              </w:rPr>
            </w:pPr>
          </w:p>
        </w:tc>
      </w:tr>
      <w:tr w14:paraId="3966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41" w:type="dxa"/>
            <w:vMerge w:val="restart"/>
            <w:vAlign w:val="center"/>
          </w:tcPr>
          <w:p w14:paraId="566C01F6">
            <w:pPr>
              <w:spacing w:line="276" w:lineRule="auto"/>
              <w:jc w:val="center"/>
              <w:rPr>
                <w:rFonts w:ascii="宋体" w:hAnsi="宋体" w:cs="Calibri"/>
                <w:sz w:val="24"/>
                <w:highlight w:val="none"/>
              </w:rPr>
            </w:pPr>
            <w:r>
              <w:rPr>
                <w:rFonts w:ascii="宋体" w:hAnsi="宋体" w:cs="Calibri"/>
                <w:sz w:val="24"/>
                <w:highlight w:val="none"/>
              </w:rPr>
              <w:t>联系方式</w:t>
            </w:r>
          </w:p>
        </w:tc>
        <w:tc>
          <w:tcPr>
            <w:tcW w:w="1086" w:type="dxa"/>
            <w:vAlign w:val="center"/>
          </w:tcPr>
          <w:p w14:paraId="08C143E3">
            <w:pPr>
              <w:spacing w:line="276" w:lineRule="auto"/>
              <w:jc w:val="center"/>
              <w:rPr>
                <w:rFonts w:ascii="宋体" w:hAnsi="宋体" w:cs="Calibri"/>
                <w:sz w:val="24"/>
                <w:highlight w:val="none"/>
              </w:rPr>
            </w:pPr>
            <w:r>
              <w:rPr>
                <w:rFonts w:ascii="宋体" w:hAnsi="宋体" w:cs="Calibri"/>
                <w:sz w:val="24"/>
                <w:highlight w:val="none"/>
              </w:rPr>
              <w:t>联系人</w:t>
            </w:r>
          </w:p>
        </w:tc>
        <w:tc>
          <w:tcPr>
            <w:tcW w:w="2038" w:type="dxa"/>
            <w:gridSpan w:val="2"/>
            <w:vAlign w:val="center"/>
          </w:tcPr>
          <w:p w14:paraId="2974A9B5">
            <w:pPr>
              <w:spacing w:line="276" w:lineRule="auto"/>
              <w:jc w:val="center"/>
              <w:rPr>
                <w:rFonts w:ascii="宋体" w:hAnsi="宋体" w:cs="Calibri"/>
                <w:sz w:val="24"/>
                <w:highlight w:val="none"/>
              </w:rPr>
            </w:pPr>
          </w:p>
        </w:tc>
        <w:tc>
          <w:tcPr>
            <w:tcW w:w="1630" w:type="dxa"/>
            <w:vAlign w:val="center"/>
          </w:tcPr>
          <w:p w14:paraId="4B027812">
            <w:pPr>
              <w:spacing w:line="276" w:lineRule="auto"/>
              <w:jc w:val="center"/>
              <w:rPr>
                <w:rFonts w:ascii="宋体" w:hAnsi="宋体" w:cs="Calibri"/>
                <w:sz w:val="24"/>
                <w:highlight w:val="none"/>
              </w:rPr>
            </w:pPr>
            <w:r>
              <w:rPr>
                <w:rFonts w:ascii="宋体" w:hAnsi="宋体" w:cs="Calibri"/>
                <w:sz w:val="24"/>
                <w:highlight w:val="none"/>
              </w:rPr>
              <w:t>电话</w:t>
            </w:r>
          </w:p>
        </w:tc>
        <w:tc>
          <w:tcPr>
            <w:tcW w:w="2004" w:type="dxa"/>
            <w:vAlign w:val="center"/>
          </w:tcPr>
          <w:p w14:paraId="6E9BDB20">
            <w:pPr>
              <w:spacing w:line="276" w:lineRule="auto"/>
              <w:jc w:val="center"/>
              <w:rPr>
                <w:rFonts w:ascii="宋体" w:hAnsi="宋体" w:cs="Calibri"/>
                <w:sz w:val="24"/>
                <w:highlight w:val="none"/>
              </w:rPr>
            </w:pPr>
          </w:p>
        </w:tc>
      </w:tr>
      <w:tr w14:paraId="4C43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41" w:type="dxa"/>
            <w:vMerge w:val="continue"/>
            <w:vAlign w:val="center"/>
          </w:tcPr>
          <w:p w14:paraId="019136B5">
            <w:pPr>
              <w:spacing w:line="276" w:lineRule="auto"/>
              <w:jc w:val="center"/>
              <w:rPr>
                <w:rFonts w:ascii="宋体" w:hAnsi="宋体" w:cs="Calibri"/>
                <w:sz w:val="24"/>
                <w:highlight w:val="none"/>
              </w:rPr>
            </w:pPr>
          </w:p>
        </w:tc>
        <w:tc>
          <w:tcPr>
            <w:tcW w:w="1086" w:type="dxa"/>
            <w:vAlign w:val="center"/>
          </w:tcPr>
          <w:p w14:paraId="361C63E9">
            <w:pPr>
              <w:spacing w:line="276" w:lineRule="auto"/>
              <w:jc w:val="center"/>
              <w:rPr>
                <w:rFonts w:ascii="宋体" w:hAnsi="宋体" w:cs="Calibri"/>
                <w:sz w:val="24"/>
                <w:highlight w:val="none"/>
              </w:rPr>
            </w:pPr>
            <w:r>
              <w:rPr>
                <w:rFonts w:ascii="宋体" w:hAnsi="宋体" w:cs="Calibri"/>
                <w:sz w:val="24"/>
                <w:highlight w:val="none"/>
              </w:rPr>
              <w:t>传真</w:t>
            </w:r>
          </w:p>
        </w:tc>
        <w:tc>
          <w:tcPr>
            <w:tcW w:w="2038" w:type="dxa"/>
            <w:gridSpan w:val="2"/>
            <w:vAlign w:val="center"/>
          </w:tcPr>
          <w:p w14:paraId="136B8A18">
            <w:pPr>
              <w:spacing w:line="276" w:lineRule="auto"/>
              <w:jc w:val="center"/>
              <w:rPr>
                <w:rFonts w:ascii="宋体" w:hAnsi="宋体" w:cs="Calibri"/>
                <w:sz w:val="24"/>
                <w:highlight w:val="none"/>
              </w:rPr>
            </w:pPr>
          </w:p>
        </w:tc>
        <w:tc>
          <w:tcPr>
            <w:tcW w:w="1630" w:type="dxa"/>
            <w:vAlign w:val="center"/>
          </w:tcPr>
          <w:p w14:paraId="1C628284">
            <w:pPr>
              <w:spacing w:line="276" w:lineRule="auto"/>
              <w:jc w:val="center"/>
              <w:rPr>
                <w:rFonts w:ascii="宋体" w:hAnsi="宋体" w:cs="Calibri"/>
                <w:sz w:val="24"/>
                <w:highlight w:val="none"/>
              </w:rPr>
            </w:pPr>
            <w:r>
              <w:rPr>
                <w:rFonts w:ascii="宋体" w:hAnsi="宋体" w:cs="Calibri"/>
                <w:sz w:val="24"/>
                <w:highlight w:val="none"/>
              </w:rPr>
              <w:t>网址</w:t>
            </w:r>
          </w:p>
        </w:tc>
        <w:tc>
          <w:tcPr>
            <w:tcW w:w="2004" w:type="dxa"/>
            <w:vAlign w:val="center"/>
          </w:tcPr>
          <w:p w14:paraId="6B5A8D21">
            <w:pPr>
              <w:spacing w:line="276" w:lineRule="auto"/>
              <w:jc w:val="center"/>
              <w:rPr>
                <w:rFonts w:ascii="宋体" w:hAnsi="宋体" w:cs="Calibri"/>
                <w:sz w:val="24"/>
                <w:highlight w:val="none"/>
              </w:rPr>
            </w:pPr>
          </w:p>
        </w:tc>
      </w:tr>
      <w:tr w14:paraId="709A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41" w:type="dxa"/>
            <w:vAlign w:val="center"/>
          </w:tcPr>
          <w:p w14:paraId="651437FF">
            <w:pPr>
              <w:spacing w:line="276" w:lineRule="auto"/>
              <w:jc w:val="center"/>
              <w:rPr>
                <w:rFonts w:ascii="宋体" w:hAnsi="宋体" w:cs="Calibri"/>
                <w:sz w:val="24"/>
                <w:highlight w:val="none"/>
              </w:rPr>
            </w:pPr>
            <w:r>
              <w:rPr>
                <w:rFonts w:ascii="宋体" w:hAnsi="宋体" w:cs="Calibri"/>
                <w:sz w:val="24"/>
                <w:highlight w:val="none"/>
              </w:rPr>
              <w:t>法定代表人</w:t>
            </w:r>
          </w:p>
        </w:tc>
        <w:tc>
          <w:tcPr>
            <w:tcW w:w="1086" w:type="dxa"/>
            <w:vAlign w:val="center"/>
          </w:tcPr>
          <w:p w14:paraId="3E46CB28">
            <w:pPr>
              <w:spacing w:line="276" w:lineRule="auto"/>
              <w:jc w:val="center"/>
              <w:rPr>
                <w:rFonts w:ascii="宋体" w:hAnsi="宋体" w:cs="Calibri"/>
                <w:sz w:val="24"/>
                <w:highlight w:val="none"/>
              </w:rPr>
            </w:pPr>
            <w:r>
              <w:rPr>
                <w:rFonts w:ascii="宋体" w:hAnsi="宋体" w:cs="Calibri"/>
                <w:sz w:val="24"/>
                <w:highlight w:val="none"/>
              </w:rPr>
              <w:t>姓名</w:t>
            </w:r>
          </w:p>
        </w:tc>
        <w:tc>
          <w:tcPr>
            <w:tcW w:w="2038" w:type="dxa"/>
            <w:gridSpan w:val="2"/>
            <w:vAlign w:val="center"/>
          </w:tcPr>
          <w:p w14:paraId="447C22C3">
            <w:pPr>
              <w:spacing w:line="276" w:lineRule="auto"/>
              <w:jc w:val="center"/>
              <w:rPr>
                <w:rFonts w:ascii="宋体" w:hAnsi="宋体" w:cs="Calibri"/>
                <w:sz w:val="24"/>
                <w:highlight w:val="none"/>
              </w:rPr>
            </w:pPr>
          </w:p>
        </w:tc>
        <w:tc>
          <w:tcPr>
            <w:tcW w:w="1630" w:type="dxa"/>
            <w:vAlign w:val="center"/>
          </w:tcPr>
          <w:p w14:paraId="18AF0CA4">
            <w:pPr>
              <w:spacing w:line="276" w:lineRule="auto"/>
              <w:jc w:val="center"/>
              <w:rPr>
                <w:rFonts w:ascii="宋体" w:hAnsi="宋体" w:cs="Calibri"/>
                <w:sz w:val="24"/>
                <w:highlight w:val="none"/>
              </w:rPr>
            </w:pPr>
            <w:r>
              <w:rPr>
                <w:rFonts w:ascii="宋体" w:hAnsi="宋体" w:cs="Calibri"/>
                <w:sz w:val="24"/>
                <w:highlight w:val="none"/>
              </w:rPr>
              <w:t>职称</w:t>
            </w:r>
          </w:p>
        </w:tc>
        <w:tc>
          <w:tcPr>
            <w:tcW w:w="2004" w:type="dxa"/>
            <w:vAlign w:val="center"/>
          </w:tcPr>
          <w:p w14:paraId="7D305040">
            <w:pPr>
              <w:spacing w:line="276" w:lineRule="auto"/>
              <w:jc w:val="center"/>
              <w:rPr>
                <w:rFonts w:ascii="宋体" w:hAnsi="宋体" w:cs="Calibri"/>
                <w:sz w:val="24"/>
                <w:highlight w:val="none"/>
              </w:rPr>
            </w:pPr>
          </w:p>
        </w:tc>
      </w:tr>
      <w:tr w14:paraId="3CF6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41" w:type="dxa"/>
            <w:vAlign w:val="center"/>
          </w:tcPr>
          <w:p w14:paraId="0D63AB5F">
            <w:pPr>
              <w:spacing w:line="276" w:lineRule="auto"/>
              <w:jc w:val="center"/>
              <w:rPr>
                <w:rFonts w:ascii="宋体" w:hAnsi="宋体" w:cs="Calibri"/>
                <w:sz w:val="24"/>
                <w:highlight w:val="none"/>
              </w:rPr>
            </w:pPr>
            <w:r>
              <w:rPr>
                <w:rFonts w:ascii="宋体" w:hAnsi="宋体" w:cs="Calibri"/>
                <w:sz w:val="24"/>
                <w:highlight w:val="none"/>
              </w:rPr>
              <w:t>负责人</w:t>
            </w:r>
          </w:p>
        </w:tc>
        <w:tc>
          <w:tcPr>
            <w:tcW w:w="1086" w:type="dxa"/>
            <w:vAlign w:val="center"/>
          </w:tcPr>
          <w:p w14:paraId="2FDCAF76">
            <w:pPr>
              <w:spacing w:line="276" w:lineRule="auto"/>
              <w:jc w:val="center"/>
              <w:rPr>
                <w:rFonts w:ascii="宋体" w:hAnsi="宋体" w:cs="Calibri"/>
                <w:sz w:val="24"/>
                <w:highlight w:val="none"/>
              </w:rPr>
            </w:pPr>
            <w:r>
              <w:rPr>
                <w:rFonts w:ascii="宋体" w:hAnsi="宋体" w:cs="Calibri"/>
                <w:sz w:val="24"/>
                <w:highlight w:val="none"/>
              </w:rPr>
              <w:t>姓名</w:t>
            </w:r>
          </w:p>
        </w:tc>
        <w:tc>
          <w:tcPr>
            <w:tcW w:w="2038" w:type="dxa"/>
            <w:gridSpan w:val="2"/>
            <w:vAlign w:val="center"/>
          </w:tcPr>
          <w:p w14:paraId="0589EDB9">
            <w:pPr>
              <w:spacing w:line="276" w:lineRule="auto"/>
              <w:jc w:val="center"/>
              <w:rPr>
                <w:rFonts w:ascii="宋体" w:hAnsi="宋体" w:cs="Calibri"/>
                <w:sz w:val="24"/>
                <w:highlight w:val="none"/>
              </w:rPr>
            </w:pPr>
          </w:p>
        </w:tc>
        <w:tc>
          <w:tcPr>
            <w:tcW w:w="1630" w:type="dxa"/>
            <w:vAlign w:val="center"/>
          </w:tcPr>
          <w:p w14:paraId="37EA8427">
            <w:pPr>
              <w:spacing w:line="276" w:lineRule="auto"/>
              <w:jc w:val="center"/>
              <w:rPr>
                <w:rFonts w:ascii="宋体" w:hAnsi="宋体" w:cs="Calibri"/>
                <w:sz w:val="24"/>
                <w:highlight w:val="none"/>
              </w:rPr>
            </w:pPr>
            <w:r>
              <w:rPr>
                <w:rFonts w:ascii="宋体" w:hAnsi="宋体" w:cs="Calibri"/>
                <w:sz w:val="24"/>
                <w:highlight w:val="none"/>
              </w:rPr>
              <w:t>职称</w:t>
            </w:r>
          </w:p>
        </w:tc>
        <w:tc>
          <w:tcPr>
            <w:tcW w:w="2004" w:type="dxa"/>
            <w:vAlign w:val="center"/>
          </w:tcPr>
          <w:p w14:paraId="1C048B60">
            <w:pPr>
              <w:spacing w:line="276" w:lineRule="auto"/>
              <w:jc w:val="center"/>
              <w:rPr>
                <w:rFonts w:ascii="宋体" w:hAnsi="宋体" w:cs="Calibri"/>
                <w:sz w:val="24"/>
                <w:highlight w:val="none"/>
              </w:rPr>
            </w:pPr>
          </w:p>
        </w:tc>
      </w:tr>
      <w:tr w14:paraId="1590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41" w:type="dxa"/>
            <w:vAlign w:val="center"/>
          </w:tcPr>
          <w:p w14:paraId="74EC1F22">
            <w:pPr>
              <w:spacing w:line="276" w:lineRule="auto"/>
              <w:jc w:val="center"/>
              <w:rPr>
                <w:rFonts w:ascii="宋体" w:hAnsi="宋体" w:cs="Calibri"/>
                <w:sz w:val="24"/>
                <w:highlight w:val="none"/>
              </w:rPr>
            </w:pPr>
            <w:r>
              <w:rPr>
                <w:rFonts w:ascii="宋体" w:hAnsi="宋体" w:cs="Calibri"/>
                <w:sz w:val="24"/>
                <w:highlight w:val="none"/>
              </w:rPr>
              <w:t>成立时间</w:t>
            </w:r>
          </w:p>
        </w:tc>
        <w:tc>
          <w:tcPr>
            <w:tcW w:w="2036" w:type="dxa"/>
            <w:gridSpan w:val="2"/>
            <w:vAlign w:val="center"/>
          </w:tcPr>
          <w:p w14:paraId="560EAFE5">
            <w:pPr>
              <w:spacing w:line="276" w:lineRule="auto"/>
              <w:jc w:val="center"/>
              <w:rPr>
                <w:rFonts w:ascii="宋体" w:hAnsi="宋体" w:cs="Calibri"/>
                <w:sz w:val="24"/>
                <w:highlight w:val="none"/>
              </w:rPr>
            </w:pPr>
          </w:p>
        </w:tc>
        <w:tc>
          <w:tcPr>
            <w:tcW w:w="1088" w:type="dxa"/>
            <w:vMerge w:val="restart"/>
            <w:vAlign w:val="center"/>
          </w:tcPr>
          <w:p w14:paraId="02FDACB2">
            <w:pPr>
              <w:spacing w:line="276" w:lineRule="auto"/>
              <w:jc w:val="center"/>
              <w:rPr>
                <w:rFonts w:ascii="宋体" w:hAnsi="宋体" w:cs="Calibri"/>
                <w:sz w:val="24"/>
                <w:highlight w:val="none"/>
              </w:rPr>
            </w:pPr>
          </w:p>
          <w:p w14:paraId="74DAA895">
            <w:pPr>
              <w:spacing w:line="276" w:lineRule="auto"/>
              <w:jc w:val="center"/>
              <w:rPr>
                <w:rFonts w:ascii="宋体" w:hAnsi="宋体" w:cs="Calibri"/>
                <w:sz w:val="24"/>
                <w:highlight w:val="none"/>
              </w:rPr>
            </w:pPr>
          </w:p>
          <w:p w14:paraId="70B52750">
            <w:pPr>
              <w:spacing w:line="276" w:lineRule="auto"/>
              <w:jc w:val="center"/>
              <w:rPr>
                <w:rFonts w:ascii="宋体" w:hAnsi="宋体" w:cs="Calibri"/>
                <w:sz w:val="24"/>
                <w:highlight w:val="none"/>
              </w:rPr>
            </w:pPr>
          </w:p>
          <w:p w14:paraId="538D3427">
            <w:pPr>
              <w:spacing w:line="276" w:lineRule="auto"/>
              <w:jc w:val="center"/>
              <w:rPr>
                <w:rFonts w:ascii="宋体" w:hAnsi="宋体" w:cs="Calibri"/>
                <w:sz w:val="24"/>
                <w:highlight w:val="none"/>
              </w:rPr>
            </w:pPr>
            <w:r>
              <w:rPr>
                <w:rFonts w:ascii="宋体" w:hAnsi="宋体" w:cs="Calibri"/>
                <w:sz w:val="24"/>
                <w:highlight w:val="none"/>
              </w:rPr>
              <w:t>其中</w:t>
            </w:r>
          </w:p>
        </w:tc>
        <w:tc>
          <w:tcPr>
            <w:tcW w:w="3634" w:type="dxa"/>
            <w:gridSpan w:val="2"/>
            <w:vAlign w:val="center"/>
          </w:tcPr>
          <w:p w14:paraId="6ADE36CD">
            <w:pPr>
              <w:tabs>
                <w:tab w:val="left" w:pos="690"/>
              </w:tabs>
              <w:spacing w:line="276" w:lineRule="auto"/>
              <w:jc w:val="center"/>
              <w:rPr>
                <w:rFonts w:ascii="宋体" w:hAnsi="宋体" w:cs="Calibri"/>
                <w:sz w:val="24"/>
                <w:highlight w:val="none"/>
              </w:rPr>
            </w:pPr>
            <w:r>
              <w:rPr>
                <w:rFonts w:hint="eastAsia" w:ascii="宋体" w:hAnsi="宋体" w:cs="Calibri"/>
                <w:sz w:val="24"/>
                <w:highlight w:val="none"/>
              </w:rPr>
              <w:t>现在岗</w:t>
            </w:r>
            <w:r>
              <w:rPr>
                <w:rFonts w:ascii="宋体" w:hAnsi="宋体" w:cs="Calibri"/>
                <w:sz w:val="24"/>
                <w:highlight w:val="none"/>
              </w:rPr>
              <w:t>员工总人数</w:t>
            </w:r>
          </w:p>
        </w:tc>
      </w:tr>
      <w:tr w14:paraId="458A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41" w:type="dxa"/>
            <w:vAlign w:val="center"/>
          </w:tcPr>
          <w:p w14:paraId="2B781D3E">
            <w:pPr>
              <w:spacing w:line="276" w:lineRule="auto"/>
              <w:jc w:val="center"/>
              <w:rPr>
                <w:rFonts w:ascii="宋体" w:hAnsi="宋体" w:cs="Calibri"/>
                <w:sz w:val="24"/>
                <w:highlight w:val="none"/>
              </w:rPr>
            </w:pPr>
            <w:r>
              <w:rPr>
                <w:rFonts w:ascii="宋体" w:hAnsi="宋体" w:cs="Calibri"/>
                <w:sz w:val="24"/>
                <w:highlight w:val="none"/>
              </w:rPr>
              <w:t>企业资质等级</w:t>
            </w:r>
          </w:p>
        </w:tc>
        <w:tc>
          <w:tcPr>
            <w:tcW w:w="2036" w:type="dxa"/>
            <w:gridSpan w:val="2"/>
            <w:vAlign w:val="center"/>
          </w:tcPr>
          <w:p w14:paraId="6380CD2A">
            <w:pPr>
              <w:spacing w:line="276" w:lineRule="auto"/>
              <w:jc w:val="center"/>
              <w:rPr>
                <w:rFonts w:ascii="宋体" w:hAnsi="宋体" w:cs="Calibri"/>
                <w:sz w:val="24"/>
                <w:highlight w:val="none"/>
              </w:rPr>
            </w:pPr>
          </w:p>
        </w:tc>
        <w:tc>
          <w:tcPr>
            <w:tcW w:w="1088" w:type="dxa"/>
            <w:vMerge w:val="continue"/>
            <w:vAlign w:val="center"/>
          </w:tcPr>
          <w:p w14:paraId="584CCEEA">
            <w:pPr>
              <w:spacing w:line="276" w:lineRule="auto"/>
              <w:jc w:val="center"/>
              <w:rPr>
                <w:rFonts w:ascii="宋体" w:hAnsi="宋体" w:cs="Calibri"/>
                <w:sz w:val="24"/>
                <w:highlight w:val="none"/>
              </w:rPr>
            </w:pPr>
          </w:p>
        </w:tc>
        <w:tc>
          <w:tcPr>
            <w:tcW w:w="1630" w:type="dxa"/>
            <w:vMerge w:val="restart"/>
            <w:vAlign w:val="center"/>
          </w:tcPr>
          <w:p w14:paraId="4526C9AD">
            <w:pPr>
              <w:tabs>
                <w:tab w:val="left" w:pos="690"/>
              </w:tabs>
              <w:spacing w:line="276" w:lineRule="auto"/>
              <w:jc w:val="center"/>
              <w:rPr>
                <w:rFonts w:hint="default" w:ascii="宋体" w:hAnsi="宋体" w:cs="Calibri" w:eastAsiaTheme="minorEastAsia"/>
                <w:sz w:val="24"/>
                <w:highlight w:val="none"/>
                <w:lang w:val="en-US" w:eastAsia="zh-CN"/>
              </w:rPr>
            </w:pPr>
            <w:r>
              <w:rPr>
                <w:rFonts w:hint="eastAsia" w:ascii="宋体" w:hAnsi="宋体" w:cs="Calibri"/>
                <w:sz w:val="24"/>
                <w:highlight w:val="none"/>
                <w:lang w:val="en-US" w:eastAsia="zh-CN"/>
              </w:rPr>
              <w:t>专职人员</w:t>
            </w:r>
          </w:p>
        </w:tc>
        <w:tc>
          <w:tcPr>
            <w:tcW w:w="2004" w:type="dxa"/>
            <w:vMerge w:val="restart"/>
            <w:vAlign w:val="center"/>
          </w:tcPr>
          <w:p w14:paraId="1A4E28C1">
            <w:pPr>
              <w:tabs>
                <w:tab w:val="left" w:pos="690"/>
              </w:tabs>
              <w:spacing w:line="276" w:lineRule="auto"/>
              <w:jc w:val="center"/>
              <w:rPr>
                <w:rFonts w:ascii="宋体" w:hAnsi="宋体" w:cs="Calibri"/>
                <w:sz w:val="24"/>
                <w:highlight w:val="none"/>
              </w:rPr>
            </w:pPr>
          </w:p>
        </w:tc>
      </w:tr>
      <w:tr w14:paraId="3FE1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41" w:type="dxa"/>
            <w:vAlign w:val="center"/>
          </w:tcPr>
          <w:p w14:paraId="4F9D78B3">
            <w:pPr>
              <w:spacing w:line="276" w:lineRule="auto"/>
              <w:jc w:val="center"/>
              <w:rPr>
                <w:rFonts w:ascii="宋体" w:hAnsi="宋体" w:cs="Calibri"/>
                <w:sz w:val="24"/>
                <w:highlight w:val="none"/>
              </w:rPr>
            </w:pPr>
            <w:r>
              <w:rPr>
                <w:rFonts w:ascii="宋体" w:hAnsi="宋体" w:cs="Calibri"/>
                <w:sz w:val="24"/>
                <w:highlight w:val="none"/>
              </w:rPr>
              <w:t>营业执照号</w:t>
            </w:r>
          </w:p>
        </w:tc>
        <w:tc>
          <w:tcPr>
            <w:tcW w:w="2036" w:type="dxa"/>
            <w:gridSpan w:val="2"/>
            <w:vAlign w:val="center"/>
          </w:tcPr>
          <w:p w14:paraId="3AA3F7C1">
            <w:pPr>
              <w:spacing w:line="276" w:lineRule="auto"/>
              <w:jc w:val="center"/>
              <w:rPr>
                <w:rFonts w:ascii="宋体" w:hAnsi="宋体" w:cs="Calibri"/>
                <w:sz w:val="24"/>
                <w:highlight w:val="none"/>
              </w:rPr>
            </w:pPr>
          </w:p>
        </w:tc>
        <w:tc>
          <w:tcPr>
            <w:tcW w:w="1088" w:type="dxa"/>
            <w:vMerge w:val="continue"/>
            <w:vAlign w:val="center"/>
          </w:tcPr>
          <w:p w14:paraId="614DF5B5">
            <w:pPr>
              <w:spacing w:line="276" w:lineRule="auto"/>
              <w:jc w:val="center"/>
              <w:rPr>
                <w:rFonts w:ascii="宋体" w:hAnsi="宋体" w:cs="Calibri"/>
                <w:sz w:val="24"/>
                <w:highlight w:val="none"/>
              </w:rPr>
            </w:pPr>
          </w:p>
        </w:tc>
        <w:tc>
          <w:tcPr>
            <w:tcW w:w="1630" w:type="dxa"/>
            <w:vMerge w:val="continue"/>
            <w:vAlign w:val="center"/>
          </w:tcPr>
          <w:p w14:paraId="12C851A0">
            <w:pPr>
              <w:tabs>
                <w:tab w:val="left" w:pos="690"/>
              </w:tabs>
              <w:spacing w:line="276" w:lineRule="auto"/>
              <w:jc w:val="center"/>
              <w:rPr>
                <w:rFonts w:ascii="宋体" w:hAnsi="宋体" w:cs="Calibri"/>
                <w:sz w:val="24"/>
                <w:highlight w:val="none"/>
              </w:rPr>
            </w:pPr>
          </w:p>
        </w:tc>
        <w:tc>
          <w:tcPr>
            <w:tcW w:w="2004" w:type="dxa"/>
            <w:vMerge w:val="continue"/>
            <w:vAlign w:val="center"/>
          </w:tcPr>
          <w:p w14:paraId="78101C07">
            <w:pPr>
              <w:tabs>
                <w:tab w:val="left" w:pos="690"/>
              </w:tabs>
              <w:spacing w:line="276" w:lineRule="auto"/>
              <w:jc w:val="center"/>
              <w:rPr>
                <w:rFonts w:ascii="宋体" w:hAnsi="宋体" w:cs="Calibri"/>
                <w:sz w:val="24"/>
                <w:highlight w:val="none"/>
              </w:rPr>
            </w:pPr>
          </w:p>
        </w:tc>
      </w:tr>
      <w:tr w14:paraId="2F4B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41" w:type="dxa"/>
            <w:vAlign w:val="center"/>
          </w:tcPr>
          <w:p w14:paraId="5B072C0E">
            <w:pPr>
              <w:spacing w:line="276" w:lineRule="auto"/>
              <w:jc w:val="center"/>
              <w:rPr>
                <w:rFonts w:ascii="宋体" w:hAnsi="宋体" w:cs="Calibri"/>
                <w:sz w:val="24"/>
                <w:highlight w:val="none"/>
              </w:rPr>
            </w:pPr>
            <w:r>
              <w:rPr>
                <w:rFonts w:ascii="宋体" w:hAnsi="宋体" w:cs="Calibri"/>
                <w:sz w:val="24"/>
                <w:highlight w:val="none"/>
              </w:rPr>
              <w:t>注册资金</w:t>
            </w:r>
          </w:p>
        </w:tc>
        <w:tc>
          <w:tcPr>
            <w:tcW w:w="2036" w:type="dxa"/>
            <w:gridSpan w:val="2"/>
            <w:vAlign w:val="center"/>
          </w:tcPr>
          <w:p w14:paraId="0EEC51CD">
            <w:pPr>
              <w:spacing w:line="276" w:lineRule="auto"/>
              <w:jc w:val="center"/>
              <w:rPr>
                <w:rFonts w:ascii="宋体" w:hAnsi="宋体" w:cs="Calibri"/>
                <w:sz w:val="24"/>
                <w:highlight w:val="none"/>
              </w:rPr>
            </w:pPr>
          </w:p>
        </w:tc>
        <w:tc>
          <w:tcPr>
            <w:tcW w:w="1088" w:type="dxa"/>
            <w:vMerge w:val="continue"/>
            <w:vAlign w:val="center"/>
          </w:tcPr>
          <w:p w14:paraId="4662A7D4">
            <w:pPr>
              <w:spacing w:line="276" w:lineRule="auto"/>
              <w:jc w:val="center"/>
              <w:rPr>
                <w:rFonts w:ascii="宋体" w:hAnsi="宋体" w:cs="Calibri"/>
                <w:sz w:val="24"/>
                <w:highlight w:val="none"/>
              </w:rPr>
            </w:pPr>
          </w:p>
        </w:tc>
        <w:tc>
          <w:tcPr>
            <w:tcW w:w="1630" w:type="dxa"/>
            <w:vMerge w:val="restart"/>
            <w:vAlign w:val="center"/>
          </w:tcPr>
          <w:p w14:paraId="1847A4C6">
            <w:pPr>
              <w:tabs>
                <w:tab w:val="left" w:pos="690"/>
              </w:tabs>
              <w:spacing w:line="276" w:lineRule="auto"/>
              <w:jc w:val="center"/>
              <w:rPr>
                <w:rFonts w:hint="eastAsia" w:ascii="宋体" w:hAnsi="宋体" w:cs="Calibri" w:eastAsiaTheme="minorEastAsia"/>
                <w:sz w:val="24"/>
                <w:highlight w:val="none"/>
                <w:lang w:eastAsia="zh-CN"/>
              </w:rPr>
            </w:pPr>
            <w:r>
              <w:rPr>
                <w:rFonts w:hint="eastAsia" w:ascii="宋体" w:hAnsi="宋体" w:cs="Calibri"/>
                <w:sz w:val="24"/>
                <w:highlight w:val="none"/>
              </w:rPr>
              <w:t>兼职</w:t>
            </w:r>
            <w:r>
              <w:rPr>
                <w:rFonts w:hint="eastAsia" w:ascii="宋体" w:hAnsi="宋体" w:cs="Calibri"/>
                <w:sz w:val="24"/>
                <w:highlight w:val="none"/>
                <w:lang w:val="en-US" w:eastAsia="zh-CN"/>
              </w:rPr>
              <w:t>人员</w:t>
            </w:r>
          </w:p>
        </w:tc>
        <w:tc>
          <w:tcPr>
            <w:tcW w:w="2004" w:type="dxa"/>
            <w:vMerge w:val="restart"/>
            <w:vAlign w:val="center"/>
          </w:tcPr>
          <w:p w14:paraId="7C7FD956">
            <w:pPr>
              <w:tabs>
                <w:tab w:val="left" w:pos="690"/>
              </w:tabs>
              <w:spacing w:line="276" w:lineRule="auto"/>
              <w:jc w:val="center"/>
              <w:rPr>
                <w:rFonts w:ascii="宋体" w:hAnsi="宋体" w:cs="Calibri"/>
                <w:sz w:val="24"/>
                <w:highlight w:val="none"/>
              </w:rPr>
            </w:pPr>
          </w:p>
        </w:tc>
      </w:tr>
      <w:tr w14:paraId="58EC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41" w:type="dxa"/>
            <w:vAlign w:val="center"/>
          </w:tcPr>
          <w:p w14:paraId="1BCF9BA4">
            <w:pPr>
              <w:spacing w:line="276" w:lineRule="auto"/>
              <w:jc w:val="center"/>
              <w:rPr>
                <w:rFonts w:ascii="宋体" w:hAnsi="宋体" w:cs="Calibri"/>
                <w:sz w:val="24"/>
                <w:highlight w:val="none"/>
              </w:rPr>
            </w:pPr>
            <w:r>
              <w:rPr>
                <w:rFonts w:ascii="宋体" w:hAnsi="宋体" w:cs="Calibri"/>
                <w:sz w:val="24"/>
                <w:highlight w:val="none"/>
              </w:rPr>
              <w:t>开户银行</w:t>
            </w:r>
          </w:p>
        </w:tc>
        <w:tc>
          <w:tcPr>
            <w:tcW w:w="2036" w:type="dxa"/>
            <w:gridSpan w:val="2"/>
            <w:vAlign w:val="center"/>
          </w:tcPr>
          <w:p w14:paraId="0701B527">
            <w:pPr>
              <w:spacing w:line="276" w:lineRule="auto"/>
              <w:jc w:val="center"/>
              <w:rPr>
                <w:rFonts w:ascii="宋体" w:hAnsi="宋体" w:cs="Calibri"/>
                <w:sz w:val="24"/>
                <w:highlight w:val="none"/>
              </w:rPr>
            </w:pPr>
          </w:p>
        </w:tc>
        <w:tc>
          <w:tcPr>
            <w:tcW w:w="1088" w:type="dxa"/>
            <w:vMerge w:val="continue"/>
            <w:vAlign w:val="center"/>
          </w:tcPr>
          <w:p w14:paraId="25F36AD1">
            <w:pPr>
              <w:spacing w:line="276" w:lineRule="auto"/>
              <w:jc w:val="center"/>
              <w:rPr>
                <w:rFonts w:ascii="宋体" w:hAnsi="宋体" w:cs="Calibri"/>
                <w:sz w:val="24"/>
                <w:highlight w:val="none"/>
              </w:rPr>
            </w:pPr>
          </w:p>
        </w:tc>
        <w:tc>
          <w:tcPr>
            <w:tcW w:w="1630" w:type="dxa"/>
            <w:vMerge w:val="continue"/>
            <w:vAlign w:val="center"/>
          </w:tcPr>
          <w:p w14:paraId="6535DA9C">
            <w:pPr>
              <w:tabs>
                <w:tab w:val="left" w:pos="690"/>
              </w:tabs>
              <w:spacing w:line="276" w:lineRule="auto"/>
              <w:jc w:val="center"/>
              <w:rPr>
                <w:rFonts w:ascii="宋体" w:hAnsi="宋体" w:cs="Calibri"/>
                <w:sz w:val="24"/>
                <w:highlight w:val="none"/>
              </w:rPr>
            </w:pPr>
          </w:p>
        </w:tc>
        <w:tc>
          <w:tcPr>
            <w:tcW w:w="2004" w:type="dxa"/>
            <w:vMerge w:val="continue"/>
            <w:vAlign w:val="center"/>
          </w:tcPr>
          <w:p w14:paraId="4D134CB2">
            <w:pPr>
              <w:tabs>
                <w:tab w:val="left" w:pos="690"/>
              </w:tabs>
              <w:spacing w:line="276" w:lineRule="auto"/>
              <w:jc w:val="center"/>
              <w:rPr>
                <w:rFonts w:ascii="宋体" w:hAnsi="宋体" w:cs="Calibri"/>
                <w:sz w:val="24"/>
                <w:highlight w:val="none"/>
              </w:rPr>
            </w:pPr>
          </w:p>
        </w:tc>
      </w:tr>
      <w:tr w14:paraId="7DAD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41" w:type="dxa"/>
            <w:vAlign w:val="center"/>
          </w:tcPr>
          <w:p w14:paraId="62946294">
            <w:pPr>
              <w:spacing w:line="276" w:lineRule="auto"/>
              <w:jc w:val="center"/>
              <w:rPr>
                <w:rFonts w:ascii="宋体" w:hAnsi="宋体" w:cs="Calibri"/>
                <w:sz w:val="24"/>
                <w:highlight w:val="none"/>
              </w:rPr>
            </w:pPr>
            <w:r>
              <w:rPr>
                <w:rFonts w:ascii="宋体" w:hAnsi="宋体" w:cs="Calibri"/>
                <w:sz w:val="24"/>
                <w:highlight w:val="none"/>
              </w:rPr>
              <w:t>银行账号</w:t>
            </w:r>
          </w:p>
        </w:tc>
        <w:tc>
          <w:tcPr>
            <w:tcW w:w="2036" w:type="dxa"/>
            <w:gridSpan w:val="2"/>
            <w:vAlign w:val="center"/>
          </w:tcPr>
          <w:p w14:paraId="2D000B34">
            <w:pPr>
              <w:spacing w:line="276" w:lineRule="auto"/>
              <w:jc w:val="center"/>
              <w:rPr>
                <w:rFonts w:ascii="宋体" w:hAnsi="宋体" w:cs="Calibri"/>
                <w:sz w:val="24"/>
                <w:highlight w:val="none"/>
              </w:rPr>
            </w:pPr>
          </w:p>
        </w:tc>
        <w:tc>
          <w:tcPr>
            <w:tcW w:w="1088" w:type="dxa"/>
            <w:vMerge w:val="continue"/>
            <w:vAlign w:val="center"/>
          </w:tcPr>
          <w:p w14:paraId="14F7D052">
            <w:pPr>
              <w:spacing w:line="276" w:lineRule="auto"/>
              <w:jc w:val="center"/>
              <w:rPr>
                <w:rFonts w:ascii="宋体" w:hAnsi="宋体" w:cs="Calibri"/>
                <w:sz w:val="24"/>
                <w:highlight w:val="none"/>
              </w:rPr>
            </w:pPr>
          </w:p>
        </w:tc>
        <w:tc>
          <w:tcPr>
            <w:tcW w:w="1630" w:type="dxa"/>
            <w:vMerge w:val="continue"/>
            <w:vAlign w:val="center"/>
          </w:tcPr>
          <w:p w14:paraId="359A0EF9">
            <w:pPr>
              <w:tabs>
                <w:tab w:val="left" w:pos="690"/>
              </w:tabs>
              <w:spacing w:line="276" w:lineRule="auto"/>
              <w:jc w:val="center"/>
              <w:rPr>
                <w:rFonts w:ascii="宋体" w:hAnsi="宋体" w:cs="Calibri"/>
                <w:sz w:val="24"/>
                <w:highlight w:val="none"/>
              </w:rPr>
            </w:pPr>
          </w:p>
        </w:tc>
        <w:tc>
          <w:tcPr>
            <w:tcW w:w="2004" w:type="dxa"/>
            <w:vMerge w:val="continue"/>
            <w:vAlign w:val="center"/>
          </w:tcPr>
          <w:p w14:paraId="26E973BB">
            <w:pPr>
              <w:tabs>
                <w:tab w:val="left" w:pos="690"/>
              </w:tabs>
              <w:spacing w:line="276" w:lineRule="auto"/>
              <w:jc w:val="center"/>
              <w:rPr>
                <w:rFonts w:ascii="宋体" w:hAnsi="宋体" w:cs="Calibri"/>
                <w:sz w:val="24"/>
                <w:highlight w:val="none"/>
              </w:rPr>
            </w:pPr>
          </w:p>
        </w:tc>
      </w:tr>
      <w:tr w14:paraId="0B0E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trPr>
        <w:tc>
          <w:tcPr>
            <w:tcW w:w="8899" w:type="dxa"/>
            <w:gridSpan w:val="6"/>
            <w:vAlign w:val="center"/>
          </w:tcPr>
          <w:p w14:paraId="34EEB036">
            <w:pPr>
              <w:tabs>
                <w:tab w:val="left" w:pos="690"/>
              </w:tabs>
              <w:spacing w:line="276" w:lineRule="auto"/>
              <w:jc w:val="left"/>
              <w:rPr>
                <w:highlight w:val="none"/>
              </w:rPr>
            </w:pPr>
            <w:r>
              <w:rPr>
                <w:sz w:val="24"/>
                <w:szCs w:val="22"/>
                <w:highlight w:val="none"/>
              </w:rPr>
              <w:t>经营范围</w:t>
            </w:r>
            <w:r>
              <w:rPr>
                <w:rFonts w:hint="eastAsia"/>
                <w:sz w:val="24"/>
                <w:szCs w:val="22"/>
                <w:highlight w:val="none"/>
              </w:rPr>
              <w:t>：</w:t>
            </w:r>
          </w:p>
          <w:p w14:paraId="4E2B43F9">
            <w:pPr>
              <w:pStyle w:val="2"/>
              <w:rPr>
                <w:highlight w:val="none"/>
              </w:rPr>
            </w:pPr>
          </w:p>
        </w:tc>
      </w:tr>
      <w:tr w14:paraId="73FE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trPr>
        <w:tc>
          <w:tcPr>
            <w:tcW w:w="8899" w:type="dxa"/>
            <w:gridSpan w:val="6"/>
            <w:vAlign w:val="center"/>
          </w:tcPr>
          <w:p w14:paraId="00BAC289">
            <w:pPr>
              <w:tabs>
                <w:tab w:val="left" w:pos="690"/>
              </w:tabs>
              <w:spacing w:line="276" w:lineRule="auto"/>
              <w:jc w:val="left"/>
              <w:rPr>
                <w:rFonts w:hint="default" w:eastAsiaTheme="minorEastAsia"/>
                <w:b w:val="0"/>
                <w:bCs w:val="0"/>
                <w:i w:val="0"/>
                <w:iCs w:val="0"/>
                <w:highlight w:val="none"/>
                <w:lang w:val="en-US" w:eastAsia="zh-CN"/>
              </w:rPr>
            </w:pPr>
            <w:r>
              <w:rPr>
                <w:rFonts w:hint="eastAsia"/>
                <w:sz w:val="24"/>
                <w:szCs w:val="22"/>
                <w:highlight w:val="none"/>
                <w:lang w:val="en-US" w:eastAsia="zh-CN"/>
              </w:rPr>
              <w:t>近三年业绩：</w:t>
            </w:r>
          </w:p>
        </w:tc>
      </w:tr>
    </w:tbl>
    <w:p w14:paraId="3B2BDB6A">
      <w:pPr>
        <w:pStyle w:val="7"/>
        <w:spacing w:line="560" w:lineRule="exact"/>
        <w:ind w:right="283" w:rightChars="135"/>
        <w:rPr>
          <w:rFonts w:ascii="宋体" w:hAnsi="宋体" w:eastAsia="宋体" w:cs="宋体"/>
          <w:sz w:val="24"/>
          <w:szCs w:val="24"/>
          <w:highlight w:val="none"/>
        </w:rPr>
      </w:pPr>
      <w:r>
        <w:rPr>
          <w:rFonts w:hint="eastAsia" w:ascii="宋体" w:hAnsi="宋体" w:eastAsia="宋体" w:cs="宋体"/>
          <w:sz w:val="24"/>
          <w:szCs w:val="24"/>
          <w:highlight w:val="none"/>
        </w:rPr>
        <w:t>投标人：（盖章）</w:t>
      </w:r>
    </w:p>
    <w:p w14:paraId="2FE3C007">
      <w:pPr>
        <w:spacing w:line="660" w:lineRule="exact"/>
        <w:rPr>
          <w:rFonts w:ascii="宋体" w:hAnsi="宋体" w:cs="宋体"/>
          <w:sz w:val="24"/>
          <w:szCs w:val="24"/>
          <w:highlight w:val="none"/>
        </w:rPr>
      </w:pPr>
      <w:r>
        <w:rPr>
          <w:rFonts w:hint="eastAsia" w:ascii="宋体" w:hAnsi="宋体" w:cs="宋体"/>
          <w:sz w:val="24"/>
          <w:szCs w:val="24"/>
          <w:highlight w:val="none"/>
        </w:rPr>
        <w:t>法定代表人（委托代理人）：（签字）</w:t>
      </w:r>
    </w:p>
    <w:p w14:paraId="4D267AC5">
      <w:pPr>
        <w:pStyle w:val="7"/>
        <w:spacing w:line="560" w:lineRule="exact"/>
        <w:ind w:right="283" w:rightChars="135"/>
        <w:rPr>
          <w:rFonts w:hint="eastAsia" w:ascii="仿宋_GB2312" w:hAnsi="仿宋_GB2312" w:eastAsia="仿宋_GB2312" w:cs="仿宋_GB2312"/>
          <w:highlight w:val="none"/>
        </w:rPr>
      </w:pPr>
      <w:r>
        <w:rPr>
          <w:rFonts w:hint="eastAsia" w:ascii="宋体" w:hAnsi="宋体" w:eastAsia="宋体" w:cs="宋体"/>
          <w:sz w:val="24"/>
          <w:szCs w:val="24"/>
          <w:highlight w:val="none"/>
        </w:rPr>
        <w:t>日期：年月日</w:t>
      </w:r>
    </w:p>
    <w:p w14:paraId="481E706B">
      <w:pPr>
        <w:pStyle w:val="7"/>
        <w:spacing w:line="258" w:lineRule="auto"/>
        <w:rPr>
          <w:rFonts w:hint="eastAsia" w:ascii="黑体" w:hAnsi="黑体" w:eastAsia="黑体" w:cs="黑体"/>
          <w:highlight w:val="none"/>
          <w:lang w:val="en-US" w:eastAsia="zh-CN"/>
        </w:rPr>
      </w:pPr>
    </w:p>
    <w:p w14:paraId="6CF71EF0">
      <w:pPr>
        <w:pStyle w:val="7"/>
        <w:spacing w:line="258" w:lineRule="auto"/>
        <w:rPr>
          <w:rFonts w:hint="eastAsia" w:ascii="黑体" w:hAnsi="黑体" w:eastAsia="黑体" w:cs="黑体"/>
          <w:highlight w:val="none"/>
          <w:lang w:val="en-US" w:eastAsia="zh-CN"/>
        </w:rPr>
      </w:pPr>
    </w:p>
    <w:p w14:paraId="0F7F33D6">
      <w:pPr>
        <w:rPr>
          <w:rFonts w:hint="eastAsia" w:ascii="黑体" w:hAnsi="黑体" w:eastAsia="黑体" w:cs="黑体"/>
          <w:sz w:val="24"/>
          <w:szCs w:val="24"/>
          <w:highlight w:val="none"/>
          <w:lang w:val="en-US" w:eastAsia="zh-CN"/>
        </w:rPr>
      </w:pPr>
    </w:p>
    <w:p w14:paraId="4926D434">
      <w:pPr>
        <w:rPr>
          <w:rFonts w:hint="eastAsia" w:ascii="黑体" w:hAnsi="黑体" w:eastAsia="黑体" w:cs="黑体"/>
          <w:sz w:val="24"/>
          <w:szCs w:val="24"/>
          <w:highlight w:val="none"/>
          <w:lang w:val="en-US" w:eastAsia="zh-CN"/>
        </w:rPr>
      </w:pPr>
    </w:p>
    <w:p w14:paraId="4FAA5F71">
      <w:pPr>
        <w:rPr>
          <w:rFonts w:hint="default"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附件4</w:t>
      </w:r>
    </w:p>
    <w:p w14:paraId="5D5247C4">
      <w:pPr>
        <w:pStyle w:val="7"/>
        <w:spacing w:line="259" w:lineRule="auto"/>
        <w:rPr>
          <w:highlight w:val="none"/>
        </w:rPr>
      </w:pPr>
    </w:p>
    <w:p w14:paraId="07351D8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outlineLvl w:val="0"/>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b/>
          <w:bCs/>
          <w:spacing w:val="-37"/>
          <w:sz w:val="44"/>
          <w:szCs w:val="44"/>
          <w:highlight w:val="none"/>
        </w:rPr>
        <w:t>投标人信誉良好说明</w:t>
      </w:r>
    </w:p>
    <w:p w14:paraId="680EC2E5">
      <w:pPr>
        <w:pStyle w:val="7"/>
        <w:spacing w:line="311" w:lineRule="auto"/>
        <w:rPr>
          <w:highlight w:val="none"/>
        </w:rPr>
      </w:pPr>
    </w:p>
    <w:p w14:paraId="4FC7C259">
      <w:pPr>
        <w:keepNext w:val="0"/>
        <w:keepLines w:val="0"/>
        <w:pageBreakBefore w:val="0"/>
        <w:widowControl w:val="0"/>
        <w:kinsoku/>
        <w:wordWrap/>
        <w:overflowPunct/>
        <w:topLinePunct w:val="0"/>
        <w:autoSpaceDE/>
        <w:autoSpaceDN/>
        <w:bidi w:val="0"/>
        <w:adjustRightInd/>
        <w:snapToGrid/>
        <w:spacing w:line="580" w:lineRule="exact"/>
        <w:ind w:left="48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26"/>
          <w:w w:val="99"/>
          <w:sz w:val="32"/>
          <w:szCs w:val="32"/>
          <w:highlight w:val="none"/>
        </w:rPr>
        <w:t>近三年内，在经营活动中没有重大违法记录书面声明</w:t>
      </w:r>
    </w:p>
    <w:p w14:paraId="6BCEEE7D">
      <w:pPr>
        <w:pStyle w:val="7"/>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highlight w:val="none"/>
        </w:rPr>
      </w:pPr>
    </w:p>
    <w:p w14:paraId="647FEDC7">
      <w:pPr>
        <w:keepNext w:val="0"/>
        <w:keepLines w:val="0"/>
        <w:pageBreakBefore w:val="0"/>
        <w:widowControl w:val="0"/>
        <w:kinsoku/>
        <w:wordWrap/>
        <w:overflowPunct/>
        <w:topLinePunct w:val="0"/>
        <w:autoSpaceDE/>
        <w:autoSpaceDN/>
        <w:bidi w:val="0"/>
        <w:adjustRightInd/>
        <w:snapToGrid/>
        <w:spacing w:line="580" w:lineRule="exact"/>
        <w:ind w:left="48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13"/>
          <w:sz w:val="32"/>
          <w:szCs w:val="32"/>
          <w:highlight w:val="none"/>
        </w:rPr>
        <w:t>致：</w:t>
      </w:r>
      <w:r>
        <w:rPr>
          <w:rFonts w:hint="eastAsia" w:ascii="仿宋_GB2312" w:hAnsi="仿宋_GB2312" w:eastAsia="仿宋_GB2312" w:cs="仿宋_GB2312"/>
          <w:sz w:val="32"/>
          <w:szCs w:val="32"/>
          <w:highlight w:val="none"/>
        </w:rPr>
        <w:t>中国重型汽车集团有限公司工会委员会：</w:t>
      </w:r>
    </w:p>
    <w:p w14:paraId="0431B7DD">
      <w:pPr>
        <w:keepNext w:val="0"/>
        <w:keepLines w:val="0"/>
        <w:pageBreakBefore w:val="0"/>
        <w:widowControl w:val="0"/>
        <w:kinsoku/>
        <w:wordWrap/>
        <w:overflowPunct/>
        <w:topLinePunct w:val="0"/>
        <w:autoSpaceDE/>
        <w:autoSpaceDN/>
        <w:bidi w:val="0"/>
        <w:adjustRightInd/>
        <w:snapToGrid/>
        <w:spacing w:line="580" w:lineRule="exact"/>
        <w:ind w:left="485" w:firstLine="571"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pacing w:val="-18"/>
          <w:sz w:val="32"/>
          <w:szCs w:val="32"/>
          <w:highlight w:val="none"/>
        </w:rPr>
        <w:t>现承诺我公司在参加招标采购活动前三年内，</w:t>
      </w:r>
      <w:r>
        <w:rPr>
          <w:rFonts w:hint="eastAsia" w:ascii="仿宋_GB2312" w:hAnsi="仿宋_GB2312" w:eastAsia="仿宋_GB2312" w:cs="仿宋_GB2312"/>
          <w:spacing w:val="-18"/>
          <w:sz w:val="32"/>
          <w:szCs w:val="32"/>
          <w:highlight w:val="none"/>
        </w:rPr>
        <w:t>在经营活动中没有重大</w:t>
      </w:r>
      <w:r>
        <w:rPr>
          <w:rFonts w:hint="eastAsia" w:ascii="仿宋_GB2312" w:hAnsi="仿宋_GB2312" w:eastAsia="仿宋_GB2312" w:cs="仿宋_GB2312"/>
          <w:spacing w:val="-16"/>
          <w:sz w:val="32"/>
          <w:szCs w:val="32"/>
          <w:highlight w:val="none"/>
        </w:rPr>
        <w:t>违法记录。我单位未因违法经营受到刑事处罚或者责令停产停业、吊</w:t>
      </w:r>
      <w:r>
        <w:rPr>
          <w:rFonts w:hint="eastAsia" w:ascii="仿宋_GB2312" w:hAnsi="仿宋_GB2312" w:eastAsia="仿宋_GB2312" w:cs="仿宋_GB2312"/>
          <w:spacing w:val="-9"/>
          <w:sz w:val="32"/>
          <w:szCs w:val="32"/>
          <w:highlight w:val="none"/>
        </w:rPr>
        <w:t>销许可证或者执照、较大数额罚款等行政处罚，诚实守信，合法经</w:t>
      </w:r>
      <w:r>
        <w:rPr>
          <w:rFonts w:hint="eastAsia" w:ascii="仿宋_GB2312" w:hAnsi="仿宋_GB2312" w:eastAsia="仿宋_GB2312" w:cs="仿宋_GB2312"/>
          <w:spacing w:val="-13"/>
          <w:sz w:val="32"/>
          <w:szCs w:val="32"/>
          <w:highlight w:val="none"/>
        </w:rPr>
        <w:t>营。</w:t>
      </w:r>
    </w:p>
    <w:p w14:paraId="227CAF4B">
      <w:pPr>
        <w:keepNext w:val="0"/>
        <w:keepLines w:val="0"/>
        <w:pageBreakBefore w:val="0"/>
        <w:widowControl w:val="0"/>
        <w:kinsoku/>
        <w:wordWrap/>
        <w:overflowPunct/>
        <w:topLinePunct w:val="0"/>
        <w:autoSpaceDE/>
        <w:autoSpaceDN/>
        <w:bidi w:val="0"/>
        <w:adjustRightInd/>
        <w:snapToGrid/>
        <w:spacing w:line="580" w:lineRule="exact"/>
        <w:ind w:left="485" w:firstLine="584"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14"/>
          <w:sz w:val="32"/>
          <w:szCs w:val="32"/>
          <w:highlight w:val="none"/>
        </w:rPr>
        <w:t>如违反以上承诺，本公司愿承担一切法律责任。</w:t>
      </w:r>
    </w:p>
    <w:p w14:paraId="00E1B2F9">
      <w:pPr>
        <w:pStyle w:val="7"/>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highlight w:val="none"/>
        </w:rPr>
      </w:pPr>
    </w:p>
    <w:p w14:paraId="19BE68F8">
      <w:pPr>
        <w:pStyle w:val="7"/>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highlight w:val="none"/>
        </w:rPr>
      </w:pPr>
    </w:p>
    <w:p w14:paraId="6E1C05D9">
      <w:pPr>
        <w:pStyle w:val="7"/>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highlight w:val="none"/>
        </w:rPr>
      </w:pPr>
    </w:p>
    <w:p w14:paraId="78CA7EB7">
      <w:pPr>
        <w:pStyle w:val="7"/>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highlight w:val="none"/>
        </w:rPr>
      </w:pPr>
    </w:p>
    <w:p w14:paraId="34130F04">
      <w:pPr>
        <w:pStyle w:val="7"/>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highlight w:val="none"/>
        </w:rPr>
      </w:pPr>
    </w:p>
    <w:p w14:paraId="338A9305">
      <w:pPr>
        <w:pStyle w:val="7"/>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highlight w:val="none"/>
        </w:rPr>
      </w:pPr>
    </w:p>
    <w:p w14:paraId="6D1FA26F">
      <w:pPr>
        <w:keepNext w:val="0"/>
        <w:keepLines w:val="0"/>
        <w:pageBreakBefore w:val="0"/>
        <w:widowControl w:val="0"/>
        <w:kinsoku/>
        <w:wordWrap/>
        <w:overflowPunct/>
        <w:topLinePunct w:val="0"/>
        <w:autoSpaceDE/>
        <w:autoSpaceDN/>
        <w:bidi w:val="0"/>
        <w:adjustRightInd/>
        <w:snapToGrid/>
        <w:spacing w:line="580" w:lineRule="exact"/>
        <w:ind w:firstLine="5202" w:firstLineChars="17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7"/>
          <w:sz w:val="32"/>
          <w:szCs w:val="32"/>
          <w:highlight w:val="none"/>
        </w:rPr>
        <w:t>公司名称：</w:t>
      </w:r>
    </w:p>
    <w:p w14:paraId="69205A83">
      <w:pPr>
        <w:keepNext w:val="0"/>
        <w:keepLines w:val="0"/>
        <w:pageBreakBefore w:val="0"/>
        <w:widowControl w:val="0"/>
        <w:kinsoku/>
        <w:wordWrap/>
        <w:overflowPunct/>
        <w:topLinePunct w:val="0"/>
        <w:autoSpaceDE/>
        <w:autoSpaceDN/>
        <w:bidi w:val="0"/>
        <w:adjustRightInd/>
        <w:snapToGrid/>
        <w:spacing w:line="580" w:lineRule="exact"/>
        <w:ind w:left="3525"/>
        <w:jc w:val="righ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13"/>
          <w:sz w:val="32"/>
          <w:szCs w:val="32"/>
          <w:highlight w:val="none"/>
        </w:rPr>
        <w:t>日</w:t>
      </w:r>
      <w:r>
        <w:rPr>
          <w:rFonts w:hint="eastAsia" w:ascii="仿宋_GB2312" w:hAnsi="仿宋_GB2312" w:eastAsia="仿宋_GB2312" w:cs="仿宋_GB2312"/>
          <w:spacing w:val="-13"/>
          <w:sz w:val="32"/>
          <w:szCs w:val="32"/>
          <w:highlight w:val="none"/>
          <w:lang w:val="en-US" w:eastAsia="zh-CN"/>
        </w:rPr>
        <w:t>期</w:t>
      </w:r>
      <w:r>
        <w:rPr>
          <w:rFonts w:hint="eastAsia" w:ascii="仿宋_GB2312" w:hAnsi="仿宋_GB2312" w:eastAsia="仿宋_GB2312" w:cs="仿宋_GB2312"/>
          <w:spacing w:val="-13"/>
          <w:sz w:val="32"/>
          <w:szCs w:val="32"/>
          <w:highlight w:val="none"/>
        </w:rPr>
        <w:t>：2026年</w:t>
      </w:r>
      <w:r>
        <w:rPr>
          <w:rFonts w:hint="eastAsia" w:ascii="仿宋_GB2312" w:hAnsi="仿宋_GB2312" w:eastAsia="仿宋_GB2312" w:cs="仿宋_GB2312"/>
          <w:spacing w:val="-13"/>
          <w:sz w:val="32"/>
          <w:szCs w:val="32"/>
          <w:highlight w:val="none"/>
          <w:lang w:val="en-US" w:eastAsia="zh-CN"/>
        </w:rPr>
        <w:t>XX</w:t>
      </w:r>
      <w:r>
        <w:rPr>
          <w:rFonts w:hint="eastAsia" w:ascii="仿宋_GB2312" w:hAnsi="仿宋_GB2312" w:eastAsia="仿宋_GB2312" w:cs="仿宋_GB2312"/>
          <w:spacing w:val="-13"/>
          <w:sz w:val="32"/>
          <w:szCs w:val="32"/>
          <w:highlight w:val="none"/>
        </w:rPr>
        <w:t>月</w:t>
      </w:r>
      <w:r>
        <w:rPr>
          <w:rFonts w:hint="eastAsia" w:ascii="仿宋_GB2312" w:hAnsi="仿宋_GB2312" w:eastAsia="仿宋_GB2312" w:cs="仿宋_GB2312"/>
          <w:spacing w:val="-13"/>
          <w:sz w:val="32"/>
          <w:szCs w:val="32"/>
          <w:highlight w:val="none"/>
          <w:lang w:val="en-US" w:eastAsia="zh-CN"/>
        </w:rPr>
        <w:t>XX</w:t>
      </w:r>
      <w:r>
        <w:rPr>
          <w:rFonts w:hint="eastAsia" w:ascii="仿宋_GB2312" w:hAnsi="仿宋_GB2312" w:eastAsia="仿宋_GB2312" w:cs="仿宋_GB2312"/>
          <w:spacing w:val="-13"/>
          <w:sz w:val="32"/>
          <w:szCs w:val="32"/>
          <w:highlight w:val="none"/>
        </w:rPr>
        <w:t>日</w:t>
      </w:r>
    </w:p>
    <w:p w14:paraId="062B0FC5">
      <w:pPr>
        <w:ind w:firstLine="480"/>
        <w:rPr>
          <w:rFonts w:hint="eastAsia" w:asciiTheme="majorEastAsia" w:hAnsiTheme="majorEastAsia" w:eastAsiaTheme="majorEastAsia" w:cstheme="majorEastAsia"/>
          <w:sz w:val="24"/>
          <w:szCs w:val="24"/>
          <w:highlight w:val="none"/>
        </w:rPr>
      </w:pPr>
    </w:p>
    <w:p w14:paraId="62011792">
      <w:pPr>
        <w:ind w:firstLine="480"/>
        <w:rPr>
          <w:rFonts w:hint="eastAsia" w:asciiTheme="majorEastAsia" w:hAnsiTheme="majorEastAsia" w:eastAsiaTheme="majorEastAsia" w:cstheme="majorEastAsia"/>
          <w:sz w:val="24"/>
          <w:szCs w:val="24"/>
          <w:highlight w:val="none"/>
        </w:rPr>
      </w:pPr>
    </w:p>
    <w:p w14:paraId="78DC8F4C">
      <w:pPr>
        <w:ind w:firstLine="480"/>
        <w:rPr>
          <w:rFonts w:hint="eastAsia" w:asciiTheme="majorEastAsia" w:hAnsiTheme="majorEastAsia" w:eastAsiaTheme="majorEastAsia" w:cstheme="majorEastAsia"/>
          <w:sz w:val="24"/>
          <w:szCs w:val="24"/>
          <w:highlight w:val="none"/>
        </w:rPr>
      </w:pPr>
    </w:p>
    <w:bookmarkEnd w:id="24"/>
    <w:p w14:paraId="50B782F3">
      <w:pPr>
        <w:pStyle w:val="13"/>
        <w:rPr>
          <w:rFonts w:ascii="宋体" w:hAnsi="宋体" w:cs="宋体"/>
          <w:sz w:val="24"/>
          <w:szCs w:val="24"/>
          <w:highlight w:val="none"/>
        </w:rPr>
        <w:sectPr>
          <w:footerReference r:id="rId7" w:type="first"/>
          <w:footerReference r:id="rId6" w:type="default"/>
          <w:pgSz w:w="11906" w:h="16838"/>
          <w:pgMar w:top="1588" w:right="1418" w:bottom="1134" w:left="1418" w:header="851" w:footer="992" w:gutter="0"/>
          <w:pgNumType w:fmt="decimal" w:start="1"/>
          <w:cols w:space="720" w:num="1"/>
          <w:titlePg/>
          <w:docGrid w:type="lines" w:linePitch="312" w:charSpace="0"/>
        </w:sectPr>
      </w:pPr>
    </w:p>
    <w:p w14:paraId="6C0EFA38">
      <w:pPr>
        <w:rPr>
          <w:rFonts w:hint="eastAsia" w:ascii="黑体" w:hAnsi="黑体" w:eastAsia="黑体" w:cs="黑体"/>
          <w:sz w:val="24"/>
          <w:szCs w:val="24"/>
          <w:highlight w:val="none"/>
          <w:lang w:val="en-US" w:eastAsia="zh-CN"/>
        </w:rPr>
      </w:pPr>
      <w:bookmarkStart w:id="25" w:name="_Toc32286"/>
      <w:r>
        <w:rPr>
          <w:rFonts w:hint="eastAsia" w:ascii="黑体" w:hAnsi="黑体" w:eastAsia="黑体" w:cs="黑体"/>
          <w:sz w:val="24"/>
          <w:szCs w:val="24"/>
          <w:highlight w:val="none"/>
          <w:lang w:val="en-US" w:eastAsia="zh-CN"/>
        </w:rPr>
        <w:t>附件</w:t>
      </w:r>
      <w:bookmarkEnd w:id="25"/>
      <w:r>
        <w:rPr>
          <w:rFonts w:hint="eastAsia" w:ascii="黑体" w:hAnsi="黑体" w:eastAsia="黑体" w:cs="黑体"/>
          <w:sz w:val="24"/>
          <w:szCs w:val="24"/>
          <w:highlight w:val="none"/>
          <w:lang w:val="en-US" w:eastAsia="zh-CN"/>
        </w:rPr>
        <w:t>5</w:t>
      </w:r>
    </w:p>
    <w:p w14:paraId="297B5D39">
      <w:pPr>
        <w:jc w:val="center"/>
        <w:rPr>
          <w:rFonts w:hint="eastAsia" w:ascii="黑体" w:eastAsia="黑体"/>
          <w:sz w:val="30"/>
          <w:highlight w:val="none"/>
        </w:rPr>
      </w:pPr>
      <w:r>
        <w:rPr>
          <w:rFonts w:hint="eastAsia" w:ascii="黑体" w:eastAsia="黑体"/>
          <w:sz w:val="30"/>
          <w:highlight w:val="none"/>
        </w:rPr>
        <w:t>开标一览表</w:t>
      </w:r>
    </w:p>
    <w:p w14:paraId="463AA048">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投标单位：</w:t>
      </w:r>
    </w:p>
    <w:tbl>
      <w:tblPr>
        <w:tblStyle w:val="20"/>
        <w:tblW w:w="12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2370"/>
        <w:gridCol w:w="1866"/>
        <w:gridCol w:w="2682"/>
        <w:gridCol w:w="2855"/>
        <w:gridCol w:w="1283"/>
      </w:tblGrid>
      <w:tr w14:paraId="2941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681" w:type="dxa"/>
            <w:tcBorders>
              <w:top w:val="single" w:color="auto" w:sz="4" w:space="0"/>
              <w:left w:val="single" w:color="auto" w:sz="4" w:space="0"/>
              <w:bottom w:val="single" w:color="auto" w:sz="4" w:space="0"/>
              <w:right w:val="single" w:color="auto" w:sz="4" w:space="0"/>
            </w:tcBorders>
            <w:shd w:val="clear" w:color="auto" w:fill="FFFFFF"/>
            <w:vAlign w:val="center"/>
          </w:tcPr>
          <w:p w14:paraId="2A2F528B">
            <w:pPr>
              <w:jc w:val="center"/>
              <w:rPr>
                <w:rFonts w:hint="eastAsia" w:ascii="黑体" w:hAnsi="黑体" w:eastAsia="黑体"/>
                <w:sz w:val="24"/>
                <w:szCs w:val="24"/>
                <w:highlight w:val="none"/>
              </w:rPr>
            </w:pPr>
            <w:r>
              <w:rPr>
                <w:rFonts w:hint="eastAsia" w:ascii="黑体" w:hAnsi="黑体" w:eastAsia="黑体"/>
                <w:sz w:val="24"/>
                <w:szCs w:val="24"/>
                <w:highlight w:val="none"/>
              </w:rPr>
              <w:t>序号</w:t>
            </w:r>
          </w:p>
        </w:tc>
        <w:tc>
          <w:tcPr>
            <w:tcW w:w="2370" w:type="dxa"/>
            <w:tcBorders>
              <w:top w:val="single" w:color="auto" w:sz="4" w:space="0"/>
              <w:left w:val="single" w:color="auto" w:sz="4" w:space="0"/>
              <w:bottom w:val="single" w:color="auto" w:sz="4" w:space="0"/>
              <w:right w:val="single" w:color="auto" w:sz="4" w:space="0"/>
            </w:tcBorders>
            <w:shd w:val="clear" w:color="auto" w:fill="FFFFFF"/>
            <w:vAlign w:val="center"/>
          </w:tcPr>
          <w:p w14:paraId="1C08ACB5">
            <w:pPr>
              <w:jc w:val="center"/>
              <w:rPr>
                <w:rFonts w:hint="default" w:ascii="黑体" w:hAnsi="黑体" w:eastAsia="黑体"/>
                <w:sz w:val="24"/>
                <w:szCs w:val="24"/>
                <w:highlight w:val="none"/>
                <w:lang w:val="en-US" w:eastAsia="zh-CN"/>
              </w:rPr>
            </w:pPr>
            <w:r>
              <w:rPr>
                <w:rFonts w:hint="eastAsia" w:ascii="黑体" w:hAnsi="黑体" w:eastAsia="黑体"/>
                <w:sz w:val="24"/>
                <w:szCs w:val="24"/>
                <w:highlight w:val="none"/>
                <w:lang w:val="en-US" w:eastAsia="zh-CN"/>
              </w:rPr>
              <w:t>项目</w:t>
            </w:r>
          </w:p>
        </w:tc>
        <w:tc>
          <w:tcPr>
            <w:tcW w:w="1866" w:type="dxa"/>
            <w:tcBorders>
              <w:top w:val="single" w:color="auto" w:sz="4" w:space="0"/>
              <w:left w:val="single" w:color="auto" w:sz="4" w:space="0"/>
              <w:bottom w:val="single" w:color="auto" w:sz="4" w:space="0"/>
              <w:right w:val="single" w:color="auto" w:sz="4" w:space="0"/>
            </w:tcBorders>
            <w:shd w:val="clear" w:color="auto" w:fill="FFFFFF"/>
            <w:vAlign w:val="center"/>
          </w:tcPr>
          <w:p w14:paraId="69E43361">
            <w:pPr>
              <w:jc w:val="center"/>
              <w:rPr>
                <w:rFonts w:hint="eastAsia" w:ascii="黑体" w:hAnsi="黑体" w:eastAsia="黑体"/>
                <w:sz w:val="24"/>
                <w:szCs w:val="24"/>
                <w:highlight w:val="none"/>
                <w:lang w:val="en-US" w:eastAsia="zh-CN"/>
              </w:rPr>
            </w:pPr>
            <w:r>
              <w:rPr>
                <w:rFonts w:hint="eastAsia" w:ascii="黑体" w:hAnsi="黑体" w:eastAsia="黑体"/>
                <w:sz w:val="24"/>
                <w:szCs w:val="24"/>
                <w:highlight w:val="none"/>
              </w:rPr>
              <w:t>未税</w:t>
            </w:r>
            <w:r>
              <w:rPr>
                <w:rFonts w:hint="eastAsia" w:ascii="黑体" w:hAnsi="黑体" w:eastAsia="黑体"/>
                <w:sz w:val="24"/>
                <w:szCs w:val="24"/>
                <w:highlight w:val="none"/>
                <w:lang w:val="en-US" w:eastAsia="zh-CN"/>
              </w:rPr>
              <w:t>总价</w:t>
            </w:r>
          </w:p>
          <w:p w14:paraId="41A24CA8">
            <w:pPr>
              <w:jc w:val="center"/>
              <w:rPr>
                <w:rFonts w:hint="eastAsia" w:ascii="黑体" w:hAnsi="黑体" w:eastAsia="黑体" w:cs="Times New Roman"/>
                <w:kern w:val="2"/>
                <w:sz w:val="24"/>
                <w:szCs w:val="24"/>
                <w:highlight w:val="none"/>
                <w:lang w:val="en-US" w:eastAsia="zh-CN" w:bidi="ar-SA"/>
              </w:rPr>
            </w:pPr>
            <w:r>
              <w:rPr>
                <w:rFonts w:hint="eastAsia" w:ascii="黑体" w:hAnsi="黑体" w:eastAsia="黑体"/>
                <w:sz w:val="24"/>
                <w:szCs w:val="24"/>
                <w:highlight w:val="none"/>
              </w:rPr>
              <w:t>（</w:t>
            </w:r>
            <w:r>
              <w:rPr>
                <w:rFonts w:hint="eastAsia" w:ascii="黑体" w:hAnsi="黑体" w:eastAsia="黑体"/>
                <w:sz w:val="24"/>
                <w:szCs w:val="24"/>
                <w:highlight w:val="none"/>
                <w:lang w:val="en-US" w:eastAsia="zh-CN"/>
              </w:rPr>
              <w:t>万</w:t>
            </w:r>
            <w:r>
              <w:rPr>
                <w:rFonts w:hint="eastAsia" w:ascii="黑体" w:hAnsi="黑体" w:eastAsia="黑体"/>
                <w:sz w:val="24"/>
                <w:szCs w:val="24"/>
                <w:highlight w:val="none"/>
              </w:rPr>
              <w:t>元）</w:t>
            </w:r>
          </w:p>
        </w:tc>
        <w:tc>
          <w:tcPr>
            <w:tcW w:w="2682" w:type="dxa"/>
            <w:tcBorders>
              <w:top w:val="single" w:color="auto" w:sz="4" w:space="0"/>
              <w:left w:val="single" w:color="auto" w:sz="4" w:space="0"/>
              <w:bottom w:val="single" w:color="auto" w:sz="4" w:space="0"/>
              <w:right w:val="single" w:color="auto" w:sz="4" w:space="0"/>
            </w:tcBorders>
            <w:shd w:val="clear" w:color="auto" w:fill="FFFFFF"/>
            <w:vAlign w:val="center"/>
          </w:tcPr>
          <w:p w14:paraId="2D5DDB1A">
            <w:pPr>
              <w:jc w:val="center"/>
              <w:rPr>
                <w:rFonts w:hint="eastAsia" w:ascii="黑体" w:hAnsi="黑体" w:eastAsia="黑体" w:cs="Times New Roman"/>
                <w:kern w:val="2"/>
                <w:sz w:val="24"/>
                <w:szCs w:val="24"/>
                <w:highlight w:val="none"/>
                <w:lang w:val="en-US" w:eastAsia="zh-CN" w:bidi="ar-SA"/>
              </w:rPr>
            </w:pPr>
            <w:r>
              <w:rPr>
                <w:rFonts w:hint="eastAsia" w:ascii="黑体" w:hAnsi="黑体" w:eastAsia="黑体"/>
                <w:sz w:val="24"/>
                <w:szCs w:val="24"/>
                <w:highlight w:val="none"/>
                <w:lang w:val="en-US" w:eastAsia="zh-CN"/>
              </w:rPr>
              <w:t>税率</w:t>
            </w:r>
          </w:p>
        </w:tc>
        <w:tc>
          <w:tcPr>
            <w:tcW w:w="2855" w:type="dxa"/>
            <w:tcBorders>
              <w:top w:val="single" w:color="auto" w:sz="4" w:space="0"/>
              <w:left w:val="single" w:color="auto" w:sz="4" w:space="0"/>
              <w:bottom w:val="single" w:color="auto" w:sz="4" w:space="0"/>
              <w:right w:val="single" w:color="auto" w:sz="4" w:space="0"/>
            </w:tcBorders>
            <w:shd w:val="clear" w:color="auto" w:fill="FFFFFF"/>
            <w:vAlign w:val="center"/>
          </w:tcPr>
          <w:p w14:paraId="4351781C">
            <w:pPr>
              <w:jc w:val="center"/>
              <w:rPr>
                <w:rFonts w:hint="eastAsia" w:ascii="黑体" w:hAnsi="黑体" w:eastAsia="黑体" w:cs="Times New Roman"/>
                <w:kern w:val="2"/>
                <w:sz w:val="24"/>
                <w:szCs w:val="24"/>
                <w:highlight w:val="none"/>
                <w:lang w:val="en-US" w:eastAsia="zh-CN" w:bidi="ar-SA"/>
              </w:rPr>
            </w:pPr>
            <w:r>
              <w:rPr>
                <w:rFonts w:hint="eastAsia" w:ascii="黑体" w:hAnsi="黑体" w:eastAsia="黑体"/>
                <w:sz w:val="24"/>
                <w:szCs w:val="24"/>
                <w:highlight w:val="none"/>
                <w:lang w:val="en-US" w:eastAsia="zh-CN"/>
              </w:rPr>
              <w:t>预计含</w:t>
            </w:r>
            <w:r>
              <w:rPr>
                <w:rFonts w:hint="eastAsia" w:ascii="黑体" w:hAnsi="黑体" w:eastAsia="黑体"/>
                <w:sz w:val="24"/>
                <w:szCs w:val="24"/>
                <w:highlight w:val="none"/>
              </w:rPr>
              <w:t>税</w:t>
            </w:r>
            <w:r>
              <w:rPr>
                <w:rFonts w:hint="eastAsia" w:ascii="黑体" w:hAnsi="黑体" w:eastAsia="黑体"/>
                <w:sz w:val="24"/>
                <w:szCs w:val="24"/>
                <w:highlight w:val="none"/>
                <w:lang w:val="en-US" w:eastAsia="zh-CN"/>
              </w:rPr>
              <w:t>总</w:t>
            </w:r>
            <w:r>
              <w:rPr>
                <w:rFonts w:hint="eastAsia" w:ascii="黑体" w:hAnsi="黑体" w:eastAsia="黑体"/>
                <w:sz w:val="24"/>
                <w:szCs w:val="24"/>
                <w:highlight w:val="none"/>
              </w:rPr>
              <w:t>价（</w:t>
            </w:r>
            <w:r>
              <w:rPr>
                <w:rFonts w:hint="eastAsia" w:ascii="黑体" w:hAnsi="黑体" w:eastAsia="黑体"/>
                <w:sz w:val="24"/>
                <w:szCs w:val="24"/>
                <w:highlight w:val="none"/>
                <w:lang w:val="en-US" w:eastAsia="zh-CN"/>
              </w:rPr>
              <w:t>万</w:t>
            </w:r>
            <w:r>
              <w:rPr>
                <w:rFonts w:hint="eastAsia" w:ascii="黑体" w:hAnsi="黑体" w:eastAsia="黑体"/>
                <w:sz w:val="24"/>
                <w:szCs w:val="24"/>
                <w:highlight w:val="none"/>
              </w:rPr>
              <w:t>元）</w:t>
            </w:r>
          </w:p>
        </w:tc>
        <w:tc>
          <w:tcPr>
            <w:tcW w:w="1283" w:type="dxa"/>
            <w:tcBorders>
              <w:top w:val="single" w:color="auto" w:sz="4" w:space="0"/>
              <w:left w:val="single" w:color="auto" w:sz="4" w:space="0"/>
              <w:bottom w:val="single" w:color="auto" w:sz="4" w:space="0"/>
              <w:right w:val="single" w:color="auto" w:sz="4" w:space="0"/>
            </w:tcBorders>
            <w:shd w:val="clear" w:color="auto" w:fill="FFFFFF"/>
            <w:vAlign w:val="center"/>
          </w:tcPr>
          <w:p w14:paraId="539B1A46">
            <w:pPr>
              <w:jc w:val="center"/>
              <w:rPr>
                <w:rFonts w:hint="eastAsia" w:ascii="黑体" w:hAnsi="黑体" w:eastAsia="黑体"/>
                <w:sz w:val="24"/>
                <w:szCs w:val="24"/>
                <w:highlight w:val="none"/>
              </w:rPr>
            </w:pPr>
            <w:r>
              <w:rPr>
                <w:rFonts w:hint="eastAsia" w:ascii="黑体" w:hAnsi="黑体" w:eastAsia="黑体"/>
                <w:sz w:val="24"/>
                <w:szCs w:val="24"/>
                <w:highlight w:val="none"/>
              </w:rPr>
              <w:t>备注</w:t>
            </w:r>
          </w:p>
        </w:tc>
      </w:tr>
      <w:tr w14:paraId="1596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1681" w:type="dxa"/>
            <w:tcBorders>
              <w:top w:val="single" w:color="auto" w:sz="4" w:space="0"/>
              <w:left w:val="single" w:color="auto" w:sz="4" w:space="0"/>
              <w:bottom w:val="single" w:color="auto" w:sz="4" w:space="0"/>
              <w:right w:val="single" w:color="auto" w:sz="4" w:space="0"/>
            </w:tcBorders>
            <w:vAlign w:val="center"/>
          </w:tcPr>
          <w:p w14:paraId="2C836D4E">
            <w:pPr>
              <w:jc w:val="cente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1</w:t>
            </w:r>
          </w:p>
        </w:tc>
        <w:tc>
          <w:tcPr>
            <w:tcW w:w="2370" w:type="dxa"/>
            <w:tcBorders>
              <w:top w:val="single" w:color="auto" w:sz="4" w:space="0"/>
              <w:left w:val="single" w:color="auto" w:sz="4" w:space="0"/>
              <w:bottom w:val="single" w:color="auto" w:sz="4" w:space="0"/>
              <w:right w:val="single" w:color="auto" w:sz="4" w:space="0"/>
            </w:tcBorders>
            <w:vAlign w:val="center"/>
          </w:tcPr>
          <w:p w14:paraId="315DA980">
            <w:pPr>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XXX</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3D13BA4C">
            <w:pPr>
              <w:jc w:val="center"/>
              <w:rPr>
                <w:rFonts w:hint="default" w:ascii="宋体" w:hAnsi="宋体" w:eastAsia="宋体" w:cs="Times New Roman"/>
                <w:kern w:val="2"/>
                <w:sz w:val="24"/>
                <w:szCs w:val="24"/>
                <w:highlight w:val="none"/>
                <w:lang w:val="en-US" w:eastAsia="zh-CN" w:bidi="ar-SA"/>
              </w:rPr>
            </w:pPr>
            <w:r>
              <w:rPr>
                <w:rFonts w:hint="eastAsia" w:ascii="宋体" w:hAnsi="宋体"/>
                <w:sz w:val="24"/>
                <w:szCs w:val="24"/>
                <w:highlight w:val="none"/>
              </w:rPr>
              <w:t>XX</w:t>
            </w:r>
          </w:p>
        </w:tc>
        <w:tc>
          <w:tcPr>
            <w:tcW w:w="2682" w:type="dxa"/>
            <w:tcBorders>
              <w:top w:val="single" w:color="auto" w:sz="4" w:space="0"/>
              <w:left w:val="single" w:color="auto" w:sz="4" w:space="0"/>
              <w:bottom w:val="single" w:color="auto" w:sz="4" w:space="0"/>
              <w:right w:val="single" w:color="auto" w:sz="4" w:space="0"/>
            </w:tcBorders>
            <w:shd w:val="clear" w:color="auto" w:fill="auto"/>
            <w:vAlign w:val="center"/>
          </w:tcPr>
          <w:p w14:paraId="199C8323">
            <w:pPr>
              <w:jc w:val="center"/>
              <w:rPr>
                <w:rFonts w:hint="eastAsia" w:ascii="宋体" w:hAnsi="宋体" w:eastAsia="宋体" w:cs="Times New Roman"/>
                <w:kern w:val="2"/>
                <w:sz w:val="24"/>
                <w:szCs w:val="24"/>
                <w:highlight w:val="none"/>
                <w:lang w:val="en-US" w:eastAsia="zh-CN" w:bidi="ar-SA"/>
              </w:rPr>
            </w:pPr>
            <w:r>
              <w:rPr>
                <w:rFonts w:hint="eastAsia" w:ascii="宋体" w:hAnsi="宋体"/>
                <w:sz w:val="24"/>
                <w:szCs w:val="24"/>
                <w:highlight w:val="none"/>
                <w:lang w:val="en-US" w:eastAsia="zh-CN"/>
              </w:rPr>
              <w:t>%</w:t>
            </w:r>
          </w:p>
        </w:tc>
        <w:tc>
          <w:tcPr>
            <w:tcW w:w="2855" w:type="dxa"/>
            <w:tcBorders>
              <w:top w:val="single" w:color="auto" w:sz="4" w:space="0"/>
              <w:left w:val="single" w:color="auto" w:sz="4" w:space="0"/>
              <w:bottom w:val="single" w:color="auto" w:sz="4" w:space="0"/>
              <w:right w:val="single" w:color="auto" w:sz="4" w:space="0"/>
            </w:tcBorders>
            <w:shd w:val="clear" w:color="auto" w:fill="auto"/>
            <w:vAlign w:val="center"/>
          </w:tcPr>
          <w:p w14:paraId="128C43B3">
            <w:pPr>
              <w:jc w:val="center"/>
              <w:rPr>
                <w:rFonts w:hint="eastAsia" w:ascii="宋体" w:hAnsi="宋体" w:eastAsia="宋体" w:cs="Times New Roman"/>
                <w:kern w:val="2"/>
                <w:sz w:val="24"/>
                <w:szCs w:val="24"/>
                <w:highlight w:val="none"/>
                <w:lang w:val="en-US" w:eastAsia="zh-CN" w:bidi="ar-SA"/>
              </w:rPr>
            </w:pPr>
            <w:r>
              <w:rPr>
                <w:rFonts w:hint="eastAsia" w:ascii="宋体" w:hAnsi="宋体"/>
                <w:sz w:val="24"/>
                <w:szCs w:val="24"/>
                <w:highlight w:val="none"/>
              </w:rPr>
              <w:t>XX</w:t>
            </w:r>
          </w:p>
        </w:tc>
        <w:tc>
          <w:tcPr>
            <w:tcW w:w="1283" w:type="dxa"/>
            <w:vMerge w:val="restart"/>
            <w:tcBorders>
              <w:top w:val="single" w:color="auto" w:sz="4" w:space="0"/>
              <w:left w:val="single" w:color="auto" w:sz="4" w:space="0"/>
              <w:right w:val="single" w:color="auto" w:sz="4" w:space="0"/>
            </w:tcBorders>
            <w:vAlign w:val="center"/>
          </w:tcPr>
          <w:p w14:paraId="2073815A">
            <w:pPr>
              <w:jc w:val="center"/>
              <w:rPr>
                <w:rFonts w:hint="default" w:ascii="宋体" w:hAnsi="宋体"/>
                <w:sz w:val="24"/>
                <w:szCs w:val="24"/>
                <w:highlight w:val="none"/>
                <w:lang w:val="en-US" w:eastAsia="zh-CN"/>
              </w:rPr>
            </w:pPr>
            <w:r>
              <w:rPr>
                <w:rFonts w:hint="eastAsia" w:ascii="宋体" w:hAnsi="宋体"/>
                <w:sz w:val="24"/>
                <w:szCs w:val="24"/>
                <w:highlight w:val="none"/>
                <w:lang w:val="en-US" w:eastAsia="zh-CN"/>
              </w:rPr>
              <w:t>报价明细另附</w:t>
            </w:r>
          </w:p>
          <w:p w14:paraId="5F6438F6">
            <w:pPr>
              <w:jc w:val="both"/>
              <w:rPr>
                <w:rFonts w:hint="eastAsia" w:ascii="宋体" w:hAnsi="宋体" w:eastAsia="宋体" w:cs="Times New Roman"/>
                <w:kern w:val="2"/>
                <w:sz w:val="24"/>
                <w:szCs w:val="24"/>
                <w:highlight w:val="none"/>
                <w:lang w:val="en-US" w:eastAsia="zh-CN" w:bidi="ar-SA"/>
              </w:rPr>
            </w:pPr>
          </w:p>
        </w:tc>
      </w:tr>
      <w:tr w14:paraId="718B1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1681" w:type="dxa"/>
            <w:tcBorders>
              <w:top w:val="single" w:color="auto" w:sz="4" w:space="0"/>
              <w:left w:val="single" w:color="auto" w:sz="4" w:space="0"/>
              <w:bottom w:val="single" w:color="auto" w:sz="4" w:space="0"/>
              <w:right w:val="single" w:color="auto" w:sz="4" w:space="0"/>
            </w:tcBorders>
            <w:vAlign w:val="center"/>
          </w:tcPr>
          <w:p w14:paraId="334CD9D7">
            <w:pPr>
              <w:jc w:val="center"/>
              <w:rPr>
                <w:rFonts w:hint="default" w:ascii="宋体" w:hAnsi="宋体"/>
                <w:sz w:val="24"/>
                <w:szCs w:val="24"/>
                <w:highlight w:val="none"/>
                <w:lang w:val="en-US" w:eastAsia="zh-CN"/>
              </w:rPr>
            </w:pPr>
            <w:r>
              <w:rPr>
                <w:rFonts w:hint="eastAsia" w:ascii="宋体" w:hAnsi="宋体"/>
                <w:sz w:val="24"/>
                <w:szCs w:val="24"/>
                <w:highlight w:val="none"/>
                <w:lang w:val="en-US" w:eastAsia="zh-CN"/>
              </w:rPr>
              <w:t>2</w:t>
            </w:r>
          </w:p>
        </w:tc>
        <w:tc>
          <w:tcPr>
            <w:tcW w:w="2370" w:type="dxa"/>
            <w:tcBorders>
              <w:top w:val="single" w:color="auto" w:sz="4" w:space="0"/>
              <w:left w:val="single" w:color="auto" w:sz="4" w:space="0"/>
              <w:bottom w:val="single" w:color="auto" w:sz="4" w:space="0"/>
              <w:right w:val="single" w:color="auto" w:sz="4" w:space="0"/>
            </w:tcBorders>
            <w:vAlign w:val="center"/>
          </w:tcPr>
          <w:p w14:paraId="5728C0DB">
            <w:pPr>
              <w:tabs>
                <w:tab w:val="left" w:pos="374"/>
              </w:tabs>
              <w:jc w:val="left"/>
              <w:rPr>
                <w:rFonts w:hint="default" w:ascii="宋体" w:hAnsi="宋体" w:eastAsia="宋体"/>
                <w:sz w:val="24"/>
                <w:szCs w:val="24"/>
                <w:highlight w:val="none"/>
                <w:lang w:val="en-US" w:eastAsia="zh-CN"/>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4C61ED0E">
            <w:pPr>
              <w:jc w:val="center"/>
              <w:rPr>
                <w:rFonts w:hint="default" w:ascii="宋体" w:hAnsi="宋体" w:eastAsia="宋体" w:cs="Times New Roman"/>
                <w:kern w:val="2"/>
                <w:sz w:val="24"/>
                <w:szCs w:val="24"/>
                <w:highlight w:val="none"/>
                <w:lang w:val="en-US" w:eastAsia="zh-CN" w:bidi="ar-SA"/>
              </w:rPr>
            </w:pPr>
          </w:p>
        </w:tc>
        <w:tc>
          <w:tcPr>
            <w:tcW w:w="2682" w:type="dxa"/>
            <w:tcBorders>
              <w:top w:val="single" w:color="auto" w:sz="4" w:space="0"/>
              <w:left w:val="single" w:color="auto" w:sz="4" w:space="0"/>
              <w:bottom w:val="single" w:color="auto" w:sz="4" w:space="0"/>
              <w:right w:val="single" w:color="auto" w:sz="4" w:space="0"/>
            </w:tcBorders>
            <w:shd w:val="clear" w:color="auto" w:fill="auto"/>
            <w:vAlign w:val="center"/>
          </w:tcPr>
          <w:p w14:paraId="1403D66A">
            <w:pPr>
              <w:jc w:val="center"/>
              <w:rPr>
                <w:rFonts w:hint="eastAsia" w:ascii="宋体" w:hAnsi="宋体" w:eastAsia="宋体" w:cs="Times New Roman"/>
                <w:kern w:val="2"/>
                <w:sz w:val="24"/>
                <w:szCs w:val="24"/>
                <w:highlight w:val="none"/>
                <w:lang w:val="en-US" w:eastAsia="zh-CN" w:bidi="ar-SA"/>
              </w:rPr>
            </w:pPr>
          </w:p>
        </w:tc>
        <w:tc>
          <w:tcPr>
            <w:tcW w:w="2855" w:type="dxa"/>
            <w:tcBorders>
              <w:top w:val="single" w:color="auto" w:sz="4" w:space="0"/>
              <w:left w:val="single" w:color="auto" w:sz="4" w:space="0"/>
              <w:bottom w:val="single" w:color="auto" w:sz="4" w:space="0"/>
              <w:right w:val="single" w:color="auto" w:sz="4" w:space="0"/>
            </w:tcBorders>
            <w:shd w:val="clear" w:color="auto" w:fill="auto"/>
            <w:vAlign w:val="center"/>
          </w:tcPr>
          <w:p w14:paraId="3122D7E7">
            <w:pPr>
              <w:jc w:val="center"/>
              <w:rPr>
                <w:rFonts w:hint="eastAsia" w:ascii="宋体" w:hAnsi="宋体" w:eastAsia="宋体" w:cs="Times New Roman"/>
                <w:kern w:val="2"/>
                <w:sz w:val="24"/>
                <w:szCs w:val="24"/>
                <w:highlight w:val="none"/>
                <w:lang w:val="en-US" w:eastAsia="zh-CN" w:bidi="ar-SA"/>
              </w:rPr>
            </w:pPr>
          </w:p>
        </w:tc>
        <w:tc>
          <w:tcPr>
            <w:tcW w:w="1283" w:type="dxa"/>
            <w:vMerge w:val="continue"/>
            <w:tcBorders>
              <w:left w:val="single" w:color="auto" w:sz="4" w:space="0"/>
              <w:bottom w:val="single" w:color="auto" w:sz="4" w:space="0"/>
              <w:right w:val="single" w:color="auto" w:sz="4" w:space="0"/>
            </w:tcBorders>
            <w:shd w:val="clear" w:color="auto" w:fill="auto"/>
            <w:vAlign w:val="center"/>
          </w:tcPr>
          <w:p w14:paraId="0B02F314">
            <w:pPr>
              <w:jc w:val="both"/>
              <w:rPr>
                <w:rFonts w:hint="eastAsia" w:ascii="宋体" w:hAnsi="宋体" w:eastAsia="宋体" w:cs="Times New Roman"/>
                <w:kern w:val="2"/>
                <w:sz w:val="24"/>
                <w:szCs w:val="24"/>
                <w:highlight w:val="none"/>
                <w:lang w:val="en-US" w:eastAsia="zh-CN" w:bidi="ar-SA"/>
              </w:rPr>
            </w:pPr>
          </w:p>
        </w:tc>
      </w:tr>
      <w:tr w14:paraId="0508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1681" w:type="dxa"/>
            <w:tcBorders>
              <w:top w:val="single" w:color="auto" w:sz="4" w:space="0"/>
              <w:left w:val="single" w:color="auto" w:sz="4" w:space="0"/>
              <w:bottom w:val="single" w:color="auto" w:sz="4" w:space="0"/>
              <w:right w:val="single" w:color="auto" w:sz="4" w:space="0"/>
            </w:tcBorders>
            <w:vAlign w:val="center"/>
          </w:tcPr>
          <w:p w14:paraId="53C95246">
            <w:pPr>
              <w:tabs>
                <w:tab w:val="left" w:pos="1052"/>
              </w:tabs>
              <w:jc w:val="left"/>
              <w:rPr>
                <w:rFonts w:hint="eastAsia" w:ascii="宋体" w:hAnsi="宋体"/>
                <w:sz w:val="24"/>
                <w:szCs w:val="24"/>
                <w:highlight w:val="none"/>
                <w:lang w:eastAsia="zh-CN"/>
              </w:rPr>
            </w:pPr>
          </w:p>
        </w:tc>
        <w:tc>
          <w:tcPr>
            <w:tcW w:w="2370" w:type="dxa"/>
            <w:tcBorders>
              <w:top w:val="single" w:color="auto" w:sz="4" w:space="0"/>
              <w:left w:val="single" w:color="auto" w:sz="4" w:space="0"/>
              <w:bottom w:val="single" w:color="auto" w:sz="4" w:space="0"/>
              <w:right w:val="single" w:color="auto" w:sz="4" w:space="0"/>
            </w:tcBorders>
            <w:vAlign w:val="center"/>
          </w:tcPr>
          <w:p w14:paraId="36680045">
            <w:pPr>
              <w:tabs>
                <w:tab w:val="left" w:pos="1052"/>
              </w:tabs>
              <w:jc w:val="left"/>
              <w:rPr>
                <w:rFonts w:hint="eastAsia" w:ascii="宋体" w:hAnsi="宋体" w:eastAsia="宋体"/>
                <w:sz w:val="24"/>
                <w:szCs w:val="24"/>
                <w:highlight w:val="none"/>
                <w:lang w:eastAsia="zh-CN"/>
              </w:rPr>
            </w:pPr>
            <w:r>
              <w:rPr>
                <w:rFonts w:hint="eastAsia" w:ascii="宋体" w:hAnsi="宋体"/>
                <w:sz w:val="24"/>
                <w:szCs w:val="24"/>
                <w:highlight w:val="none"/>
              </w:rPr>
              <w:t>其他增值服务：</w:t>
            </w:r>
          </w:p>
        </w:tc>
        <w:tc>
          <w:tcPr>
            <w:tcW w:w="8686" w:type="dxa"/>
            <w:gridSpan w:val="4"/>
            <w:tcBorders>
              <w:top w:val="single" w:color="auto" w:sz="4" w:space="0"/>
              <w:left w:val="single" w:color="auto" w:sz="4" w:space="0"/>
              <w:bottom w:val="single" w:color="auto" w:sz="4" w:space="0"/>
              <w:right w:val="single" w:color="auto" w:sz="4" w:space="0"/>
            </w:tcBorders>
            <w:vAlign w:val="center"/>
          </w:tcPr>
          <w:p w14:paraId="25996F81">
            <w:pPr>
              <w:tabs>
                <w:tab w:val="left" w:pos="1052"/>
              </w:tabs>
              <w:jc w:val="left"/>
              <w:rPr>
                <w:rFonts w:hint="eastAsia" w:ascii="宋体" w:hAnsi="宋体"/>
                <w:sz w:val="24"/>
                <w:szCs w:val="24"/>
                <w:highlight w:val="none"/>
              </w:rPr>
            </w:pPr>
          </w:p>
        </w:tc>
      </w:tr>
    </w:tbl>
    <w:p w14:paraId="4D79419E">
      <w:pPr>
        <w:rPr>
          <w:rFonts w:hint="eastAsia" w:ascii="黑体" w:hAnsi="黑体" w:eastAsia="黑体"/>
          <w:b w:val="0"/>
          <w:bCs w:val="0"/>
          <w:sz w:val="24"/>
          <w:szCs w:val="24"/>
          <w:highlight w:val="none"/>
          <w:lang w:val="en-US" w:eastAsia="zh-CN"/>
        </w:rPr>
      </w:pPr>
    </w:p>
    <w:p w14:paraId="7DAB79B2">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黑体" w:hAnsi="黑体" w:eastAsia="黑体"/>
          <w:b w:val="0"/>
          <w:bCs w:val="0"/>
          <w:sz w:val="24"/>
          <w:szCs w:val="24"/>
          <w:highlight w:val="none"/>
          <w:lang w:val="en-US" w:eastAsia="zh-CN"/>
        </w:rPr>
      </w:pPr>
      <w:r>
        <w:rPr>
          <w:rFonts w:hint="eastAsia" w:ascii="黑体" w:hAnsi="黑体" w:eastAsia="黑体"/>
          <w:b/>
          <w:bCs/>
          <w:sz w:val="24"/>
          <w:szCs w:val="24"/>
          <w:highlight w:val="none"/>
          <w:lang w:val="en-US" w:eastAsia="zh-CN"/>
        </w:rPr>
        <w:t>注：</w:t>
      </w:r>
    </w:p>
    <w:p w14:paraId="377B60E5">
      <w:pPr>
        <w:keepNext w:val="0"/>
        <w:keepLines w:val="0"/>
        <w:pageBreakBefore w:val="0"/>
        <w:widowControl w:val="0"/>
        <w:kinsoku/>
        <w:wordWrap/>
        <w:overflowPunct/>
        <w:topLinePunct w:val="0"/>
        <w:autoSpaceDE/>
        <w:autoSpaceDN/>
        <w:bidi w:val="0"/>
        <w:adjustRightInd/>
        <w:snapToGrid/>
        <w:spacing w:line="240" w:lineRule="atLeast"/>
        <w:ind w:firstLine="720" w:firstLineChars="300"/>
        <w:textAlignment w:val="auto"/>
        <w:rPr>
          <w:rFonts w:hint="eastAsia" w:ascii="宋体" w:hAnsi="宋体"/>
          <w:sz w:val="24"/>
          <w:highlight w:val="none"/>
        </w:rPr>
      </w:pPr>
      <w:r>
        <w:rPr>
          <w:rFonts w:hint="eastAsia" w:ascii="宋体" w:hAnsi="宋体"/>
          <w:sz w:val="24"/>
          <w:highlight w:val="none"/>
        </w:rPr>
        <w:t>1</w:t>
      </w:r>
      <w:r>
        <w:rPr>
          <w:rFonts w:ascii="宋体" w:hAnsi="宋体"/>
          <w:sz w:val="24"/>
          <w:highlight w:val="none"/>
        </w:rPr>
        <w:t>.</w:t>
      </w:r>
      <w:r>
        <w:rPr>
          <w:rFonts w:hint="eastAsia" w:ascii="宋体" w:hAnsi="宋体"/>
          <w:sz w:val="24"/>
          <w:highlight w:val="none"/>
          <w:lang w:val="en-US" w:eastAsia="zh-CN"/>
        </w:rPr>
        <w:t>附费用分项明细，</w:t>
      </w:r>
      <w:r>
        <w:rPr>
          <w:rFonts w:hint="eastAsia" w:ascii="宋体" w:hAnsi="宋体"/>
          <w:sz w:val="24"/>
          <w:highlight w:val="none"/>
        </w:rPr>
        <w:t>请</w:t>
      </w:r>
      <w:r>
        <w:rPr>
          <w:rFonts w:hint="eastAsia" w:ascii="宋体" w:hAnsi="宋体"/>
          <w:sz w:val="24"/>
          <w:highlight w:val="none"/>
          <w:lang w:val="en-US" w:eastAsia="zh-CN"/>
        </w:rPr>
        <w:t>参照</w:t>
      </w:r>
      <w:r>
        <w:rPr>
          <w:rFonts w:hint="eastAsia" w:ascii="宋体" w:hAnsi="宋体"/>
          <w:sz w:val="24"/>
          <w:highlight w:val="none"/>
        </w:rPr>
        <w:t>《技术协议书》内容</w:t>
      </w:r>
      <w:r>
        <w:rPr>
          <w:rFonts w:hint="eastAsia" w:ascii="宋体" w:hAnsi="宋体"/>
          <w:sz w:val="24"/>
          <w:highlight w:val="none"/>
          <w:lang w:val="en-US" w:eastAsia="zh-CN"/>
        </w:rPr>
        <w:t>设计方案、</w:t>
      </w:r>
      <w:r>
        <w:rPr>
          <w:rFonts w:hint="eastAsia" w:ascii="宋体" w:hAnsi="宋体"/>
          <w:sz w:val="24"/>
          <w:highlight w:val="none"/>
        </w:rPr>
        <w:t>填写报价</w:t>
      </w:r>
      <w:r>
        <w:rPr>
          <w:rFonts w:hint="eastAsia" w:ascii="宋体" w:hAnsi="宋体"/>
          <w:sz w:val="24"/>
          <w:highlight w:val="none"/>
          <w:lang w:val="en-US" w:eastAsia="zh-CN"/>
        </w:rPr>
        <w:t>明细</w:t>
      </w:r>
      <w:r>
        <w:rPr>
          <w:rFonts w:hint="eastAsia" w:ascii="宋体" w:hAnsi="宋体"/>
          <w:sz w:val="24"/>
          <w:highlight w:val="none"/>
        </w:rPr>
        <w:t>，可增项、不可缺项。</w:t>
      </w:r>
    </w:p>
    <w:p w14:paraId="43F5CA2A">
      <w:pPr>
        <w:keepNext w:val="0"/>
        <w:keepLines w:val="0"/>
        <w:pageBreakBefore w:val="0"/>
        <w:widowControl w:val="0"/>
        <w:kinsoku/>
        <w:wordWrap/>
        <w:overflowPunct/>
        <w:topLinePunct w:val="0"/>
        <w:autoSpaceDE/>
        <w:autoSpaceDN/>
        <w:bidi w:val="0"/>
        <w:adjustRightInd/>
        <w:snapToGrid/>
        <w:spacing w:line="240" w:lineRule="atLeast"/>
        <w:ind w:firstLine="720" w:firstLineChars="300"/>
        <w:textAlignment w:val="auto"/>
        <w:rPr>
          <w:rFonts w:ascii="宋体" w:hAnsi="宋体"/>
          <w:sz w:val="24"/>
          <w:highlight w:val="none"/>
        </w:rPr>
      </w:pPr>
      <w:r>
        <w:rPr>
          <w:rFonts w:hint="eastAsia" w:ascii="宋体" w:hAnsi="宋体"/>
          <w:sz w:val="24"/>
          <w:highlight w:val="none"/>
        </w:rPr>
        <w:t>2.投标总价为各投标物品的合计单项价之和。</w:t>
      </w:r>
    </w:p>
    <w:p w14:paraId="157101AF">
      <w:pPr>
        <w:keepNext w:val="0"/>
        <w:keepLines w:val="0"/>
        <w:pageBreakBefore w:val="0"/>
        <w:widowControl w:val="0"/>
        <w:kinsoku/>
        <w:wordWrap/>
        <w:overflowPunct/>
        <w:topLinePunct w:val="0"/>
        <w:autoSpaceDE/>
        <w:autoSpaceDN/>
        <w:bidi w:val="0"/>
        <w:adjustRightInd/>
        <w:snapToGrid/>
        <w:spacing w:line="240" w:lineRule="atLeast"/>
        <w:ind w:firstLine="720" w:firstLineChars="300"/>
        <w:textAlignment w:val="auto"/>
        <w:rPr>
          <w:rFonts w:hint="eastAsia" w:ascii="宋体" w:hAnsi="宋体"/>
          <w:sz w:val="24"/>
          <w:highlight w:val="none"/>
        </w:rPr>
      </w:pPr>
      <w:r>
        <w:rPr>
          <w:rFonts w:hint="eastAsia" w:ascii="宋体" w:hAnsi="宋体"/>
          <w:sz w:val="24"/>
          <w:highlight w:val="none"/>
        </w:rPr>
        <w:t>3.本表用于开标宣读用，请单独封存。</w:t>
      </w:r>
    </w:p>
    <w:tbl>
      <w:tblPr>
        <w:tblStyle w:val="20"/>
        <w:tblpPr w:leftFromText="180" w:rightFromText="180" w:vertAnchor="text" w:horzAnchor="page" w:tblpX="1245" w:tblpY="252"/>
        <w:tblOverlap w:val="never"/>
        <w:tblW w:w="137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4"/>
        <w:gridCol w:w="2976"/>
        <w:gridCol w:w="982"/>
        <w:gridCol w:w="1634"/>
        <w:gridCol w:w="1837"/>
        <w:gridCol w:w="5622"/>
      </w:tblGrid>
      <w:tr w14:paraId="1661D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6" w:hRule="atLeast"/>
        </w:trPr>
        <w:tc>
          <w:tcPr>
            <w:tcW w:w="13785" w:type="dxa"/>
            <w:gridSpan w:val="6"/>
            <w:tcBorders>
              <w:top w:val="nil"/>
              <w:left w:val="nil"/>
              <w:bottom w:val="nil"/>
              <w:right w:val="nil"/>
            </w:tcBorders>
            <w:shd w:val="clear" w:color="auto" w:fill="auto"/>
            <w:noWrap/>
            <w:vAlign w:val="center"/>
          </w:tcPr>
          <w:p w14:paraId="596B2BA8">
            <w:pPr>
              <w:keepNext w:val="0"/>
              <w:keepLines w:val="0"/>
              <w:widowControl/>
              <w:suppressLineNumbers w:val="0"/>
              <w:jc w:val="center"/>
              <w:textAlignment w:val="center"/>
              <w:rPr>
                <w:rFonts w:hint="eastAsia" w:ascii="黑体" w:hAnsi="宋体" w:eastAsia="黑体" w:cs="黑体"/>
                <w:i w:val="0"/>
                <w:iCs w:val="0"/>
                <w:color w:val="000000"/>
                <w:kern w:val="0"/>
                <w:sz w:val="24"/>
                <w:szCs w:val="24"/>
                <w:highlight w:val="none"/>
                <w:u w:val="none"/>
                <w:lang w:val="en-US" w:eastAsia="zh-CN" w:bidi="ar"/>
              </w:rPr>
            </w:pPr>
          </w:p>
          <w:p w14:paraId="1E118048">
            <w:pPr>
              <w:keepNext w:val="0"/>
              <w:keepLines w:val="0"/>
              <w:widowControl/>
              <w:suppressLineNumbers w:val="0"/>
              <w:jc w:val="center"/>
              <w:textAlignment w:val="center"/>
              <w:rPr>
                <w:rFonts w:hint="eastAsia" w:ascii="黑体" w:hAnsi="宋体" w:eastAsia="黑体" w:cs="黑体"/>
                <w:i w:val="0"/>
                <w:iCs w:val="0"/>
                <w:color w:val="000000"/>
                <w:kern w:val="0"/>
                <w:sz w:val="24"/>
                <w:szCs w:val="24"/>
                <w:highlight w:val="none"/>
                <w:u w:val="none"/>
                <w:lang w:val="en-US" w:eastAsia="zh-CN" w:bidi="ar"/>
              </w:rPr>
            </w:pPr>
          </w:p>
          <w:p w14:paraId="4547E940">
            <w:pPr>
              <w:keepNext w:val="0"/>
              <w:keepLines w:val="0"/>
              <w:widowControl/>
              <w:suppressLineNumbers w:val="0"/>
              <w:jc w:val="center"/>
              <w:textAlignment w:val="center"/>
              <w:rPr>
                <w:rFonts w:hint="eastAsia" w:ascii="黑体" w:hAnsi="宋体" w:eastAsia="黑体" w:cs="黑体"/>
                <w:i w:val="0"/>
                <w:iCs w:val="0"/>
                <w:color w:val="000000"/>
                <w:kern w:val="0"/>
                <w:sz w:val="24"/>
                <w:szCs w:val="24"/>
                <w:highlight w:val="none"/>
                <w:u w:val="none"/>
                <w:lang w:val="en-US" w:eastAsia="zh-CN" w:bidi="ar"/>
              </w:rPr>
            </w:pPr>
          </w:p>
          <w:p w14:paraId="15AAB9F4">
            <w:pPr>
              <w:keepNext w:val="0"/>
              <w:keepLines w:val="0"/>
              <w:widowControl/>
              <w:suppressLineNumbers w:val="0"/>
              <w:jc w:val="both"/>
              <w:textAlignment w:val="center"/>
              <w:rPr>
                <w:rFonts w:hint="eastAsia" w:ascii="黑体" w:hAnsi="宋体" w:eastAsia="黑体" w:cs="黑体"/>
                <w:i w:val="0"/>
                <w:iCs w:val="0"/>
                <w:color w:val="000000"/>
                <w:kern w:val="0"/>
                <w:sz w:val="24"/>
                <w:szCs w:val="24"/>
                <w:highlight w:val="none"/>
                <w:u w:val="none"/>
                <w:lang w:val="en-US" w:eastAsia="zh-CN" w:bidi="ar"/>
              </w:rPr>
            </w:pPr>
          </w:p>
          <w:p w14:paraId="62BE3E3F">
            <w:pPr>
              <w:keepNext w:val="0"/>
              <w:keepLines w:val="0"/>
              <w:widowControl/>
              <w:suppressLineNumbers w:val="0"/>
              <w:jc w:val="center"/>
              <w:textAlignment w:val="center"/>
              <w:rPr>
                <w:rFonts w:ascii="黑体" w:hAnsi="宋体" w:eastAsia="黑体" w:cs="黑体"/>
                <w:i w:val="0"/>
                <w:iCs w:val="0"/>
                <w:color w:val="000000"/>
                <w:sz w:val="24"/>
                <w:szCs w:val="24"/>
                <w:highlight w:val="none"/>
                <w:u w:val="none"/>
              </w:rPr>
            </w:pPr>
            <w:r>
              <w:rPr>
                <w:rFonts w:hint="eastAsia" w:ascii="黑体" w:hAnsi="宋体" w:eastAsia="黑体" w:cs="黑体"/>
                <w:i w:val="0"/>
                <w:iCs w:val="0"/>
                <w:color w:val="000000"/>
                <w:kern w:val="0"/>
                <w:sz w:val="24"/>
                <w:szCs w:val="24"/>
                <w:highlight w:val="none"/>
                <w:u w:val="none"/>
                <w:lang w:val="en-US" w:eastAsia="zh-CN" w:bidi="ar"/>
              </w:rPr>
              <w:t>费用分项明细（参考）</w:t>
            </w:r>
          </w:p>
        </w:tc>
      </w:tr>
      <w:tr w14:paraId="20116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4503">
            <w:pPr>
              <w:keepNext w:val="0"/>
              <w:keepLines w:val="0"/>
              <w:widowControl/>
              <w:suppressLineNumbers w:val="0"/>
              <w:jc w:val="center"/>
              <w:textAlignment w:val="center"/>
              <w:rPr>
                <w:rFonts w:hint="eastAsia" w:ascii="黑体" w:hAnsi="宋体" w:eastAsia="黑体" w:cs="黑体"/>
                <w:i w:val="0"/>
                <w:iCs w:val="0"/>
                <w:color w:val="000000"/>
                <w:sz w:val="24"/>
                <w:szCs w:val="24"/>
                <w:highlight w:val="none"/>
                <w:u w:val="none"/>
              </w:rPr>
            </w:pPr>
            <w:r>
              <w:rPr>
                <w:rFonts w:hint="eastAsia" w:ascii="黑体" w:hAnsi="宋体" w:eastAsia="黑体" w:cs="黑体"/>
                <w:i w:val="0"/>
                <w:iCs w:val="0"/>
                <w:color w:val="000000"/>
                <w:kern w:val="0"/>
                <w:sz w:val="24"/>
                <w:szCs w:val="24"/>
                <w:highlight w:val="none"/>
                <w:u w:val="none"/>
                <w:lang w:val="en-US" w:eastAsia="zh-CN" w:bidi="ar"/>
              </w:rPr>
              <w:t>序号</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1F59">
            <w:pPr>
              <w:keepNext w:val="0"/>
              <w:keepLines w:val="0"/>
              <w:widowControl/>
              <w:suppressLineNumbers w:val="0"/>
              <w:jc w:val="center"/>
              <w:textAlignment w:val="center"/>
              <w:rPr>
                <w:rFonts w:hint="eastAsia" w:ascii="黑体" w:hAnsi="宋体" w:eastAsia="黑体" w:cs="黑体"/>
                <w:i w:val="0"/>
                <w:iCs w:val="0"/>
                <w:color w:val="000000"/>
                <w:sz w:val="24"/>
                <w:szCs w:val="24"/>
                <w:highlight w:val="none"/>
                <w:u w:val="none"/>
              </w:rPr>
            </w:pPr>
            <w:r>
              <w:rPr>
                <w:rFonts w:hint="eastAsia" w:ascii="黑体" w:hAnsi="宋体" w:eastAsia="黑体" w:cs="黑体"/>
                <w:i w:val="0"/>
                <w:iCs w:val="0"/>
                <w:color w:val="000000"/>
                <w:kern w:val="0"/>
                <w:sz w:val="24"/>
                <w:szCs w:val="24"/>
                <w:highlight w:val="none"/>
                <w:u w:val="none"/>
                <w:lang w:val="en-US" w:eastAsia="zh-CN" w:bidi="ar"/>
              </w:rPr>
              <w:t>项目</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9370">
            <w:pPr>
              <w:keepNext w:val="0"/>
              <w:keepLines w:val="0"/>
              <w:widowControl/>
              <w:suppressLineNumbers w:val="0"/>
              <w:jc w:val="center"/>
              <w:textAlignment w:val="center"/>
              <w:rPr>
                <w:rFonts w:hint="eastAsia" w:ascii="黑体" w:hAnsi="宋体" w:eastAsia="黑体" w:cs="黑体"/>
                <w:i w:val="0"/>
                <w:iCs w:val="0"/>
                <w:color w:val="000000"/>
                <w:sz w:val="24"/>
                <w:szCs w:val="24"/>
                <w:highlight w:val="none"/>
                <w:u w:val="none"/>
              </w:rPr>
            </w:pPr>
            <w:r>
              <w:rPr>
                <w:rFonts w:hint="eastAsia" w:ascii="黑体" w:hAnsi="宋体" w:eastAsia="黑体" w:cs="黑体"/>
                <w:i w:val="0"/>
                <w:iCs w:val="0"/>
                <w:color w:val="000000"/>
                <w:kern w:val="0"/>
                <w:sz w:val="24"/>
                <w:szCs w:val="24"/>
                <w:highlight w:val="none"/>
                <w:u w:val="none"/>
                <w:lang w:val="en-US" w:eastAsia="zh-CN" w:bidi="ar"/>
              </w:rPr>
              <w:t>单价</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82B5F">
            <w:pPr>
              <w:keepNext w:val="0"/>
              <w:keepLines w:val="0"/>
              <w:widowControl/>
              <w:suppressLineNumbers w:val="0"/>
              <w:jc w:val="center"/>
              <w:textAlignment w:val="center"/>
              <w:rPr>
                <w:rFonts w:hint="eastAsia" w:ascii="黑体" w:hAnsi="宋体" w:eastAsia="黑体" w:cs="黑体"/>
                <w:i w:val="0"/>
                <w:iCs w:val="0"/>
                <w:color w:val="000000"/>
                <w:sz w:val="24"/>
                <w:szCs w:val="24"/>
                <w:highlight w:val="none"/>
                <w:u w:val="none"/>
              </w:rPr>
            </w:pPr>
            <w:r>
              <w:rPr>
                <w:rFonts w:hint="eastAsia" w:ascii="黑体" w:hAnsi="宋体" w:eastAsia="黑体" w:cs="黑体"/>
                <w:i w:val="0"/>
                <w:iCs w:val="0"/>
                <w:color w:val="000000"/>
                <w:kern w:val="0"/>
                <w:sz w:val="24"/>
                <w:szCs w:val="24"/>
                <w:highlight w:val="none"/>
                <w:u w:val="none"/>
                <w:lang w:val="en-US" w:eastAsia="zh-CN" w:bidi="ar"/>
              </w:rPr>
              <w:t>数量</w:t>
            </w:r>
          </w:p>
        </w:tc>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4D41D">
            <w:pPr>
              <w:keepNext w:val="0"/>
              <w:keepLines w:val="0"/>
              <w:widowControl/>
              <w:suppressLineNumbers w:val="0"/>
              <w:jc w:val="center"/>
              <w:textAlignment w:val="center"/>
              <w:rPr>
                <w:rFonts w:hint="eastAsia" w:ascii="黑体" w:hAnsi="宋体" w:eastAsia="黑体" w:cs="黑体"/>
                <w:i w:val="0"/>
                <w:iCs w:val="0"/>
                <w:color w:val="000000"/>
                <w:sz w:val="24"/>
                <w:szCs w:val="24"/>
                <w:highlight w:val="none"/>
                <w:u w:val="none"/>
              </w:rPr>
            </w:pPr>
            <w:r>
              <w:rPr>
                <w:rFonts w:hint="eastAsia" w:ascii="黑体" w:hAnsi="宋体" w:eastAsia="黑体" w:cs="黑体"/>
                <w:i w:val="0"/>
                <w:iCs w:val="0"/>
                <w:color w:val="000000"/>
                <w:kern w:val="0"/>
                <w:sz w:val="24"/>
                <w:szCs w:val="24"/>
                <w:highlight w:val="none"/>
                <w:u w:val="none"/>
                <w:lang w:val="en-US" w:eastAsia="zh-CN" w:bidi="ar"/>
              </w:rPr>
              <w:t>费用</w:t>
            </w:r>
          </w:p>
        </w:tc>
        <w:tc>
          <w:tcPr>
            <w:tcW w:w="5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2731">
            <w:pPr>
              <w:keepNext w:val="0"/>
              <w:keepLines w:val="0"/>
              <w:widowControl/>
              <w:suppressLineNumbers w:val="0"/>
              <w:jc w:val="center"/>
              <w:textAlignment w:val="center"/>
              <w:rPr>
                <w:rFonts w:hint="eastAsia" w:ascii="黑体" w:hAnsi="宋体" w:eastAsia="黑体" w:cs="黑体"/>
                <w:i w:val="0"/>
                <w:iCs w:val="0"/>
                <w:color w:val="000000"/>
                <w:sz w:val="24"/>
                <w:szCs w:val="24"/>
                <w:highlight w:val="none"/>
                <w:u w:val="none"/>
              </w:rPr>
            </w:pPr>
            <w:r>
              <w:rPr>
                <w:rFonts w:hint="eastAsia" w:ascii="黑体" w:hAnsi="宋体" w:eastAsia="黑体" w:cs="黑体"/>
                <w:i w:val="0"/>
                <w:iCs w:val="0"/>
                <w:color w:val="000000"/>
                <w:kern w:val="0"/>
                <w:sz w:val="24"/>
                <w:szCs w:val="24"/>
                <w:highlight w:val="none"/>
                <w:u w:val="none"/>
                <w:lang w:val="en-US" w:eastAsia="zh-CN" w:bidi="ar"/>
              </w:rPr>
              <w:t>备注</w:t>
            </w:r>
          </w:p>
        </w:tc>
      </w:tr>
      <w:tr w14:paraId="16C64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61C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27E8B">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物料制作费</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F3754">
            <w:pPr>
              <w:jc w:val="center"/>
              <w:rPr>
                <w:rFonts w:hint="eastAsia" w:ascii="仿宋_GB2312" w:hAnsi="仿宋_GB2312" w:eastAsia="仿宋_GB2312" w:cs="仿宋_GB2312"/>
                <w:i w:val="0"/>
                <w:iCs w:val="0"/>
                <w:color w:val="000000"/>
                <w:kern w:val="2"/>
                <w:sz w:val="24"/>
                <w:szCs w:val="24"/>
                <w:highlight w:val="none"/>
                <w:u w:val="none"/>
                <w:lang w:val="en-US" w:eastAsia="zh-CN" w:bidi="ar-SA"/>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6AA0">
            <w:pPr>
              <w:jc w:val="center"/>
              <w:rPr>
                <w:rFonts w:hint="eastAsia" w:ascii="仿宋_GB2312" w:hAnsi="仿宋_GB2312" w:eastAsia="仿宋_GB2312" w:cs="仿宋_GB2312"/>
                <w:i w:val="0"/>
                <w:iCs w:val="0"/>
                <w:color w:val="000000"/>
                <w:kern w:val="2"/>
                <w:sz w:val="24"/>
                <w:szCs w:val="24"/>
                <w:highlight w:val="none"/>
                <w:u w:val="none"/>
                <w:lang w:val="en-US" w:eastAsia="zh-CN" w:bidi="ar-SA"/>
              </w:rPr>
            </w:pPr>
          </w:p>
        </w:tc>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C66E6">
            <w:pPr>
              <w:jc w:val="center"/>
              <w:rPr>
                <w:rFonts w:hint="eastAsia" w:ascii="仿宋_GB2312" w:hAnsi="仿宋_GB2312" w:eastAsia="仿宋_GB2312" w:cs="仿宋_GB2312"/>
                <w:i w:val="0"/>
                <w:iCs w:val="0"/>
                <w:color w:val="000000"/>
                <w:kern w:val="2"/>
                <w:sz w:val="24"/>
                <w:szCs w:val="24"/>
                <w:highlight w:val="none"/>
                <w:u w:val="none"/>
                <w:lang w:val="en-US" w:eastAsia="zh-CN" w:bidi="ar-SA"/>
              </w:rPr>
            </w:pPr>
          </w:p>
        </w:tc>
        <w:tc>
          <w:tcPr>
            <w:tcW w:w="5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6DC88">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含展板、背景板、横幅、标识牌、指引牌、秩序册、成绩公示栏、号码布、参赛证、工作证、道旗、空飘、美陈、龙门、奖杯、奖牌、颁奖台、开幕式启动特效、观众区划分、氛围营造等</w:t>
            </w:r>
            <w:r>
              <w:rPr>
                <w:rFonts w:hint="eastAsia" w:ascii="仿宋_GB2312" w:hAnsi="仿宋_GB2312" w:eastAsia="仿宋_GB2312" w:cs="仿宋_GB2312"/>
                <w:i w:val="0"/>
                <w:iCs w:val="0"/>
                <w:color w:val="000000"/>
                <w:sz w:val="24"/>
                <w:szCs w:val="24"/>
                <w:highlight w:val="none"/>
                <w:u w:val="none"/>
                <w:lang w:val="en-US" w:eastAsia="zh-CN"/>
              </w:rPr>
              <w:t>根据实际拆分明细报价</w:t>
            </w:r>
          </w:p>
        </w:tc>
      </w:tr>
      <w:tr w14:paraId="01E4B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307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124C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设备租赁费</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E359A">
            <w:pPr>
              <w:jc w:val="center"/>
              <w:rPr>
                <w:rFonts w:hint="eastAsia" w:ascii="仿宋_GB2312" w:hAnsi="仿宋_GB2312" w:eastAsia="仿宋_GB2312" w:cs="仿宋_GB2312"/>
                <w:i w:val="0"/>
                <w:iCs w:val="0"/>
                <w:color w:val="000000"/>
                <w:kern w:val="2"/>
                <w:sz w:val="24"/>
                <w:szCs w:val="24"/>
                <w:highlight w:val="none"/>
                <w:u w:val="none"/>
                <w:lang w:val="en-US" w:eastAsia="zh-CN" w:bidi="ar-SA"/>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8AB9">
            <w:pPr>
              <w:jc w:val="center"/>
              <w:rPr>
                <w:rFonts w:hint="eastAsia" w:ascii="仿宋_GB2312" w:hAnsi="仿宋_GB2312" w:eastAsia="仿宋_GB2312" w:cs="仿宋_GB2312"/>
                <w:i w:val="0"/>
                <w:iCs w:val="0"/>
                <w:color w:val="000000"/>
                <w:kern w:val="2"/>
                <w:sz w:val="24"/>
                <w:szCs w:val="24"/>
                <w:highlight w:val="none"/>
                <w:u w:val="none"/>
                <w:lang w:val="en-US" w:eastAsia="zh-CN" w:bidi="ar-SA"/>
              </w:rPr>
            </w:pPr>
          </w:p>
        </w:tc>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82801">
            <w:pPr>
              <w:jc w:val="center"/>
              <w:rPr>
                <w:rFonts w:hint="eastAsia" w:ascii="仿宋_GB2312" w:hAnsi="仿宋_GB2312" w:eastAsia="仿宋_GB2312" w:cs="仿宋_GB2312"/>
                <w:i w:val="0"/>
                <w:iCs w:val="0"/>
                <w:color w:val="000000"/>
                <w:kern w:val="2"/>
                <w:sz w:val="24"/>
                <w:szCs w:val="24"/>
                <w:highlight w:val="none"/>
                <w:u w:val="none"/>
                <w:lang w:val="en-US" w:eastAsia="zh-CN" w:bidi="ar-SA"/>
              </w:rPr>
            </w:pPr>
          </w:p>
        </w:tc>
        <w:tc>
          <w:tcPr>
            <w:tcW w:w="5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C223E">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音响、话筒、显示屏、灯光、投影等</w:t>
            </w:r>
            <w:r>
              <w:rPr>
                <w:rFonts w:hint="eastAsia" w:ascii="仿宋_GB2312" w:hAnsi="仿宋_GB2312" w:eastAsia="仿宋_GB2312" w:cs="仿宋_GB2312"/>
                <w:i w:val="0"/>
                <w:iCs w:val="0"/>
                <w:color w:val="000000"/>
                <w:sz w:val="24"/>
                <w:szCs w:val="24"/>
                <w:highlight w:val="none"/>
                <w:u w:val="none"/>
                <w:lang w:val="en-US" w:eastAsia="zh-CN"/>
              </w:rPr>
              <w:t>根据实际拆分明细报价</w:t>
            </w:r>
          </w:p>
        </w:tc>
      </w:tr>
      <w:tr w14:paraId="543CD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F269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D77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工作人员</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2E3F4">
            <w:pPr>
              <w:jc w:val="center"/>
              <w:rPr>
                <w:rFonts w:hint="eastAsia" w:ascii="仿宋_GB2312" w:hAnsi="仿宋_GB2312" w:eastAsia="仿宋_GB2312" w:cs="仿宋_GB2312"/>
                <w:i w:val="0"/>
                <w:iCs w:val="0"/>
                <w:color w:val="000000"/>
                <w:sz w:val="24"/>
                <w:szCs w:val="24"/>
                <w:highlight w:val="none"/>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0050E">
            <w:pPr>
              <w:jc w:val="center"/>
              <w:rPr>
                <w:rFonts w:hint="eastAsia" w:ascii="仿宋_GB2312" w:hAnsi="仿宋_GB2312" w:eastAsia="仿宋_GB2312" w:cs="仿宋_GB2312"/>
                <w:i w:val="0"/>
                <w:iCs w:val="0"/>
                <w:color w:val="000000"/>
                <w:sz w:val="24"/>
                <w:szCs w:val="24"/>
                <w:highlight w:val="none"/>
                <w:u w:val="none"/>
              </w:rPr>
            </w:pPr>
          </w:p>
        </w:tc>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FD1E">
            <w:pPr>
              <w:jc w:val="center"/>
              <w:rPr>
                <w:rFonts w:hint="eastAsia" w:ascii="仿宋_GB2312" w:hAnsi="仿宋_GB2312" w:eastAsia="仿宋_GB2312" w:cs="仿宋_GB2312"/>
                <w:i w:val="0"/>
                <w:iCs w:val="0"/>
                <w:color w:val="000000"/>
                <w:sz w:val="24"/>
                <w:szCs w:val="24"/>
                <w:highlight w:val="none"/>
                <w:u w:val="none"/>
              </w:rPr>
            </w:pPr>
          </w:p>
        </w:tc>
        <w:tc>
          <w:tcPr>
            <w:tcW w:w="5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7876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分项赛裁判、工作人员</w:t>
            </w:r>
          </w:p>
        </w:tc>
      </w:tr>
      <w:tr w14:paraId="36DC4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5C8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E861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开幕式集体展演</w:t>
            </w:r>
          </w:p>
        </w:tc>
        <w:tc>
          <w:tcPr>
            <w:tcW w:w="982" w:type="dxa"/>
            <w:tcBorders>
              <w:top w:val="nil"/>
              <w:left w:val="nil"/>
              <w:bottom w:val="nil"/>
              <w:right w:val="nil"/>
            </w:tcBorders>
            <w:shd w:val="clear" w:color="auto" w:fill="auto"/>
            <w:noWrap/>
            <w:vAlign w:val="center"/>
          </w:tcPr>
          <w:p w14:paraId="46FD0D88">
            <w:pPr>
              <w:jc w:val="center"/>
              <w:rPr>
                <w:rFonts w:hint="eastAsia" w:ascii="仿宋_GB2312" w:hAnsi="仿宋_GB2312" w:eastAsia="仿宋_GB2312" w:cs="仿宋_GB2312"/>
                <w:i w:val="0"/>
                <w:iCs w:val="0"/>
                <w:color w:val="000000"/>
                <w:sz w:val="24"/>
                <w:szCs w:val="24"/>
                <w:highlight w:val="none"/>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4AF5F">
            <w:pPr>
              <w:jc w:val="center"/>
              <w:rPr>
                <w:rFonts w:hint="eastAsia" w:ascii="仿宋_GB2312" w:hAnsi="仿宋_GB2312" w:eastAsia="仿宋_GB2312" w:cs="仿宋_GB2312"/>
                <w:i w:val="0"/>
                <w:iCs w:val="0"/>
                <w:color w:val="000000"/>
                <w:sz w:val="24"/>
                <w:szCs w:val="24"/>
                <w:highlight w:val="none"/>
                <w:u w:val="none"/>
              </w:rPr>
            </w:pPr>
          </w:p>
        </w:tc>
        <w:tc>
          <w:tcPr>
            <w:tcW w:w="1837" w:type="dxa"/>
            <w:tcBorders>
              <w:top w:val="nil"/>
              <w:left w:val="nil"/>
              <w:bottom w:val="nil"/>
              <w:right w:val="nil"/>
            </w:tcBorders>
            <w:shd w:val="clear" w:color="auto" w:fill="auto"/>
            <w:noWrap/>
            <w:vAlign w:val="center"/>
          </w:tcPr>
          <w:p w14:paraId="7C4B37AA">
            <w:pPr>
              <w:jc w:val="center"/>
              <w:rPr>
                <w:rFonts w:hint="eastAsia" w:ascii="仿宋_GB2312" w:hAnsi="仿宋_GB2312" w:eastAsia="仿宋_GB2312" w:cs="仿宋_GB2312"/>
                <w:i w:val="0"/>
                <w:iCs w:val="0"/>
                <w:color w:val="000000"/>
                <w:sz w:val="24"/>
                <w:szCs w:val="24"/>
                <w:highlight w:val="none"/>
                <w:u w:val="none"/>
              </w:rPr>
            </w:pPr>
          </w:p>
        </w:tc>
        <w:tc>
          <w:tcPr>
            <w:tcW w:w="5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37A0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演出人员以招标人为主，投标人提供编排方案及指导</w:t>
            </w:r>
          </w:p>
        </w:tc>
      </w:tr>
      <w:tr w14:paraId="40F61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964C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2DD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摄影、摄像（含航拍）</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1BDEB">
            <w:pPr>
              <w:jc w:val="center"/>
              <w:rPr>
                <w:rFonts w:hint="eastAsia" w:ascii="仿宋_GB2312" w:hAnsi="仿宋_GB2312" w:eastAsia="仿宋_GB2312" w:cs="仿宋_GB2312"/>
                <w:i w:val="0"/>
                <w:iCs w:val="0"/>
                <w:color w:val="000000"/>
                <w:sz w:val="24"/>
                <w:szCs w:val="24"/>
                <w:highlight w:val="none"/>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A438B">
            <w:pPr>
              <w:jc w:val="center"/>
              <w:rPr>
                <w:rFonts w:hint="eastAsia" w:ascii="仿宋_GB2312" w:hAnsi="仿宋_GB2312" w:eastAsia="仿宋_GB2312" w:cs="仿宋_GB2312"/>
                <w:i w:val="0"/>
                <w:iCs w:val="0"/>
                <w:color w:val="000000"/>
                <w:sz w:val="24"/>
                <w:szCs w:val="24"/>
                <w:highlight w:val="none"/>
                <w:u w:val="none"/>
              </w:rPr>
            </w:pPr>
          </w:p>
        </w:tc>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B95DA">
            <w:pPr>
              <w:jc w:val="center"/>
              <w:rPr>
                <w:rFonts w:hint="eastAsia" w:ascii="仿宋_GB2312" w:hAnsi="仿宋_GB2312" w:eastAsia="仿宋_GB2312" w:cs="仿宋_GB2312"/>
                <w:i w:val="0"/>
                <w:iCs w:val="0"/>
                <w:color w:val="000000"/>
                <w:sz w:val="24"/>
                <w:szCs w:val="24"/>
                <w:highlight w:val="none"/>
                <w:u w:val="none"/>
              </w:rPr>
            </w:pPr>
          </w:p>
        </w:tc>
        <w:tc>
          <w:tcPr>
            <w:tcW w:w="5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C34D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图片直播、快剪</w:t>
            </w:r>
          </w:p>
        </w:tc>
      </w:tr>
      <w:tr w14:paraId="18230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3FB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162E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医疗保障</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3CD0">
            <w:pPr>
              <w:jc w:val="center"/>
              <w:rPr>
                <w:rFonts w:hint="eastAsia" w:ascii="仿宋_GB2312" w:hAnsi="仿宋_GB2312" w:eastAsia="仿宋_GB2312" w:cs="仿宋_GB2312"/>
                <w:i w:val="0"/>
                <w:iCs w:val="0"/>
                <w:color w:val="000000"/>
                <w:sz w:val="24"/>
                <w:szCs w:val="24"/>
                <w:highlight w:val="none"/>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416E">
            <w:pPr>
              <w:jc w:val="center"/>
              <w:rPr>
                <w:rFonts w:hint="eastAsia" w:ascii="仿宋_GB2312" w:hAnsi="仿宋_GB2312" w:eastAsia="仿宋_GB2312" w:cs="仿宋_GB2312"/>
                <w:i w:val="0"/>
                <w:iCs w:val="0"/>
                <w:color w:val="000000"/>
                <w:sz w:val="24"/>
                <w:szCs w:val="24"/>
                <w:highlight w:val="none"/>
                <w:u w:val="none"/>
              </w:rPr>
            </w:pPr>
          </w:p>
        </w:tc>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F892D">
            <w:pPr>
              <w:jc w:val="center"/>
              <w:rPr>
                <w:rFonts w:hint="eastAsia" w:ascii="仿宋_GB2312" w:hAnsi="仿宋_GB2312" w:eastAsia="仿宋_GB2312" w:cs="仿宋_GB2312"/>
                <w:i w:val="0"/>
                <w:iCs w:val="0"/>
                <w:color w:val="000000"/>
                <w:sz w:val="24"/>
                <w:szCs w:val="24"/>
                <w:highlight w:val="none"/>
                <w:u w:val="none"/>
              </w:rPr>
            </w:pPr>
          </w:p>
        </w:tc>
        <w:tc>
          <w:tcPr>
            <w:tcW w:w="5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FE35F">
            <w:pP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救护车、医生、AED等</w:t>
            </w:r>
          </w:p>
        </w:tc>
      </w:tr>
      <w:tr w14:paraId="04B88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2748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E8A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参赛运动员保险</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C19A">
            <w:pPr>
              <w:jc w:val="center"/>
              <w:rPr>
                <w:rFonts w:hint="eastAsia" w:ascii="仿宋_GB2312" w:hAnsi="仿宋_GB2312" w:eastAsia="仿宋_GB2312" w:cs="仿宋_GB2312"/>
                <w:i w:val="0"/>
                <w:iCs w:val="0"/>
                <w:color w:val="000000"/>
                <w:sz w:val="24"/>
                <w:szCs w:val="24"/>
                <w:highlight w:val="none"/>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8222A">
            <w:pPr>
              <w:jc w:val="center"/>
              <w:rPr>
                <w:rFonts w:hint="eastAsia" w:ascii="仿宋_GB2312" w:hAnsi="仿宋_GB2312" w:eastAsia="仿宋_GB2312" w:cs="仿宋_GB2312"/>
                <w:i w:val="0"/>
                <w:iCs w:val="0"/>
                <w:color w:val="000000"/>
                <w:sz w:val="24"/>
                <w:szCs w:val="24"/>
                <w:highlight w:val="none"/>
                <w:u w:val="none"/>
              </w:rPr>
            </w:pPr>
          </w:p>
        </w:tc>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2CA5B">
            <w:pPr>
              <w:jc w:val="center"/>
              <w:rPr>
                <w:rFonts w:hint="eastAsia" w:ascii="仿宋_GB2312" w:hAnsi="仿宋_GB2312" w:eastAsia="仿宋_GB2312" w:cs="仿宋_GB2312"/>
                <w:i w:val="0"/>
                <w:iCs w:val="0"/>
                <w:color w:val="000000"/>
                <w:sz w:val="24"/>
                <w:szCs w:val="24"/>
                <w:highlight w:val="none"/>
                <w:u w:val="none"/>
              </w:rPr>
            </w:pPr>
          </w:p>
        </w:tc>
        <w:tc>
          <w:tcPr>
            <w:tcW w:w="5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40020">
            <w:pP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10万意外+3000医疗伤害</w:t>
            </w:r>
          </w:p>
        </w:tc>
      </w:tr>
      <w:tr w14:paraId="7AFAB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B84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9F7C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赛事系统</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17F6">
            <w:pPr>
              <w:jc w:val="center"/>
              <w:rPr>
                <w:rFonts w:hint="eastAsia" w:ascii="仿宋_GB2312" w:hAnsi="仿宋_GB2312" w:eastAsia="仿宋_GB2312" w:cs="仿宋_GB2312"/>
                <w:i w:val="0"/>
                <w:iCs w:val="0"/>
                <w:color w:val="000000"/>
                <w:sz w:val="24"/>
                <w:szCs w:val="24"/>
                <w:highlight w:val="none"/>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30ECA">
            <w:pPr>
              <w:jc w:val="center"/>
              <w:rPr>
                <w:rFonts w:hint="eastAsia" w:ascii="仿宋_GB2312" w:hAnsi="仿宋_GB2312" w:eastAsia="仿宋_GB2312" w:cs="仿宋_GB2312"/>
                <w:i w:val="0"/>
                <w:iCs w:val="0"/>
                <w:color w:val="000000"/>
                <w:sz w:val="24"/>
                <w:szCs w:val="24"/>
                <w:highlight w:val="none"/>
                <w:u w:val="none"/>
              </w:rPr>
            </w:pPr>
          </w:p>
        </w:tc>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E54A3">
            <w:pPr>
              <w:jc w:val="center"/>
              <w:rPr>
                <w:rFonts w:hint="eastAsia" w:ascii="仿宋_GB2312" w:hAnsi="仿宋_GB2312" w:eastAsia="仿宋_GB2312" w:cs="仿宋_GB2312"/>
                <w:i w:val="0"/>
                <w:iCs w:val="0"/>
                <w:color w:val="000000"/>
                <w:sz w:val="24"/>
                <w:szCs w:val="24"/>
                <w:highlight w:val="none"/>
                <w:u w:val="none"/>
              </w:rPr>
            </w:pPr>
          </w:p>
        </w:tc>
        <w:tc>
          <w:tcPr>
            <w:tcW w:w="5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DF7E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电子计分系统、赛事编排系统、成绩公示系统、电子计时系统、电子发令系统、电子测距系统</w:t>
            </w:r>
          </w:p>
        </w:tc>
      </w:tr>
      <w:tr w14:paraId="69D8D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54E8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DAF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集体项目道具</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428D">
            <w:pPr>
              <w:jc w:val="center"/>
              <w:rPr>
                <w:rFonts w:hint="eastAsia" w:ascii="仿宋_GB2312" w:hAnsi="仿宋_GB2312" w:eastAsia="仿宋_GB2312" w:cs="仿宋_GB2312"/>
                <w:i w:val="0"/>
                <w:iCs w:val="0"/>
                <w:color w:val="000000"/>
                <w:sz w:val="24"/>
                <w:szCs w:val="24"/>
                <w:highlight w:val="none"/>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B0B2">
            <w:pPr>
              <w:jc w:val="center"/>
              <w:rPr>
                <w:rFonts w:hint="eastAsia" w:ascii="仿宋_GB2312" w:hAnsi="仿宋_GB2312" w:eastAsia="仿宋_GB2312" w:cs="仿宋_GB2312"/>
                <w:i w:val="0"/>
                <w:iCs w:val="0"/>
                <w:color w:val="000000"/>
                <w:sz w:val="24"/>
                <w:szCs w:val="24"/>
                <w:highlight w:val="none"/>
                <w:u w:val="none"/>
              </w:rPr>
            </w:pPr>
          </w:p>
        </w:tc>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D9E79">
            <w:pPr>
              <w:jc w:val="center"/>
              <w:rPr>
                <w:rFonts w:hint="eastAsia" w:ascii="仿宋_GB2312" w:hAnsi="仿宋_GB2312" w:eastAsia="仿宋_GB2312" w:cs="仿宋_GB2312"/>
                <w:i w:val="0"/>
                <w:iCs w:val="0"/>
                <w:color w:val="000000"/>
                <w:sz w:val="24"/>
                <w:szCs w:val="24"/>
                <w:highlight w:val="none"/>
                <w:u w:val="none"/>
              </w:rPr>
            </w:pPr>
          </w:p>
        </w:tc>
        <w:tc>
          <w:tcPr>
            <w:tcW w:w="5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D8AD4">
            <w:pPr>
              <w:jc w:val="left"/>
              <w:rPr>
                <w:rFonts w:hint="eastAsia" w:ascii="仿宋_GB2312" w:hAnsi="仿宋_GB2312" w:eastAsia="仿宋_GB2312" w:cs="仿宋_GB2312"/>
                <w:i w:val="0"/>
                <w:iCs w:val="0"/>
                <w:color w:val="000000"/>
                <w:sz w:val="24"/>
                <w:szCs w:val="24"/>
                <w:highlight w:val="none"/>
                <w:u w:val="none"/>
              </w:rPr>
            </w:pPr>
          </w:p>
        </w:tc>
      </w:tr>
      <w:tr w14:paraId="525DF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142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6C1C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其他</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8719">
            <w:pPr>
              <w:jc w:val="center"/>
              <w:rPr>
                <w:rFonts w:hint="eastAsia" w:ascii="仿宋_GB2312" w:hAnsi="仿宋_GB2312" w:eastAsia="仿宋_GB2312" w:cs="仿宋_GB2312"/>
                <w:i w:val="0"/>
                <w:iCs w:val="0"/>
                <w:color w:val="000000"/>
                <w:kern w:val="2"/>
                <w:sz w:val="24"/>
                <w:szCs w:val="24"/>
                <w:highlight w:val="none"/>
                <w:u w:val="none"/>
                <w:lang w:val="en-US" w:eastAsia="zh-CN" w:bidi="ar-SA"/>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07BF">
            <w:pPr>
              <w:jc w:val="center"/>
              <w:rPr>
                <w:rFonts w:hint="eastAsia" w:ascii="仿宋_GB2312" w:hAnsi="仿宋_GB2312" w:eastAsia="仿宋_GB2312" w:cs="仿宋_GB2312"/>
                <w:i w:val="0"/>
                <w:iCs w:val="0"/>
                <w:color w:val="000000"/>
                <w:kern w:val="2"/>
                <w:sz w:val="24"/>
                <w:szCs w:val="24"/>
                <w:highlight w:val="none"/>
                <w:u w:val="none"/>
                <w:lang w:val="en-US" w:eastAsia="zh-CN" w:bidi="ar-SA"/>
              </w:rPr>
            </w:pPr>
          </w:p>
        </w:tc>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72702">
            <w:pPr>
              <w:jc w:val="center"/>
              <w:rPr>
                <w:rFonts w:hint="eastAsia" w:ascii="仿宋_GB2312" w:hAnsi="仿宋_GB2312" w:eastAsia="仿宋_GB2312" w:cs="仿宋_GB2312"/>
                <w:i w:val="0"/>
                <w:iCs w:val="0"/>
                <w:color w:val="000000"/>
                <w:kern w:val="2"/>
                <w:sz w:val="24"/>
                <w:szCs w:val="24"/>
                <w:highlight w:val="none"/>
                <w:u w:val="none"/>
                <w:lang w:val="en-US" w:eastAsia="zh-CN" w:bidi="ar-SA"/>
              </w:rPr>
            </w:pPr>
          </w:p>
        </w:tc>
        <w:tc>
          <w:tcPr>
            <w:tcW w:w="5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0327">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根据实际方案拆分明细报价</w:t>
            </w:r>
          </w:p>
        </w:tc>
      </w:tr>
      <w:tr w14:paraId="69CFF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ED08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11</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EED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sz w:val="24"/>
                <w:szCs w:val="24"/>
                <w:highlight w:val="none"/>
                <w:u w:val="none"/>
                <w:lang w:val="en-US" w:eastAsia="zh-CN"/>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59B71">
            <w:pPr>
              <w:jc w:val="center"/>
              <w:rPr>
                <w:rFonts w:hint="eastAsia" w:ascii="仿宋_GB2312" w:hAnsi="仿宋_GB2312" w:eastAsia="仿宋_GB2312" w:cs="仿宋_GB2312"/>
                <w:i w:val="0"/>
                <w:iCs w:val="0"/>
                <w:color w:val="000000"/>
                <w:kern w:val="2"/>
                <w:sz w:val="24"/>
                <w:szCs w:val="24"/>
                <w:highlight w:val="none"/>
                <w:u w:val="none"/>
                <w:lang w:val="en-US" w:eastAsia="zh-CN" w:bidi="ar-SA"/>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19E9">
            <w:pPr>
              <w:jc w:val="center"/>
              <w:rPr>
                <w:rFonts w:hint="eastAsia" w:ascii="仿宋_GB2312" w:hAnsi="仿宋_GB2312" w:eastAsia="仿宋_GB2312" w:cs="仿宋_GB2312"/>
                <w:i w:val="0"/>
                <w:iCs w:val="0"/>
                <w:color w:val="000000"/>
                <w:kern w:val="2"/>
                <w:sz w:val="24"/>
                <w:szCs w:val="24"/>
                <w:highlight w:val="none"/>
                <w:u w:val="none"/>
                <w:lang w:val="en-US" w:eastAsia="zh-CN" w:bidi="ar-SA"/>
              </w:rPr>
            </w:pPr>
          </w:p>
        </w:tc>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C4B9C">
            <w:pPr>
              <w:jc w:val="center"/>
              <w:rPr>
                <w:rFonts w:hint="eastAsia" w:ascii="仿宋_GB2312" w:hAnsi="仿宋_GB2312" w:eastAsia="仿宋_GB2312" w:cs="仿宋_GB2312"/>
                <w:i w:val="0"/>
                <w:iCs w:val="0"/>
                <w:color w:val="000000"/>
                <w:kern w:val="2"/>
                <w:sz w:val="24"/>
                <w:szCs w:val="24"/>
                <w:highlight w:val="none"/>
                <w:u w:val="none"/>
                <w:lang w:val="en-US" w:eastAsia="zh-CN" w:bidi="ar-SA"/>
              </w:rPr>
            </w:pPr>
          </w:p>
        </w:tc>
        <w:tc>
          <w:tcPr>
            <w:tcW w:w="5622" w:type="dxa"/>
            <w:tcBorders>
              <w:top w:val="single" w:color="000000" w:sz="4" w:space="0"/>
              <w:left w:val="single" w:color="000000" w:sz="4" w:space="0"/>
              <w:right w:val="single" w:color="000000" w:sz="4" w:space="0"/>
            </w:tcBorders>
            <w:shd w:val="clear" w:color="auto" w:fill="auto"/>
            <w:noWrap/>
            <w:vAlign w:val="center"/>
          </w:tcPr>
          <w:p w14:paraId="2A697CD3">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p>
        </w:tc>
      </w:tr>
      <w:tr w14:paraId="04209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4FED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12</w:t>
            </w:r>
          </w:p>
        </w:tc>
        <w:tc>
          <w:tcPr>
            <w:tcW w:w="55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ACA28">
            <w:pPr>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小计</w:t>
            </w:r>
          </w:p>
        </w:tc>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B5AE4">
            <w:pPr>
              <w:jc w:val="center"/>
              <w:rPr>
                <w:rFonts w:hint="eastAsia" w:ascii="仿宋_GB2312" w:hAnsi="仿宋_GB2312" w:eastAsia="仿宋_GB2312" w:cs="仿宋_GB2312"/>
                <w:i w:val="0"/>
                <w:iCs w:val="0"/>
                <w:color w:val="000000"/>
                <w:sz w:val="24"/>
                <w:szCs w:val="24"/>
                <w:highlight w:val="none"/>
                <w:u w:val="none"/>
              </w:rPr>
            </w:pPr>
          </w:p>
        </w:tc>
        <w:tc>
          <w:tcPr>
            <w:tcW w:w="5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283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p>
        </w:tc>
      </w:tr>
      <w:tr w14:paraId="47652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394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13</w:t>
            </w:r>
          </w:p>
        </w:tc>
        <w:tc>
          <w:tcPr>
            <w:tcW w:w="55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EDB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税率</w:t>
            </w:r>
          </w:p>
        </w:tc>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5CFE">
            <w:pPr>
              <w:jc w:val="center"/>
              <w:rPr>
                <w:rFonts w:hint="eastAsia" w:ascii="仿宋_GB2312" w:hAnsi="仿宋_GB2312" w:eastAsia="仿宋_GB2312" w:cs="仿宋_GB2312"/>
                <w:i w:val="0"/>
                <w:iCs w:val="0"/>
                <w:color w:val="000000"/>
                <w:sz w:val="24"/>
                <w:szCs w:val="24"/>
                <w:highlight w:val="none"/>
                <w:u w:val="none"/>
              </w:rPr>
            </w:pPr>
          </w:p>
        </w:tc>
        <w:tc>
          <w:tcPr>
            <w:tcW w:w="5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1D53">
            <w:pPr>
              <w:rPr>
                <w:rFonts w:hint="eastAsia" w:ascii="仿宋_GB2312" w:hAnsi="仿宋_GB2312" w:eastAsia="仿宋_GB2312" w:cs="仿宋_GB2312"/>
                <w:i w:val="0"/>
                <w:iCs w:val="0"/>
                <w:color w:val="000000"/>
                <w:sz w:val="24"/>
                <w:szCs w:val="24"/>
                <w:highlight w:val="none"/>
                <w:u w:val="none"/>
              </w:rPr>
            </w:pPr>
          </w:p>
        </w:tc>
      </w:tr>
      <w:tr w14:paraId="57861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42D8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14</w:t>
            </w:r>
          </w:p>
        </w:tc>
        <w:tc>
          <w:tcPr>
            <w:tcW w:w="55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AA5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总计（含税）</w:t>
            </w:r>
          </w:p>
        </w:tc>
        <w:tc>
          <w:tcPr>
            <w:tcW w:w="1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CC7D">
            <w:pPr>
              <w:jc w:val="center"/>
              <w:rPr>
                <w:rFonts w:hint="eastAsia" w:ascii="仿宋_GB2312" w:hAnsi="仿宋_GB2312" w:eastAsia="仿宋_GB2312" w:cs="仿宋_GB2312"/>
                <w:i w:val="0"/>
                <w:iCs w:val="0"/>
                <w:color w:val="000000"/>
                <w:sz w:val="24"/>
                <w:szCs w:val="24"/>
                <w:highlight w:val="none"/>
                <w:u w:val="none"/>
              </w:rPr>
            </w:pPr>
          </w:p>
        </w:tc>
        <w:tc>
          <w:tcPr>
            <w:tcW w:w="5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0A27">
            <w:pPr>
              <w:rPr>
                <w:rFonts w:hint="eastAsia" w:ascii="仿宋_GB2312" w:hAnsi="仿宋_GB2312" w:eastAsia="仿宋_GB2312" w:cs="仿宋_GB2312"/>
                <w:i w:val="0"/>
                <w:iCs w:val="0"/>
                <w:color w:val="000000"/>
                <w:sz w:val="24"/>
                <w:szCs w:val="24"/>
                <w:highlight w:val="none"/>
                <w:u w:val="none"/>
              </w:rPr>
            </w:pPr>
          </w:p>
        </w:tc>
      </w:tr>
    </w:tbl>
    <w:p w14:paraId="6419A037">
      <w:pPr>
        <w:rPr>
          <w:rFonts w:hint="eastAsia"/>
          <w:highlight w:val="none"/>
        </w:rPr>
        <w:sectPr>
          <w:pgSz w:w="16838" w:h="11906" w:orient="landscape"/>
          <w:pgMar w:top="1417" w:right="1587" w:bottom="1417" w:left="1134" w:header="851" w:footer="992" w:gutter="0"/>
          <w:pgNumType w:fmt="decimal"/>
          <w:cols w:space="0" w:num="1"/>
          <w:titlePg/>
          <w:rtlGutter w:val="0"/>
          <w:docGrid w:type="lines" w:linePitch="312" w:charSpace="0"/>
        </w:sectPr>
      </w:pPr>
      <w:bookmarkStart w:id="26" w:name="_Toc8241"/>
    </w:p>
    <w:p w14:paraId="593A8188">
      <w:pPr>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附件</w:t>
      </w:r>
      <w:bookmarkEnd w:id="26"/>
      <w:r>
        <w:rPr>
          <w:rFonts w:hint="eastAsia" w:ascii="黑体" w:hAnsi="黑体" w:eastAsia="黑体" w:cs="黑体"/>
          <w:sz w:val="24"/>
          <w:szCs w:val="24"/>
          <w:highlight w:val="none"/>
          <w:lang w:val="en-US" w:eastAsia="zh-CN"/>
        </w:rPr>
        <w:t>6</w:t>
      </w:r>
    </w:p>
    <w:p w14:paraId="27E09944">
      <w:pPr>
        <w:jc w:val="center"/>
        <w:rPr>
          <w:rFonts w:eastAsia="黑体"/>
          <w:b/>
          <w:bCs/>
          <w:sz w:val="28"/>
          <w:highlight w:val="none"/>
        </w:rPr>
      </w:pPr>
      <w:r>
        <w:rPr>
          <w:rFonts w:hint="eastAsia" w:eastAsia="黑体"/>
          <w:b/>
          <w:bCs/>
          <w:sz w:val="28"/>
          <w:highlight w:val="none"/>
        </w:rPr>
        <w:t>偏离表</w:t>
      </w:r>
    </w:p>
    <w:tbl>
      <w:tblPr>
        <w:tblStyle w:val="2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2891"/>
        <w:gridCol w:w="1110"/>
        <w:gridCol w:w="2613"/>
      </w:tblGrid>
      <w:tr w14:paraId="1A34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F71A8BB">
            <w:pPr>
              <w:jc w:val="center"/>
              <w:rPr>
                <w:rFonts w:ascii="宋体" w:hAnsi="宋体"/>
                <w:sz w:val="24"/>
                <w:highlight w:val="none"/>
              </w:rPr>
            </w:pPr>
            <w:r>
              <w:rPr>
                <w:rFonts w:hint="eastAsia" w:ascii="宋体" w:hAnsi="宋体"/>
                <w:sz w:val="24"/>
                <w:highlight w:val="none"/>
              </w:rPr>
              <w:t>序号</w:t>
            </w:r>
          </w:p>
        </w:tc>
        <w:tc>
          <w:tcPr>
            <w:tcW w:w="3971" w:type="dxa"/>
            <w:gridSpan w:val="2"/>
            <w:vAlign w:val="center"/>
          </w:tcPr>
          <w:p w14:paraId="5DF19F92">
            <w:pPr>
              <w:jc w:val="center"/>
              <w:rPr>
                <w:rFonts w:ascii="宋体" w:hAnsi="宋体"/>
                <w:sz w:val="24"/>
                <w:highlight w:val="none"/>
              </w:rPr>
            </w:pPr>
            <w:r>
              <w:rPr>
                <w:rFonts w:hint="eastAsia" w:ascii="宋体" w:hAnsi="宋体"/>
                <w:sz w:val="24"/>
                <w:highlight w:val="none"/>
              </w:rPr>
              <w:t>招标文件条款</w:t>
            </w:r>
          </w:p>
        </w:tc>
        <w:tc>
          <w:tcPr>
            <w:tcW w:w="3723" w:type="dxa"/>
            <w:gridSpan w:val="2"/>
            <w:vAlign w:val="center"/>
          </w:tcPr>
          <w:p w14:paraId="636ADDE1">
            <w:pPr>
              <w:jc w:val="center"/>
              <w:rPr>
                <w:rFonts w:ascii="宋体" w:hAnsi="宋体"/>
                <w:sz w:val="24"/>
                <w:highlight w:val="none"/>
              </w:rPr>
            </w:pPr>
            <w:r>
              <w:rPr>
                <w:rFonts w:hint="eastAsia" w:ascii="宋体" w:hAnsi="宋体"/>
                <w:sz w:val="24"/>
                <w:highlight w:val="none"/>
              </w:rPr>
              <w:t>投标书条款</w:t>
            </w:r>
          </w:p>
        </w:tc>
      </w:tr>
      <w:tr w14:paraId="61BA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2FBDCF35">
            <w:pPr>
              <w:rPr>
                <w:rFonts w:ascii="宋体" w:hAnsi="宋体"/>
                <w:sz w:val="24"/>
                <w:highlight w:val="none"/>
              </w:rPr>
            </w:pPr>
          </w:p>
        </w:tc>
        <w:tc>
          <w:tcPr>
            <w:tcW w:w="1080" w:type="dxa"/>
            <w:vAlign w:val="center"/>
          </w:tcPr>
          <w:p w14:paraId="574EBAC7">
            <w:pPr>
              <w:jc w:val="center"/>
              <w:rPr>
                <w:rFonts w:ascii="宋体" w:hAnsi="宋体"/>
                <w:sz w:val="24"/>
                <w:highlight w:val="none"/>
              </w:rPr>
            </w:pPr>
          </w:p>
        </w:tc>
        <w:tc>
          <w:tcPr>
            <w:tcW w:w="2891" w:type="dxa"/>
            <w:vAlign w:val="center"/>
          </w:tcPr>
          <w:p w14:paraId="26174E24">
            <w:pPr>
              <w:jc w:val="center"/>
              <w:rPr>
                <w:rFonts w:ascii="宋体" w:hAnsi="宋体"/>
                <w:sz w:val="24"/>
                <w:highlight w:val="none"/>
              </w:rPr>
            </w:pPr>
            <w:r>
              <w:rPr>
                <w:rFonts w:hint="eastAsia" w:ascii="宋体" w:hAnsi="宋体"/>
                <w:sz w:val="24"/>
                <w:highlight w:val="none"/>
              </w:rPr>
              <w:t>偏离</w:t>
            </w:r>
          </w:p>
        </w:tc>
        <w:tc>
          <w:tcPr>
            <w:tcW w:w="1110" w:type="dxa"/>
            <w:vAlign w:val="center"/>
          </w:tcPr>
          <w:p w14:paraId="2448E360">
            <w:pPr>
              <w:jc w:val="center"/>
              <w:rPr>
                <w:rFonts w:ascii="宋体" w:hAnsi="宋体"/>
                <w:sz w:val="24"/>
                <w:highlight w:val="none"/>
              </w:rPr>
            </w:pPr>
          </w:p>
        </w:tc>
        <w:tc>
          <w:tcPr>
            <w:tcW w:w="2613" w:type="dxa"/>
            <w:vAlign w:val="center"/>
          </w:tcPr>
          <w:p w14:paraId="1A68F40E">
            <w:pPr>
              <w:jc w:val="center"/>
              <w:rPr>
                <w:rFonts w:ascii="宋体" w:hAnsi="宋体"/>
                <w:sz w:val="24"/>
                <w:highlight w:val="none"/>
              </w:rPr>
            </w:pPr>
            <w:r>
              <w:rPr>
                <w:rFonts w:hint="eastAsia" w:ascii="宋体" w:hAnsi="宋体"/>
                <w:sz w:val="24"/>
                <w:highlight w:val="none"/>
              </w:rPr>
              <w:t>偏离</w:t>
            </w:r>
          </w:p>
        </w:tc>
      </w:tr>
      <w:tr w14:paraId="2414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18E499A">
            <w:pPr>
              <w:jc w:val="center"/>
              <w:rPr>
                <w:rFonts w:ascii="宋体" w:hAnsi="宋体"/>
                <w:sz w:val="24"/>
                <w:highlight w:val="none"/>
              </w:rPr>
            </w:pPr>
            <w:r>
              <w:rPr>
                <w:rFonts w:hint="eastAsia" w:ascii="宋体" w:hAnsi="宋体"/>
                <w:sz w:val="24"/>
                <w:highlight w:val="none"/>
              </w:rPr>
              <w:t>1</w:t>
            </w:r>
          </w:p>
        </w:tc>
        <w:tc>
          <w:tcPr>
            <w:tcW w:w="1080" w:type="dxa"/>
            <w:vAlign w:val="center"/>
          </w:tcPr>
          <w:p w14:paraId="765A56A3">
            <w:pPr>
              <w:rPr>
                <w:rFonts w:ascii="宋体" w:hAnsi="宋体"/>
                <w:sz w:val="24"/>
                <w:highlight w:val="none"/>
              </w:rPr>
            </w:pPr>
          </w:p>
        </w:tc>
        <w:tc>
          <w:tcPr>
            <w:tcW w:w="2891" w:type="dxa"/>
            <w:vAlign w:val="center"/>
          </w:tcPr>
          <w:p w14:paraId="3A5C0EF1">
            <w:pPr>
              <w:rPr>
                <w:rFonts w:ascii="宋体" w:hAnsi="宋体"/>
                <w:sz w:val="24"/>
                <w:highlight w:val="none"/>
              </w:rPr>
            </w:pPr>
          </w:p>
        </w:tc>
        <w:tc>
          <w:tcPr>
            <w:tcW w:w="1110" w:type="dxa"/>
            <w:vAlign w:val="center"/>
          </w:tcPr>
          <w:p w14:paraId="044FE07E">
            <w:pPr>
              <w:rPr>
                <w:rFonts w:ascii="宋体" w:hAnsi="宋体"/>
                <w:sz w:val="24"/>
                <w:highlight w:val="none"/>
              </w:rPr>
            </w:pPr>
          </w:p>
        </w:tc>
        <w:tc>
          <w:tcPr>
            <w:tcW w:w="2613" w:type="dxa"/>
            <w:vAlign w:val="center"/>
          </w:tcPr>
          <w:p w14:paraId="10A0B62E">
            <w:pPr>
              <w:rPr>
                <w:rFonts w:ascii="宋体" w:hAnsi="宋体"/>
                <w:sz w:val="24"/>
                <w:highlight w:val="none"/>
              </w:rPr>
            </w:pPr>
          </w:p>
        </w:tc>
      </w:tr>
      <w:tr w14:paraId="020F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8E33500">
            <w:pPr>
              <w:jc w:val="center"/>
              <w:rPr>
                <w:rFonts w:ascii="宋体" w:hAnsi="宋体"/>
                <w:sz w:val="24"/>
                <w:highlight w:val="none"/>
              </w:rPr>
            </w:pPr>
            <w:r>
              <w:rPr>
                <w:rFonts w:hint="eastAsia" w:ascii="宋体" w:hAnsi="宋体"/>
                <w:sz w:val="24"/>
                <w:highlight w:val="none"/>
              </w:rPr>
              <w:t>2</w:t>
            </w:r>
          </w:p>
        </w:tc>
        <w:tc>
          <w:tcPr>
            <w:tcW w:w="1080" w:type="dxa"/>
            <w:vAlign w:val="center"/>
          </w:tcPr>
          <w:p w14:paraId="1FFD7DD2">
            <w:pPr>
              <w:rPr>
                <w:rFonts w:ascii="宋体" w:hAnsi="宋体"/>
                <w:sz w:val="24"/>
                <w:highlight w:val="none"/>
              </w:rPr>
            </w:pPr>
          </w:p>
        </w:tc>
        <w:tc>
          <w:tcPr>
            <w:tcW w:w="2891" w:type="dxa"/>
            <w:vAlign w:val="center"/>
          </w:tcPr>
          <w:p w14:paraId="55912A28">
            <w:pPr>
              <w:rPr>
                <w:rFonts w:ascii="宋体" w:hAnsi="宋体"/>
                <w:sz w:val="24"/>
                <w:highlight w:val="none"/>
              </w:rPr>
            </w:pPr>
          </w:p>
        </w:tc>
        <w:tc>
          <w:tcPr>
            <w:tcW w:w="1110" w:type="dxa"/>
            <w:vAlign w:val="center"/>
          </w:tcPr>
          <w:p w14:paraId="6C52A79B">
            <w:pPr>
              <w:rPr>
                <w:rFonts w:ascii="宋体" w:hAnsi="宋体"/>
                <w:sz w:val="24"/>
                <w:highlight w:val="none"/>
              </w:rPr>
            </w:pPr>
          </w:p>
        </w:tc>
        <w:tc>
          <w:tcPr>
            <w:tcW w:w="2613" w:type="dxa"/>
            <w:vAlign w:val="center"/>
          </w:tcPr>
          <w:p w14:paraId="11F3D085">
            <w:pPr>
              <w:rPr>
                <w:rFonts w:ascii="宋体" w:hAnsi="宋体"/>
                <w:sz w:val="24"/>
                <w:highlight w:val="none"/>
              </w:rPr>
            </w:pPr>
          </w:p>
        </w:tc>
      </w:tr>
      <w:tr w14:paraId="01D5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85C47B">
            <w:pPr>
              <w:jc w:val="center"/>
              <w:rPr>
                <w:rFonts w:ascii="宋体" w:hAnsi="宋体"/>
                <w:sz w:val="24"/>
                <w:highlight w:val="none"/>
              </w:rPr>
            </w:pPr>
            <w:r>
              <w:rPr>
                <w:rFonts w:hint="eastAsia" w:ascii="宋体" w:hAnsi="宋体"/>
                <w:sz w:val="24"/>
                <w:highlight w:val="none"/>
              </w:rPr>
              <w:t>3</w:t>
            </w:r>
          </w:p>
        </w:tc>
        <w:tc>
          <w:tcPr>
            <w:tcW w:w="1080" w:type="dxa"/>
            <w:vAlign w:val="center"/>
          </w:tcPr>
          <w:p w14:paraId="4ABBE012">
            <w:pPr>
              <w:rPr>
                <w:rFonts w:ascii="宋体" w:hAnsi="宋体"/>
                <w:sz w:val="24"/>
                <w:highlight w:val="none"/>
              </w:rPr>
            </w:pPr>
          </w:p>
        </w:tc>
        <w:tc>
          <w:tcPr>
            <w:tcW w:w="2891" w:type="dxa"/>
            <w:vAlign w:val="center"/>
          </w:tcPr>
          <w:p w14:paraId="49571D62">
            <w:pPr>
              <w:rPr>
                <w:rFonts w:ascii="宋体" w:hAnsi="宋体"/>
                <w:sz w:val="24"/>
                <w:highlight w:val="none"/>
              </w:rPr>
            </w:pPr>
          </w:p>
        </w:tc>
        <w:tc>
          <w:tcPr>
            <w:tcW w:w="1110" w:type="dxa"/>
            <w:vAlign w:val="center"/>
          </w:tcPr>
          <w:p w14:paraId="024CDDC9">
            <w:pPr>
              <w:rPr>
                <w:rFonts w:ascii="宋体" w:hAnsi="宋体"/>
                <w:sz w:val="24"/>
                <w:highlight w:val="none"/>
              </w:rPr>
            </w:pPr>
          </w:p>
        </w:tc>
        <w:tc>
          <w:tcPr>
            <w:tcW w:w="2613" w:type="dxa"/>
            <w:vAlign w:val="center"/>
          </w:tcPr>
          <w:p w14:paraId="5F588865">
            <w:pPr>
              <w:rPr>
                <w:rFonts w:ascii="宋体" w:hAnsi="宋体"/>
                <w:sz w:val="24"/>
                <w:highlight w:val="none"/>
              </w:rPr>
            </w:pPr>
          </w:p>
        </w:tc>
      </w:tr>
      <w:tr w14:paraId="6597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5F8A3D">
            <w:pPr>
              <w:jc w:val="center"/>
              <w:rPr>
                <w:rFonts w:ascii="宋体" w:hAnsi="宋体"/>
                <w:sz w:val="24"/>
                <w:highlight w:val="none"/>
              </w:rPr>
            </w:pPr>
            <w:r>
              <w:rPr>
                <w:rFonts w:hint="eastAsia" w:ascii="宋体" w:hAnsi="宋体"/>
                <w:sz w:val="24"/>
                <w:highlight w:val="none"/>
              </w:rPr>
              <w:t>4</w:t>
            </w:r>
          </w:p>
        </w:tc>
        <w:tc>
          <w:tcPr>
            <w:tcW w:w="1080" w:type="dxa"/>
            <w:vAlign w:val="center"/>
          </w:tcPr>
          <w:p w14:paraId="6BD23408">
            <w:pPr>
              <w:rPr>
                <w:rFonts w:ascii="宋体" w:hAnsi="宋体"/>
                <w:sz w:val="24"/>
                <w:highlight w:val="none"/>
              </w:rPr>
            </w:pPr>
          </w:p>
        </w:tc>
        <w:tc>
          <w:tcPr>
            <w:tcW w:w="2891" w:type="dxa"/>
            <w:vAlign w:val="center"/>
          </w:tcPr>
          <w:p w14:paraId="4346A6B3">
            <w:pPr>
              <w:rPr>
                <w:rFonts w:ascii="宋体" w:hAnsi="宋体"/>
                <w:sz w:val="24"/>
                <w:highlight w:val="none"/>
              </w:rPr>
            </w:pPr>
          </w:p>
        </w:tc>
        <w:tc>
          <w:tcPr>
            <w:tcW w:w="1110" w:type="dxa"/>
            <w:vAlign w:val="center"/>
          </w:tcPr>
          <w:p w14:paraId="0389C89E">
            <w:pPr>
              <w:rPr>
                <w:rFonts w:ascii="宋体" w:hAnsi="宋体"/>
                <w:sz w:val="24"/>
                <w:highlight w:val="none"/>
              </w:rPr>
            </w:pPr>
          </w:p>
        </w:tc>
        <w:tc>
          <w:tcPr>
            <w:tcW w:w="2613" w:type="dxa"/>
            <w:vAlign w:val="center"/>
          </w:tcPr>
          <w:p w14:paraId="31D1AEE9">
            <w:pPr>
              <w:rPr>
                <w:rFonts w:ascii="宋体" w:hAnsi="宋体"/>
                <w:sz w:val="24"/>
                <w:highlight w:val="none"/>
              </w:rPr>
            </w:pPr>
          </w:p>
        </w:tc>
      </w:tr>
      <w:tr w14:paraId="143D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F2BCC33">
            <w:pPr>
              <w:jc w:val="center"/>
              <w:rPr>
                <w:rFonts w:ascii="宋体" w:hAnsi="宋体"/>
                <w:sz w:val="24"/>
                <w:highlight w:val="none"/>
              </w:rPr>
            </w:pPr>
            <w:r>
              <w:rPr>
                <w:rFonts w:hint="eastAsia" w:ascii="宋体" w:hAnsi="宋体"/>
                <w:sz w:val="24"/>
                <w:highlight w:val="none"/>
              </w:rPr>
              <w:t>5</w:t>
            </w:r>
          </w:p>
        </w:tc>
        <w:tc>
          <w:tcPr>
            <w:tcW w:w="1080" w:type="dxa"/>
            <w:vAlign w:val="center"/>
          </w:tcPr>
          <w:p w14:paraId="5DDF603B">
            <w:pPr>
              <w:rPr>
                <w:rFonts w:ascii="宋体" w:hAnsi="宋体"/>
                <w:sz w:val="24"/>
                <w:highlight w:val="none"/>
              </w:rPr>
            </w:pPr>
          </w:p>
        </w:tc>
        <w:tc>
          <w:tcPr>
            <w:tcW w:w="2891" w:type="dxa"/>
            <w:vAlign w:val="center"/>
          </w:tcPr>
          <w:p w14:paraId="7966D2E3">
            <w:pPr>
              <w:rPr>
                <w:rFonts w:ascii="宋体" w:hAnsi="宋体"/>
                <w:sz w:val="24"/>
                <w:highlight w:val="none"/>
              </w:rPr>
            </w:pPr>
          </w:p>
        </w:tc>
        <w:tc>
          <w:tcPr>
            <w:tcW w:w="1110" w:type="dxa"/>
            <w:vAlign w:val="center"/>
          </w:tcPr>
          <w:p w14:paraId="559CAC17">
            <w:pPr>
              <w:rPr>
                <w:rFonts w:ascii="宋体" w:hAnsi="宋体"/>
                <w:sz w:val="24"/>
                <w:highlight w:val="none"/>
              </w:rPr>
            </w:pPr>
          </w:p>
        </w:tc>
        <w:tc>
          <w:tcPr>
            <w:tcW w:w="2613" w:type="dxa"/>
            <w:vAlign w:val="center"/>
          </w:tcPr>
          <w:p w14:paraId="35CCB268">
            <w:pPr>
              <w:rPr>
                <w:rFonts w:ascii="宋体" w:hAnsi="宋体"/>
                <w:sz w:val="24"/>
                <w:highlight w:val="none"/>
              </w:rPr>
            </w:pPr>
          </w:p>
        </w:tc>
      </w:tr>
      <w:tr w14:paraId="714B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02B8A51">
            <w:pPr>
              <w:jc w:val="center"/>
              <w:rPr>
                <w:rFonts w:ascii="宋体" w:hAnsi="宋体"/>
                <w:sz w:val="24"/>
                <w:highlight w:val="none"/>
              </w:rPr>
            </w:pPr>
            <w:r>
              <w:rPr>
                <w:rFonts w:hint="eastAsia" w:ascii="宋体" w:hAnsi="宋体"/>
                <w:sz w:val="24"/>
                <w:highlight w:val="none"/>
              </w:rPr>
              <w:t>6</w:t>
            </w:r>
          </w:p>
        </w:tc>
        <w:tc>
          <w:tcPr>
            <w:tcW w:w="1080" w:type="dxa"/>
            <w:vAlign w:val="center"/>
          </w:tcPr>
          <w:p w14:paraId="20319991">
            <w:pPr>
              <w:rPr>
                <w:rFonts w:ascii="宋体" w:hAnsi="宋体"/>
                <w:sz w:val="24"/>
                <w:highlight w:val="none"/>
              </w:rPr>
            </w:pPr>
          </w:p>
        </w:tc>
        <w:tc>
          <w:tcPr>
            <w:tcW w:w="2891" w:type="dxa"/>
            <w:vAlign w:val="center"/>
          </w:tcPr>
          <w:p w14:paraId="21878D3C">
            <w:pPr>
              <w:rPr>
                <w:rFonts w:ascii="宋体" w:hAnsi="宋体"/>
                <w:sz w:val="24"/>
                <w:highlight w:val="none"/>
              </w:rPr>
            </w:pPr>
          </w:p>
        </w:tc>
        <w:tc>
          <w:tcPr>
            <w:tcW w:w="1110" w:type="dxa"/>
            <w:vAlign w:val="center"/>
          </w:tcPr>
          <w:p w14:paraId="3BF79FE2">
            <w:pPr>
              <w:rPr>
                <w:rFonts w:ascii="宋体" w:hAnsi="宋体"/>
                <w:sz w:val="24"/>
                <w:highlight w:val="none"/>
              </w:rPr>
            </w:pPr>
          </w:p>
        </w:tc>
        <w:tc>
          <w:tcPr>
            <w:tcW w:w="2613" w:type="dxa"/>
            <w:vAlign w:val="center"/>
          </w:tcPr>
          <w:p w14:paraId="4BA89883">
            <w:pPr>
              <w:rPr>
                <w:rFonts w:ascii="宋体" w:hAnsi="宋体"/>
                <w:sz w:val="24"/>
                <w:highlight w:val="none"/>
              </w:rPr>
            </w:pPr>
          </w:p>
        </w:tc>
      </w:tr>
      <w:tr w14:paraId="498F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B8DDFF1">
            <w:pPr>
              <w:jc w:val="center"/>
              <w:rPr>
                <w:rFonts w:ascii="宋体" w:hAnsi="宋体"/>
                <w:sz w:val="24"/>
                <w:highlight w:val="none"/>
              </w:rPr>
            </w:pPr>
            <w:r>
              <w:rPr>
                <w:rFonts w:hint="eastAsia" w:ascii="宋体" w:hAnsi="宋体"/>
                <w:sz w:val="24"/>
                <w:highlight w:val="none"/>
              </w:rPr>
              <w:t>7</w:t>
            </w:r>
          </w:p>
        </w:tc>
        <w:tc>
          <w:tcPr>
            <w:tcW w:w="1080" w:type="dxa"/>
            <w:vAlign w:val="center"/>
          </w:tcPr>
          <w:p w14:paraId="7D58E6A9">
            <w:pPr>
              <w:rPr>
                <w:rFonts w:ascii="宋体" w:hAnsi="宋体"/>
                <w:sz w:val="24"/>
                <w:highlight w:val="none"/>
              </w:rPr>
            </w:pPr>
          </w:p>
        </w:tc>
        <w:tc>
          <w:tcPr>
            <w:tcW w:w="2891" w:type="dxa"/>
            <w:vAlign w:val="center"/>
          </w:tcPr>
          <w:p w14:paraId="6D474018">
            <w:pPr>
              <w:rPr>
                <w:rFonts w:ascii="宋体" w:hAnsi="宋体"/>
                <w:sz w:val="24"/>
                <w:highlight w:val="none"/>
              </w:rPr>
            </w:pPr>
          </w:p>
        </w:tc>
        <w:tc>
          <w:tcPr>
            <w:tcW w:w="1110" w:type="dxa"/>
            <w:vAlign w:val="center"/>
          </w:tcPr>
          <w:p w14:paraId="0270C771">
            <w:pPr>
              <w:rPr>
                <w:rFonts w:ascii="宋体" w:hAnsi="宋体"/>
                <w:sz w:val="24"/>
                <w:highlight w:val="none"/>
              </w:rPr>
            </w:pPr>
          </w:p>
        </w:tc>
        <w:tc>
          <w:tcPr>
            <w:tcW w:w="2613" w:type="dxa"/>
            <w:vAlign w:val="center"/>
          </w:tcPr>
          <w:p w14:paraId="4AB63407">
            <w:pPr>
              <w:rPr>
                <w:rFonts w:ascii="宋体" w:hAnsi="宋体"/>
                <w:sz w:val="24"/>
                <w:highlight w:val="none"/>
              </w:rPr>
            </w:pPr>
          </w:p>
        </w:tc>
      </w:tr>
      <w:tr w14:paraId="35D9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99ED844">
            <w:pPr>
              <w:jc w:val="center"/>
              <w:rPr>
                <w:rFonts w:ascii="宋体" w:hAnsi="宋体"/>
                <w:sz w:val="24"/>
                <w:highlight w:val="none"/>
              </w:rPr>
            </w:pPr>
            <w:r>
              <w:rPr>
                <w:rFonts w:hint="eastAsia" w:ascii="宋体" w:hAnsi="宋体"/>
                <w:sz w:val="24"/>
                <w:highlight w:val="none"/>
              </w:rPr>
              <w:t>8</w:t>
            </w:r>
          </w:p>
        </w:tc>
        <w:tc>
          <w:tcPr>
            <w:tcW w:w="1080" w:type="dxa"/>
            <w:vAlign w:val="center"/>
          </w:tcPr>
          <w:p w14:paraId="66D12B42">
            <w:pPr>
              <w:rPr>
                <w:rFonts w:ascii="宋体" w:hAnsi="宋体"/>
                <w:sz w:val="24"/>
                <w:highlight w:val="none"/>
              </w:rPr>
            </w:pPr>
          </w:p>
        </w:tc>
        <w:tc>
          <w:tcPr>
            <w:tcW w:w="2891" w:type="dxa"/>
            <w:vAlign w:val="center"/>
          </w:tcPr>
          <w:p w14:paraId="7A6E6669">
            <w:pPr>
              <w:rPr>
                <w:rFonts w:ascii="宋体" w:hAnsi="宋体"/>
                <w:sz w:val="24"/>
                <w:highlight w:val="none"/>
              </w:rPr>
            </w:pPr>
          </w:p>
        </w:tc>
        <w:tc>
          <w:tcPr>
            <w:tcW w:w="1110" w:type="dxa"/>
            <w:vAlign w:val="center"/>
          </w:tcPr>
          <w:p w14:paraId="3CA0326A">
            <w:pPr>
              <w:rPr>
                <w:rFonts w:ascii="宋体" w:hAnsi="宋体"/>
                <w:sz w:val="24"/>
                <w:highlight w:val="none"/>
              </w:rPr>
            </w:pPr>
          </w:p>
        </w:tc>
        <w:tc>
          <w:tcPr>
            <w:tcW w:w="2613" w:type="dxa"/>
            <w:vAlign w:val="center"/>
          </w:tcPr>
          <w:p w14:paraId="494109CE">
            <w:pPr>
              <w:rPr>
                <w:rFonts w:ascii="宋体" w:hAnsi="宋体"/>
                <w:sz w:val="24"/>
                <w:highlight w:val="none"/>
              </w:rPr>
            </w:pPr>
          </w:p>
        </w:tc>
      </w:tr>
      <w:tr w14:paraId="6D20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AFE04A0">
            <w:pPr>
              <w:jc w:val="center"/>
              <w:rPr>
                <w:rFonts w:ascii="宋体" w:hAnsi="宋体"/>
                <w:sz w:val="24"/>
                <w:highlight w:val="none"/>
              </w:rPr>
            </w:pPr>
            <w:r>
              <w:rPr>
                <w:rFonts w:hint="eastAsia" w:ascii="宋体" w:hAnsi="宋体"/>
                <w:sz w:val="24"/>
                <w:highlight w:val="none"/>
              </w:rPr>
              <w:t>9</w:t>
            </w:r>
          </w:p>
        </w:tc>
        <w:tc>
          <w:tcPr>
            <w:tcW w:w="1080" w:type="dxa"/>
            <w:vAlign w:val="center"/>
          </w:tcPr>
          <w:p w14:paraId="3652587D">
            <w:pPr>
              <w:rPr>
                <w:rFonts w:ascii="宋体" w:hAnsi="宋体"/>
                <w:sz w:val="24"/>
                <w:highlight w:val="none"/>
              </w:rPr>
            </w:pPr>
          </w:p>
        </w:tc>
        <w:tc>
          <w:tcPr>
            <w:tcW w:w="2891" w:type="dxa"/>
            <w:vAlign w:val="center"/>
          </w:tcPr>
          <w:p w14:paraId="14B4C80D">
            <w:pPr>
              <w:rPr>
                <w:rFonts w:ascii="宋体" w:hAnsi="宋体"/>
                <w:sz w:val="24"/>
                <w:highlight w:val="none"/>
              </w:rPr>
            </w:pPr>
          </w:p>
        </w:tc>
        <w:tc>
          <w:tcPr>
            <w:tcW w:w="1110" w:type="dxa"/>
            <w:vAlign w:val="center"/>
          </w:tcPr>
          <w:p w14:paraId="3DED6863">
            <w:pPr>
              <w:rPr>
                <w:rFonts w:ascii="宋体" w:hAnsi="宋体"/>
                <w:sz w:val="24"/>
                <w:highlight w:val="none"/>
              </w:rPr>
            </w:pPr>
          </w:p>
        </w:tc>
        <w:tc>
          <w:tcPr>
            <w:tcW w:w="2613" w:type="dxa"/>
            <w:vAlign w:val="center"/>
          </w:tcPr>
          <w:p w14:paraId="34434810">
            <w:pPr>
              <w:rPr>
                <w:rFonts w:ascii="宋体" w:hAnsi="宋体"/>
                <w:sz w:val="24"/>
                <w:highlight w:val="none"/>
              </w:rPr>
            </w:pPr>
          </w:p>
        </w:tc>
      </w:tr>
      <w:tr w14:paraId="5CB5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B979F02">
            <w:pPr>
              <w:jc w:val="center"/>
              <w:rPr>
                <w:rFonts w:ascii="宋体" w:hAnsi="宋体"/>
                <w:sz w:val="24"/>
                <w:highlight w:val="none"/>
              </w:rPr>
            </w:pPr>
            <w:r>
              <w:rPr>
                <w:rFonts w:hint="eastAsia" w:ascii="宋体" w:hAnsi="宋体"/>
                <w:sz w:val="24"/>
                <w:highlight w:val="none"/>
              </w:rPr>
              <w:t>10</w:t>
            </w:r>
          </w:p>
        </w:tc>
        <w:tc>
          <w:tcPr>
            <w:tcW w:w="1080" w:type="dxa"/>
            <w:vAlign w:val="center"/>
          </w:tcPr>
          <w:p w14:paraId="75F00E76">
            <w:pPr>
              <w:rPr>
                <w:rFonts w:ascii="宋体" w:hAnsi="宋体"/>
                <w:sz w:val="24"/>
                <w:highlight w:val="none"/>
              </w:rPr>
            </w:pPr>
          </w:p>
        </w:tc>
        <w:tc>
          <w:tcPr>
            <w:tcW w:w="2891" w:type="dxa"/>
            <w:vAlign w:val="center"/>
          </w:tcPr>
          <w:p w14:paraId="4C915FF0">
            <w:pPr>
              <w:rPr>
                <w:rFonts w:ascii="宋体" w:hAnsi="宋体"/>
                <w:sz w:val="24"/>
                <w:highlight w:val="none"/>
              </w:rPr>
            </w:pPr>
          </w:p>
        </w:tc>
        <w:tc>
          <w:tcPr>
            <w:tcW w:w="1110" w:type="dxa"/>
            <w:vAlign w:val="center"/>
          </w:tcPr>
          <w:p w14:paraId="68A4E377">
            <w:pPr>
              <w:rPr>
                <w:rFonts w:ascii="宋体" w:hAnsi="宋体"/>
                <w:sz w:val="24"/>
                <w:highlight w:val="none"/>
              </w:rPr>
            </w:pPr>
          </w:p>
        </w:tc>
        <w:tc>
          <w:tcPr>
            <w:tcW w:w="2613" w:type="dxa"/>
            <w:vAlign w:val="center"/>
          </w:tcPr>
          <w:p w14:paraId="22EFB546">
            <w:pPr>
              <w:rPr>
                <w:rFonts w:ascii="宋体" w:hAnsi="宋体"/>
                <w:sz w:val="24"/>
                <w:highlight w:val="none"/>
              </w:rPr>
            </w:pPr>
          </w:p>
        </w:tc>
      </w:tr>
      <w:tr w14:paraId="60B3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63A1FCB">
            <w:pPr>
              <w:jc w:val="center"/>
              <w:rPr>
                <w:rFonts w:ascii="宋体" w:hAnsi="宋体"/>
                <w:sz w:val="24"/>
                <w:highlight w:val="none"/>
              </w:rPr>
            </w:pPr>
            <w:r>
              <w:rPr>
                <w:rFonts w:hint="eastAsia" w:ascii="宋体" w:hAnsi="宋体"/>
                <w:sz w:val="24"/>
                <w:highlight w:val="none"/>
              </w:rPr>
              <w:t>11</w:t>
            </w:r>
          </w:p>
        </w:tc>
        <w:tc>
          <w:tcPr>
            <w:tcW w:w="1080" w:type="dxa"/>
            <w:vAlign w:val="center"/>
          </w:tcPr>
          <w:p w14:paraId="6126FE5C">
            <w:pPr>
              <w:rPr>
                <w:rFonts w:ascii="宋体" w:hAnsi="宋体"/>
                <w:sz w:val="24"/>
                <w:highlight w:val="none"/>
              </w:rPr>
            </w:pPr>
          </w:p>
        </w:tc>
        <w:tc>
          <w:tcPr>
            <w:tcW w:w="2891" w:type="dxa"/>
            <w:vAlign w:val="center"/>
          </w:tcPr>
          <w:p w14:paraId="2E990C9B">
            <w:pPr>
              <w:rPr>
                <w:rFonts w:ascii="宋体" w:hAnsi="宋体"/>
                <w:sz w:val="24"/>
                <w:highlight w:val="none"/>
              </w:rPr>
            </w:pPr>
          </w:p>
        </w:tc>
        <w:tc>
          <w:tcPr>
            <w:tcW w:w="1110" w:type="dxa"/>
            <w:vAlign w:val="center"/>
          </w:tcPr>
          <w:p w14:paraId="3C312395">
            <w:pPr>
              <w:rPr>
                <w:rFonts w:ascii="宋体" w:hAnsi="宋体"/>
                <w:sz w:val="24"/>
                <w:highlight w:val="none"/>
              </w:rPr>
            </w:pPr>
          </w:p>
        </w:tc>
        <w:tc>
          <w:tcPr>
            <w:tcW w:w="2613" w:type="dxa"/>
            <w:vAlign w:val="center"/>
          </w:tcPr>
          <w:p w14:paraId="406B2990">
            <w:pPr>
              <w:rPr>
                <w:rFonts w:ascii="宋体" w:hAnsi="宋体"/>
                <w:sz w:val="24"/>
                <w:highlight w:val="none"/>
              </w:rPr>
            </w:pPr>
          </w:p>
        </w:tc>
      </w:tr>
      <w:tr w14:paraId="253D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26BFD7">
            <w:pPr>
              <w:jc w:val="center"/>
              <w:rPr>
                <w:rFonts w:ascii="宋体" w:hAnsi="宋体"/>
                <w:sz w:val="24"/>
                <w:highlight w:val="none"/>
              </w:rPr>
            </w:pPr>
            <w:r>
              <w:rPr>
                <w:rFonts w:hint="eastAsia" w:ascii="宋体" w:hAnsi="宋体"/>
                <w:sz w:val="24"/>
                <w:highlight w:val="none"/>
              </w:rPr>
              <w:t>12</w:t>
            </w:r>
          </w:p>
        </w:tc>
        <w:tc>
          <w:tcPr>
            <w:tcW w:w="1080" w:type="dxa"/>
            <w:vAlign w:val="center"/>
          </w:tcPr>
          <w:p w14:paraId="574E6528">
            <w:pPr>
              <w:rPr>
                <w:rFonts w:ascii="宋体" w:hAnsi="宋体"/>
                <w:sz w:val="24"/>
                <w:highlight w:val="none"/>
              </w:rPr>
            </w:pPr>
          </w:p>
        </w:tc>
        <w:tc>
          <w:tcPr>
            <w:tcW w:w="2891" w:type="dxa"/>
            <w:vAlign w:val="center"/>
          </w:tcPr>
          <w:p w14:paraId="7910C10F">
            <w:pPr>
              <w:rPr>
                <w:rFonts w:ascii="宋体" w:hAnsi="宋体"/>
                <w:sz w:val="24"/>
                <w:highlight w:val="none"/>
              </w:rPr>
            </w:pPr>
          </w:p>
        </w:tc>
        <w:tc>
          <w:tcPr>
            <w:tcW w:w="1110" w:type="dxa"/>
            <w:vAlign w:val="center"/>
          </w:tcPr>
          <w:p w14:paraId="1273E799">
            <w:pPr>
              <w:rPr>
                <w:rFonts w:ascii="宋体" w:hAnsi="宋体"/>
                <w:sz w:val="24"/>
                <w:highlight w:val="none"/>
              </w:rPr>
            </w:pPr>
          </w:p>
        </w:tc>
        <w:tc>
          <w:tcPr>
            <w:tcW w:w="2613" w:type="dxa"/>
            <w:vAlign w:val="center"/>
          </w:tcPr>
          <w:p w14:paraId="033C031F">
            <w:pPr>
              <w:rPr>
                <w:rFonts w:ascii="宋体" w:hAnsi="宋体"/>
                <w:sz w:val="24"/>
                <w:highlight w:val="none"/>
              </w:rPr>
            </w:pPr>
          </w:p>
        </w:tc>
      </w:tr>
      <w:tr w14:paraId="412F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4B62B6D">
            <w:pPr>
              <w:jc w:val="center"/>
              <w:rPr>
                <w:rFonts w:ascii="宋体" w:hAnsi="宋体"/>
                <w:sz w:val="24"/>
                <w:highlight w:val="none"/>
              </w:rPr>
            </w:pPr>
            <w:r>
              <w:rPr>
                <w:rFonts w:hint="eastAsia" w:ascii="宋体" w:hAnsi="宋体"/>
                <w:sz w:val="24"/>
                <w:highlight w:val="none"/>
              </w:rPr>
              <w:t>13</w:t>
            </w:r>
          </w:p>
        </w:tc>
        <w:tc>
          <w:tcPr>
            <w:tcW w:w="1080" w:type="dxa"/>
            <w:vAlign w:val="center"/>
          </w:tcPr>
          <w:p w14:paraId="5352E570">
            <w:pPr>
              <w:rPr>
                <w:rFonts w:ascii="宋体" w:hAnsi="宋体"/>
                <w:sz w:val="24"/>
                <w:highlight w:val="none"/>
              </w:rPr>
            </w:pPr>
          </w:p>
        </w:tc>
        <w:tc>
          <w:tcPr>
            <w:tcW w:w="2891" w:type="dxa"/>
            <w:vAlign w:val="center"/>
          </w:tcPr>
          <w:p w14:paraId="30C16D56">
            <w:pPr>
              <w:rPr>
                <w:rFonts w:ascii="宋体" w:hAnsi="宋体"/>
                <w:sz w:val="24"/>
                <w:highlight w:val="none"/>
              </w:rPr>
            </w:pPr>
          </w:p>
        </w:tc>
        <w:tc>
          <w:tcPr>
            <w:tcW w:w="1110" w:type="dxa"/>
            <w:vAlign w:val="center"/>
          </w:tcPr>
          <w:p w14:paraId="1470FBFE">
            <w:pPr>
              <w:rPr>
                <w:rFonts w:ascii="宋体" w:hAnsi="宋体"/>
                <w:sz w:val="24"/>
                <w:highlight w:val="none"/>
              </w:rPr>
            </w:pPr>
          </w:p>
        </w:tc>
        <w:tc>
          <w:tcPr>
            <w:tcW w:w="2613" w:type="dxa"/>
            <w:vAlign w:val="center"/>
          </w:tcPr>
          <w:p w14:paraId="5140F900">
            <w:pPr>
              <w:rPr>
                <w:rFonts w:ascii="宋体" w:hAnsi="宋体"/>
                <w:sz w:val="24"/>
                <w:highlight w:val="none"/>
              </w:rPr>
            </w:pPr>
          </w:p>
        </w:tc>
      </w:tr>
    </w:tbl>
    <w:p w14:paraId="7C1F55AC">
      <w:pPr>
        <w:rPr>
          <w:rFonts w:ascii="宋体" w:hAnsi="宋体"/>
          <w:sz w:val="24"/>
          <w:highlight w:val="none"/>
        </w:rPr>
      </w:pPr>
      <w:r>
        <w:rPr>
          <w:rFonts w:hint="eastAsia" w:ascii="宋体" w:hAnsi="宋体"/>
          <w:b/>
          <w:sz w:val="24"/>
          <w:highlight w:val="none"/>
        </w:rPr>
        <w:t>注：</w:t>
      </w:r>
      <w:r>
        <w:rPr>
          <w:rFonts w:hint="eastAsia" w:ascii="宋体" w:hAnsi="宋体"/>
          <w:sz w:val="24"/>
          <w:highlight w:val="none"/>
        </w:rPr>
        <w:t>即使投标人进行了描述，也要</w:t>
      </w:r>
      <w:r>
        <w:rPr>
          <w:rFonts w:hint="eastAsia" w:ascii="宋体" w:hAnsi="宋体"/>
          <w:sz w:val="24"/>
          <w:highlight w:val="none"/>
          <w:lang w:eastAsia="zh-CN"/>
        </w:rPr>
        <w:t>填报</w:t>
      </w:r>
      <w:r>
        <w:rPr>
          <w:rFonts w:hint="eastAsia" w:ascii="宋体" w:hAnsi="宋体"/>
          <w:sz w:val="24"/>
          <w:highlight w:val="none"/>
        </w:rPr>
        <w:t>该表，</w:t>
      </w:r>
      <w:r>
        <w:rPr>
          <w:rFonts w:hint="eastAsia" w:ascii="宋体" w:hAnsi="宋体"/>
          <w:b/>
          <w:sz w:val="24"/>
          <w:highlight w:val="none"/>
        </w:rPr>
        <w:t>无该表则被视为“无偏离”。</w:t>
      </w:r>
      <w:r>
        <w:rPr>
          <w:rFonts w:hint="eastAsia" w:ascii="宋体" w:hAnsi="宋体"/>
          <w:sz w:val="24"/>
          <w:highlight w:val="none"/>
        </w:rPr>
        <w:t>如无偏离注明“无”字。</w:t>
      </w:r>
    </w:p>
    <w:p w14:paraId="319C5E77">
      <w:pPr>
        <w:pStyle w:val="10"/>
        <w:spacing w:line="360" w:lineRule="auto"/>
        <w:rPr>
          <w:rFonts w:hAnsi="宋体"/>
          <w:b/>
          <w:bCs/>
          <w:sz w:val="28"/>
          <w:szCs w:val="28"/>
          <w:highlight w:val="none"/>
        </w:rPr>
      </w:pPr>
    </w:p>
    <w:p w14:paraId="514AA21A">
      <w:pPr>
        <w:rPr>
          <w:highlight w:val="none"/>
        </w:rPr>
      </w:pPr>
      <w:r>
        <w:rPr>
          <w:rFonts w:hint="eastAsia" w:ascii="宋体" w:hAnsi="宋体"/>
          <w:sz w:val="24"/>
          <w:highlight w:val="none"/>
        </w:rPr>
        <w:t>投标人名称：授权代表签字：日期：</w:t>
      </w:r>
    </w:p>
    <w:p w14:paraId="7F250FD6">
      <w:pPr>
        <w:rPr>
          <w:rFonts w:eastAsia="黑体"/>
          <w:b/>
          <w:bCs/>
          <w:sz w:val="28"/>
          <w:highlight w:val="none"/>
        </w:rPr>
      </w:pPr>
    </w:p>
    <w:p w14:paraId="50CC30FC">
      <w:pPr>
        <w:pStyle w:val="13"/>
        <w:rPr>
          <w:highlight w:val="none"/>
        </w:rPr>
      </w:pPr>
      <w:bookmarkStart w:id="27" w:name="_Toc32530"/>
    </w:p>
    <w:bookmarkEnd w:id="27"/>
    <w:p w14:paraId="58EEDDAD">
      <w:pPr>
        <w:rPr>
          <w:rFonts w:hint="eastAsia" w:ascii="黑体" w:hAnsi="黑体" w:eastAsia="黑体" w:cs="黑体"/>
          <w:sz w:val="28"/>
          <w:szCs w:val="21"/>
          <w:highlight w:val="none"/>
          <w:lang w:val="en-US" w:eastAsia="zh-CN"/>
        </w:rPr>
      </w:pPr>
      <w:r>
        <w:rPr>
          <w:rFonts w:hint="eastAsia" w:eastAsia="黑体"/>
          <w:b/>
          <w:bCs/>
          <w:sz w:val="36"/>
          <w:szCs w:val="22"/>
          <w:highlight w:val="none"/>
        </w:rPr>
        <w:br w:type="page"/>
      </w:r>
      <w:r>
        <w:rPr>
          <w:rFonts w:hint="eastAsia" w:ascii="黑体" w:hAnsi="黑体" w:eastAsia="黑体" w:cs="黑体"/>
          <w:sz w:val="24"/>
          <w:szCs w:val="24"/>
          <w:highlight w:val="none"/>
          <w:lang w:val="en-US" w:eastAsia="zh-CN"/>
        </w:rPr>
        <w:t>附件7</w:t>
      </w:r>
    </w:p>
    <w:p w14:paraId="44952A1A">
      <w:pPr>
        <w:jc w:val="center"/>
        <w:rPr>
          <w:rFonts w:hAnsi="宋体"/>
          <w:b/>
          <w:bCs/>
          <w:sz w:val="36"/>
          <w:szCs w:val="36"/>
          <w:highlight w:val="none"/>
        </w:rPr>
      </w:pPr>
      <w:r>
        <w:rPr>
          <w:rFonts w:hint="eastAsia" w:ascii="Times New Roman" w:hAnsi="Times New Roman" w:eastAsia="黑体" w:cs="Times New Roman"/>
          <w:b/>
          <w:bCs/>
          <w:sz w:val="32"/>
          <w:szCs w:val="21"/>
          <w:highlight w:val="none"/>
        </w:rPr>
        <w:t>技术</w:t>
      </w:r>
      <w:r>
        <w:rPr>
          <w:rFonts w:hint="eastAsia" w:eastAsia="黑体" w:cs="Times New Roman"/>
          <w:b/>
          <w:bCs/>
          <w:sz w:val="32"/>
          <w:szCs w:val="21"/>
          <w:highlight w:val="none"/>
          <w:lang w:val="en-US" w:eastAsia="zh-CN"/>
        </w:rPr>
        <w:t>规范</w:t>
      </w:r>
      <w:r>
        <w:rPr>
          <w:rFonts w:hint="eastAsia" w:ascii="Times New Roman" w:hAnsi="Times New Roman" w:eastAsia="黑体" w:cs="Times New Roman"/>
          <w:b/>
          <w:bCs/>
          <w:sz w:val="32"/>
          <w:szCs w:val="21"/>
          <w:highlight w:val="none"/>
        </w:rPr>
        <w:t>书</w:t>
      </w:r>
    </w:p>
    <w:p w14:paraId="535E30FA">
      <w:pPr>
        <w:pStyle w:val="10"/>
        <w:pageBreakBefore w:val="0"/>
        <w:kinsoku/>
        <w:wordWrap/>
        <w:overflowPunct/>
        <w:topLinePunct w:val="0"/>
        <w:autoSpaceDE/>
        <w:autoSpaceDN/>
        <w:bidi w:val="0"/>
        <w:snapToGrid/>
        <w:spacing w:line="580" w:lineRule="exact"/>
        <w:ind w:left="0" w:firstLine="480" w:firstLineChars="200"/>
        <w:textAlignment w:val="auto"/>
        <w:rPr>
          <w:rFonts w:hint="eastAsia" w:ascii="宋体" w:hAnsi="宋体" w:eastAsia="宋体" w:cs="Times New Roman"/>
          <w:sz w:val="24"/>
          <w:szCs w:val="24"/>
          <w:highlight w:val="none"/>
          <w:lang w:val="en-US" w:eastAsia="zh-CN"/>
        </w:rPr>
      </w:pPr>
      <w:bookmarkStart w:id="28" w:name="_Toc15177"/>
      <w:r>
        <w:rPr>
          <w:rFonts w:hint="eastAsia" w:ascii="宋体" w:hAnsi="宋体" w:eastAsia="宋体" w:cs="Times New Roman"/>
          <w:sz w:val="24"/>
          <w:szCs w:val="24"/>
          <w:highlight w:val="none"/>
          <w:lang w:val="en-US" w:eastAsia="zh-CN"/>
        </w:rPr>
        <w:t>一、技术标准：</w:t>
      </w:r>
    </w:p>
    <w:p w14:paraId="5FA81D75">
      <w:pPr>
        <w:pStyle w:val="4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480" w:firstLineChars="200"/>
        <w:textAlignment w:val="auto"/>
        <w:rPr>
          <w:rFonts w:hint="eastAsia" w:ascii="宋体" w:hAnsi="宋体" w:eastAsia="宋体" w:cs="Times New Roman"/>
          <w:sz w:val="24"/>
          <w:szCs w:val="24"/>
          <w:highlight w:val="none"/>
          <w:lang w:val="en-US" w:eastAsia="zh-CN"/>
        </w:rPr>
      </w:pPr>
      <w:r>
        <w:rPr>
          <w:rFonts w:hint="eastAsia" w:hAnsi="宋体" w:cs="Times New Roman"/>
          <w:b w:val="0"/>
          <w:bCs/>
          <w:sz w:val="24"/>
          <w:szCs w:val="24"/>
          <w:highlight w:val="none"/>
          <w:lang w:val="en-US" w:eastAsia="zh-CN"/>
        </w:rPr>
        <w:t>“</w:t>
      </w:r>
      <w:r>
        <w:rPr>
          <w:rFonts w:hint="eastAsia" w:ascii="宋体" w:hAnsi="宋体" w:eastAsia="宋体" w:cs="Times New Roman"/>
          <w:b w:val="0"/>
          <w:bCs/>
          <w:sz w:val="24"/>
          <w:szCs w:val="24"/>
          <w:highlight w:val="none"/>
          <w:lang w:val="en-US" w:eastAsia="zh-CN"/>
        </w:rPr>
        <w:t>中国重汽</w:t>
      </w:r>
      <w:r>
        <w:rPr>
          <w:rFonts w:hint="eastAsia" w:hAnsi="宋体" w:cs="Times New Roman"/>
          <w:b w:val="0"/>
          <w:bCs/>
          <w:sz w:val="24"/>
          <w:szCs w:val="24"/>
          <w:highlight w:val="none"/>
          <w:lang w:val="en-US" w:eastAsia="zh-CN"/>
        </w:rPr>
        <w:t>杯”2026年职工运动会</w:t>
      </w:r>
      <w:r>
        <w:rPr>
          <w:rFonts w:hint="eastAsia" w:ascii="宋体" w:hAnsi="宋体" w:eastAsia="宋体" w:cs="Times New Roman"/>
          <w:b w:val="0"/>
          <w:bCs/>
          <w:sz w:val="24"/>
          <w:szCs w:val="24"/>
          <w:highlight w:val="none"/>
          <w:lang w:val="en-US" w:eastAsia="zh-CN"/>
        </w:rPr>
        <w:t>的活动报备</w:t>
      </w:r>
      <w:r>
        <w:rPr>
          <w:rFonts w:hint="eastAsia" w:hAnsi="宋体" w:cs="Times New Roman"/>
          <w:b w:val="0"/>
          <w:bCs/>
          <w:sz w:val="24"/>
          <w:szCs w:val="24"/>
          <w:highlight w:val="none"/>
          <w:lang w:val="en-US" w:eastAsia="zh-CN"/>
        </w:rPr>
        <w:t>、</w:t>
      </w:r>
      <w:r>
        <w:rPr>
          <w:rFonts w:hint="eastAsia" w:ascii="宋体" w:hAnsi="宋体" w:eastAsia="宋体" w:cs="Times New Roman"/>
          <w:b w:val="0"/>
          <w:bCs/>
          <w:sz w:val="24"/>
          <w:szCs w:val="24"/>
          <w:highlight w:val="none"/>
          <w:lang w:val="en-US" w:eastAsia="zh-CN"/>
        </w:rPr>
        <w:t>整体策划、主题设计、场地布置、流程执行、摄影摄像、音响设备、氛围营造、物资筹备、现场安保、应急保障、</w:t>
      </w:r>
      <w:r>
        <w:rPr>
          <w:rFonts w:hint="eastAsia" w:hAnsi="宋体" w:cs="Times New Roman"/>
          <w:b w:val="0"/>
          <w:bCs/>
          <w:sz w:val="24"/>
          <w:szCs w:val="24"/>
          <w:highlight w:val="none"/>
          <w:lang w:val="en-US" w:eastAsia="zh-CN"/>
        </w:rPr>
        <w:t>奖杯（牌）设计</w:t>
      </w:r>
      <w:r>
        <w:rPr>
          <w:rFonts w:hint="eastAsia" w:ascii="宋体" w:hAnsi="宋体" w:eastAsia="宋体" w:cs="Times New Roman"/>
          <w:b w:val="0"/>
          <w:bCs/>
          <w:sz w:val="24"/>
          <w:szCs w:val="24"/>
          <w:highlight w:val="none"/>
          <w:lang w:val="en-US" w:eastAsia="zh-CN"/>
        </w:rPr>
        <w:t>采购、视频制作和活动宣传、活动收尾等一体化服务。</w:t>
      </w:r>
      <w:r>
        <w:rPr>
          <w:rFonts w:hint="eastAsia"/>
          <w:b w:val="0"/>
          <w:bCs/>
          <w:sz w:val="24"/>
          <w:szCs w:val="24"/>
          <w:highlight w:val="none"/>
          <w:lang w:val="en-US" w:eastAsia="zh-CN"/>
        </w:rPr>
        <w:t>包括但不限于以下项目：</w:t>
      </w:r>
    </w:p>
    <w:p w14:paraId="24164E51">
      <w:pPr>
        <w:pStyle w:val="10"/>
        <w:pageBreakBefore w:val="0"/>
        <w:kinsoku/>
        <w:wordWrap/>
        <w:overflowPunct/>
        <w:topLinePunct w:val="0"/>
        <w:autoSpaceDE/>
        <w:autoSpaceDN/>
        <w:bidi w:val="0"/>
        <w:snapToGrid/>
        <w:spacing w:line="580" w:lineRule="exact"/>
        <w:ind w:left="0"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活动地点：</w:t>
      </w:r>
      <w:r>
        <w:rPr>
          <w:rFonts w:hint="eastAsia" w:hAnsi="宋体" w:cs="Times New Roman"/>
          <w:sz w:val="24"/>
          <w:szCs w:val="24"/>
          <w:highlight w:val="none"/>
          <w:lang w:val="en-US" w:eastAsia="zh-CN"/>
        </w:rPr>
        <w:t>济钢体育场</w:t>
      </w:r>
      <w:r>
        <w:rPr>
          <w:rFonts w:hint="eastAsia" w:ascii="宋体" w:hAnsi="宋体" w:eastAsia="宋体" w:cs="Times New Roman"/>
          <w:sz w:val="24"/>
          <w:szCs w:val="24"/>
          <w:highlight w:val="none"/>
          <w:lang w:val="en-US" w:eastAsia="zh-CN"/>
        </w:rPr>
        <w:t>；</w:t>
      </w:r>
    </w:p>
    <w:p w14:paraId="6A664A21">
      <w:pPr>
        <w:pStyle w:val="10"/>
        <w:pageBreakBefore w:val="0"/>
        <w:kinsoku/>
        <w:wordWrap/>
        <w:overflowPunct/>
        <w:topLinePunct w:val="0"/>
        <w:autoSpaceDE/>
        <w:autoSpaceDN/>
        <w:bidi w:val="0"/>
        <w:snapToGrid/>
        <w:spacing w:line="580" w:lineRule="exact"/>
        <w:ind w:left="0"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活动策划执行：</w:t>
      </w:r>
    </w:p>
    <w:p w14:paraId="00F683CE">
      <w:pPr>
        <w:pStyle w:val="4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482" w:firstLineChars="200"/>
        <w:textAlignment w:val="auto"/>
        <w:rPr>
          <w:rFonts w:hint="eastAsia"/>
          <w:b w:val="0"/>
          <w:bCs/>
          <w:sz w:val="24"/>
          <w:szCs w:val="24"/>
          <w:highlight w:val="none"/>
          <w:lang w:val="en-US" w:eastAsia="zh-CN"/>
        </w:rPr>
      </w:pPr>
      <w:r>
        <w:rPr>
          <w:rFonts w:hint="eastAsia"/>
          <w:b/>
          <w:bCs w:val="0"/>
          <w:sz w:val="24"/>
          <w:szCs w:val="24"/>
          <w:highlight w:val="none"/>
          <w:lang w:val="en-US" w:eastAsia="zh-CN"/>
        </w:rPr>
        <w:t>场地设计：</w:t>
      </w:r>
      <w:r>
        <w:rPr>
          <w:rFonts w:hint="eastAsia"/>
          <w:b w:val="0"/>
          <w:bCs/>
          <w:sz w:val="24"/>
          <w:szCs w:val="24"/>
          <w:highlight w:val="none"/>
          <w:lang w:val="en-US" w:eastAsia="zh-CN"/>
        </w:rPr>
        <w:t>本次活动在济钢体育场举行，投标方要提供详细场地设计方案和活动执行方案。</w:t>
      </w:r>
    </w:p>
    <w:p w14:paraId="5A24B9CD">
      <w:pPr>
        <w:pStyle w:val="4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482" w:firstLineChars="200"/>
        <w:textAlignment w:val="auto"/>
        <w:rPr>
          <w:rFonts w:hint="eastAsia" w:hAnsi="宋体" w:cs="宋体"/>
          <w:b w:val="0"/>
          <w:kern w:val="2"/>
          <w:sz w:val="24"/>
          <w:szCs w:val="24"/>
          <w:highlight w:val="none"/>
          <w:lang w:val="en-US" w:eastAsia="zh-CN" w:bidi="ar-SA"/>
        </w:rPr>
      </w:pPr>
      <w:r>
        <w:rPr>
          <w:rFonts w:hint="eastAsia"/>
          <w:b/>
          <w:bCs w:val="0"/>
          <w:sz w:val="24"/>
          <w:szCs w:val="24"/>
          <w:highlight w:val="none"/>
          <w:lang w:val="en-US" w:eastAsia="zh-CN"/>
        </w:rPr>
        <w:t>场地布置和氛围营造：</w:t>
      </w:r>
      <w:r>
        <w:rPr>
          <w:rFonts w:hint="eastAsia"/>
          <w:b w:val="0"/>
          <w:bCs/>
          <w:sz w:val="24"/>
          <w:szCs w:val="24"/>
          <w:highlight w:val="none"/>
          <w:lang w:val="en-US" w:eastAsia="zh-CN"/>
        </w:rPr>
        <w:t>负责本次活动主席台区、打卡区、检录区、比赛区、保障区、设备操控区全场景标准化、主题化、安全化布置，负责</w:t>
      </w:r>
      <w:r>
        <w:rPr>
          <w:rFonts w:hint="eastAsia" w:ascii="宋体" w:hAnsi="宋体" w:eastAsia="宋体" w:cs="宋体"/>
          <w:b w:val="0"/>
          <w:kern w:val="2"/>
          <w:sz w:val="24"/>
          <w:szCs w:val="24"/>
          <w:highlight w:val="none"/>
          <w:lang w:val="en-US" w:eastAsia="zh-CN" w:bidi="ar-SA"/>
        </w:rPr>
        <w:t>全场视觉、听觉</w:t>
      </w:r>
      <w:r>
        <w:rPr>
          <w:rFonts w:hint="eastAsia" w:hAnsi="宋体" w:cs="宋体"/>
          <w:b w:val="0"/>
          <w:kern w:val="2"/>
          <w:sz w:val="24"/>
          <w:szCs w:val="24"/>
          <w:highlight w:val="none"/>
          <w:lang w:val="en-US" w:eastAsia="zh-CN" w:bidi="ar-SA"/>
        </w:rPr>
        <w:t>等</w:t>
      </w:r>
      <w:r>
        <w:rPr>
          <w:rFonts w:hint="eastAsia" w:ascii="宋体" w:hAnsi="宋体" w:eastAsia="宋体" w:cs="宋体"/>
          <w:b w:val="0"/>
          <w:kern w:val="2"/>
          <w:sz w:val="24"/>
          <w:szCs w:val="24"/>
          <w:highlight w:val="none"/>
          <w:lang w:val="en-US" w:eastAsia="zh-CN" w:bidi="ar-SA"/>
        </w:rPr>
        <w:t>动态氛围一体化系统营造</w:t>
      </w:r>
      <w:r>
        <w:rPr>
          <w:rFonts w:hint="eastAsia" w:hAnsi="宋体" w:cs="宋体"/>
          <w:b w:val="0"/>
          <w:kern w:val="2"/>
          <w:sz w:val="24"/>
          <w:szCs w:val="24"/>
          <w:highlight w:val="none"/>
          <w:lang w:val="en-US" w:eastAsia="zh-CN" w:bidi="ar-SA"/>
        </w:rPr>
        <w:t>。所有设计以实用为主，厉行节约，充分考虑开（闭）幕式、竞赛、颁奖等各个环节需求</w:t>
      </w:r>
      <w:r>
        <w:rPr>
          <w:rFonts w:hint="eastAsia" w:ascii="宋体" w:hAnsi="宋体" w:eastAsia="宋体" w:cs="宋体"/>
          <w:b w:val="0"/>
          <w:kern w:val="2"/>
          <w:sz w:val="24"/>
          <w:szCs w:val="24"/>
          <w:highlight w:val="none"/>
          <w:lang w:val="en-US" w:eastAsia="zh-CN" w:bidi="ar-SA"/>
        </w:rPr>
        <w:t>。</w:t>
      </w:r>
    </w:p>
    <w:p w14:paraId="329B7325">
      <w:pPr>
        <w:pStyle w:val="4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482" w:firstLineChars="200"/>
        <w:textAlignment w:val="auto"/>
        <w:rPr>
          <w:rFonts w:hint="eastAsia" w:hAnsi="宋体" w:cs="宋体"/>
          <w:b w:val="0"/>
          <w:kern w:val="2"/>
          <w:sz w:val="24"/>
          <w:szCs w:val="24"/>
          <w:highlight w:val="none"/>
          <w:lang w:val="en-US" w:eastAsia="zh-CN" w:bidi="ar-SA"/>
        </w:rPr>
      </w:pPr>
      <w:r>
        <w:rPr>
          <w:rFonts w:hint="eastAsia"/>
          <w:b/>
          <w:bCs w:val="0"/>
          <w:sz w:val="24"/>
          <w:szCs w:val="24"/>
          <w:highlight w:val="none"/>
          <w:lang w:val="en-US" w:eastAsia="zh-CN"/>
        </w:rPr>
        <w:t>流程策划和现场执行：</w:t>
      </w:r>
      <w:r>
        <w:rPr>
          <w:rFonts w:hint="eastAsia"/>
          <w:b w:val="0"/>
          <w:bCs/>
          <w:sz w:val="24"/>
          <w:szCs w:val="24"/>
          <w:highlight w:val="none"/>
          <w:lang w:val="en-US" w:eastAsia="zh-CN"/>
        </w:rPr>
        <w:t>负责本次运动会全流程策划、开幕式大型展演节目编排、田径项目、趣味运动项目的赛程编排、现场统筹执行。</w:t>
      </w:r>
    </w:p>
    <w:p w14:paraId="5F3CE4BC">
      <w:pPr>
        <w:pStyle w:val="4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482" w:firstLineChars="200"/>
        <w:textAlignment w:val="auto"/>
        <w:rPr>
          <w:rFonts w:hint="eastAsia" w:ascii="宋体" w:hAnsi="宋体" w:eastAsia="宋体" w:cs="宋体"/>
          <w:b w:val="0"/>
          <w:bCs w:val="0"/>
          <w:kern w:val="2"/>
          <w:sz w:val="24"/>
          <w:szCs w:val="24"/>
          <w:highlight w:val="none"/>
          <w:lang w:val="en-US" w:eastAsia="zh-CN" w:bidi="ar-SA"/>
        </w:rPr>
      </w:pPr>
      <w:r>
        <w:rPr>
          <w:rFonts w:hint="eastAsia" w:hAnsi="宋体" w:cs="宋体"/>
          <w:b/>
          <w:bCs/>
          <w:kern w:val="2"/>
          <w:sz w:val="24"/>
          <w:szCs w:val="24"/>
          <w:highlight w:val="none"/>
          <w:lang w:val="en-US" w:eastAsia="zh-CN" w:bidi="ar-SA"/>
        </w:rPr>
        <w:t>设备运行</w:t>
      </w:r>
      <w:r>
        <w:rPr>
          <w:rFonts w:hint="eastAsia" w:ascii="宋体" w:hAnsi="宋体" w:eastAsia="宋体" w:cs="宋体"/>
          <w:b/>
          <w:bCs/>
          <w:kern w:val="2"/>
          <w:sz w:val="24"/>
          <w:szCs w:val="24"/>
          <w:highlight w:val="none"/>
          <w:lang w:val="en-US" w:eastAsia="zh-CN" w:bidi="ar-SA"/>
        </w:rPr>
        <w:t>：</w:t>
      </w:r>
      <w:r>
        <w:rPr>
          <w:rFonts w:hint="eastAsia" w:hAnsi="宋体" w:cs="宋体"/>
          <w:b w:val="0"/>
          <w:bCs w:val="0"/>
          <w:kern w:val="2"/>
          <w:sz w:val="24"/>
          <w:szCs w:val="24"/>
          <w:highlight w:val="none"/>
          <w:lang w:val="en-US" w:eastAsia="zh-CN" w:bidi="ar-SA"/>
        </w:rPr>
        <w:t>音响设备音质清晰，</w:t>
      </w:r>
      <w:r>
        <w:rPr>
          <w:rFonts w:hint="eastAsia" w:ascii="宋体" w:hAnsi="宋体" w:eastAsia="宋体" w:cs="宋体"/>
          <w:b w:val="0"/>
          <w:bCs w:val="0"/>
          <w:kern w:val="2"/>
          <w:sz w:val="24"/>
          <w:szCs w:val="24"/>
          <w:highlight w:val="none"/>
          <w:lang w:val="en-US" w:eastAsia="zh-CN" w:bidi="ar-SA"/>
        </w:rPr>
        <w:t>摄影摄像设备为高清专业设备，多机位定点拍摄+机动拍摄+无人机航拍，画面稳定、构图规范、素材完整。</w:t>
      </w:r>
    </w:p>
    <w:p w14:paraId="5D8A1334">
      <w:pPr>
        <w:pStyle w:val="4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482" w:firstLineChars="200"/>
        <w:textAlignment w:val="auto"/>
        <w:rPr>
          <w:rFonts w:hint="eastAsia" w:ascii="宋体" w:hAnsi="宋体" w:eastAsia="宋体" w:cs="宋体"/>
          <w:b w:val="0"/>
          <w:kern w:val="2"/>
          <w:sz w:val="24"/>
          <w:szCs w:val="24"/>
          <w:highlight w:val="none"/>
          <w:lang w:val="en-US" w:eastAsia="zh-CN" w:bidi="ar-SA"/>
        </w:rPr>
      </w:pPr>
      <w:r>
        <w:rPr>
          <w:rFonts w:hint="eastAsia" w:hAnsi="宋体" w:cs="宋体"/>
          <w:b/>
          <w:bCs/>
          <w:kern w:val="2"/>
          <w:sz w:val="24"/>
          <w:szCs w:val="24"/>
          <w:highlight w:val="none"/>
          <w:lang w:val="en-US" w:eastAsia="zh-CN" w:bidi="ar-SA"/>
        </w:rPr>
        <w:t>奖杯（牌）设计采购</w:t>
      </w:r>
      <w:r>
        <w:rPr>
          <w:rFonts w:hint="eastAsia" w:ascii="宋体" w:hAnsi="宋体" w:eastAsia="宋体" w:cs="宋体"/>
          <w:b/>
          <w:bCs/>
          <w:kern w:val="2"/>
          <w:sz w:val="24"/>
          <w:szCs w:val="24"/>
          <w:highlight w:val="none"/>
          <w:lang w:val="en-US" w:eastAsia="zh-CN" w:bidi="ar-SA"/>
        </w:rPr>
        <w:t>：</w:t>
      </w:r>
      <w:r>
        <w:rPr>
          <w:rFonts w:hint="eastAsia" w:ascii="宋体" w:hAnsi="宋体" w:eastAsia="宋体" w:cs="宋体"/>
          <w:b w:val="0"/>
          <w:kern w:val="2"/>
          <w:sz w:val="24"/>
          <w:szCs w:val="24"/>
          <w:highlight w:val="none"/>
          <w:lang w:val="en-US" w:eastAsia="zh-CN" w:bidi="ar-SA"/>
        </w:rPr>
        <w:t>负责</w:t>
      </w:r>
      <w:r>
        <w:rPr>
          <w:rFonts w:hint="eastAsia" w:hAnsi="宋体" w:cs="宋体"/>
          <w:b w:val="0"/>
          <w:kern w:val="2"/>
          <w:sz w:val="24"/>
          <w:szCs w:val="24"/>
          <w:highlight w:val="none"/>
          <w:lang w:val="en-US" w:eastAsia="zh-CN" w:bidi="ar-SA"/>
        </w:rPr>
        <w:t>运动会</w:t>
      </w:r>
      <w:r>
        <w:rPr>
          <w:rFonts w:hint="eastAsia" w:ascii="宋体" w:hAnsi="宋体" w:eastAsia="宋体" w:cs="宋体"/>
          <w:b w:val="0"/>
          <w:kern w:val="2"/>
          <w:sz w:val="24"/>
          <w:szCs w:val="24"/>
          <w:highlight w:val="none"/>
          <w:lang w:val="en-US" w:eastAsia="zh-CN" w:bidi="ar-SA"/>
        </w:rPr>
        <w:t>专属</w:t>
      </w:r>
      <w:r>
        <w:rPr>
          <w:rFonts w:hint="eastAsia" w:hAnsi="宋体" w:cs="宋体"/>
          <w:b w:val="0"/>
          <w:kern w:val="2"/>
          <w:sz w:val="24"/>
          <w:szCs w:val="24"/>
          <w:highlight w:val="none"/>
          <w:lang w:val="en-US" w:eastAsia="zh-CN" w:bidi="ar-SA"/>
        </w:rPr>
        <w:t>奖杯（牌）</w:t>
      </w:r>
      <w:r>
        <w:rPr>
          <w:rFonts w:hint="eastAsia" w:ascii="宋体" w:hAnsi="宋体" w:eastAsia="宋体" w:cs="宋体"/>
          <w:b w:val="0"/>
          <w:kern w:val="2"/>
          <w:sz w:val="24"/>
          <w:szCs w:val="24"/>
          <w:highlight w:val="none"/>
          <w:lang w:val="en-US" w:eastAsia="zh-CN" w:bidi="ar-SA"/>
        </w:rPr>
        <w:t>的设计、定制、采购、交付，</w:t>
      </w:r>
      <w:r>
        <w:rPr>
          <w:rFonts w:hint="eastAsia" w:hAnsi="宋体" w:cs="宋体"/>
          <w:b w:val="0"/>
          <w:kern w:val="2"/>
          <w:sz w:val="24"/>
          <w:szCs w:val="24"/>
          <w:highlight w:val="none"/>
          <w:lang w:val="en-US" w:eastAsia="zh-CN" w:bidi="ar-SA"/>
        </w:rPr>
        <w:t>奖杯（牌）须具备</w:t>
      </w:r>
      <w:r>
        <w:rPr>
          <w:rFonts w:hint="eastAsia" w:ascii="宋体" w:hAnsi="宋体" w:eastAsia="宋体" w:cs="宋体"/>
          <w:b w:val="0"/>
          <w:kern w:val="2"/>
          <w:sz w:val="24"/>
          <w:szCs w:val="24"/>
          <w:highlight w:val="none"/>
          <w:lang w:val="en-US" w:eastAsia="zh-CN" w:bidi="ar-SA"/>
        </w:rPr>
        <w:t>专属纪念意义、企业辨识度、质感高端。</w:t>
      </w:r>
    </w:p>
    <w:p w14:paraId="14F88960">
      <w:pPr>
        <w:pStyle w:val="4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482" w:firstLineChars="200"/>
        <w:textAlignment w:val="auto"/>
        <w:rPr>
          <w:rFonts w:hint="eastAsia" w:hAnsi="宋体" w:cs="宋体"/>
          <w:b w:val="0"/>
          <w:bCs w:val="0"/>
          <w:kern w:val="2"/>
          <w:sz w:val="24"/>
          <w:szCs w:val="24"/>
          <w:highlight w:val="none"/>
          <w:lang w:val="en-US" w:eastAsia="zh-CN" w:bidi="ar-SA"/>
        </w:rPr>
      </w:pPr>
      <w:r>
        <w:rPr>
          <w:rFonts w:hint="eastAsia" w:hAnsi="宋体" w:cs="宋体"/>
          <w:b/>
          <w:bCs/>
          <w:kern w:val="2"/>
          <w:sz w:val="24"/>
          <w:szCs w:val="24"/>
          <w:highlight w:val="none"/>
          <w:lang w:val="en-US" w:eastAsia="zh-CN" w:bidi="ar-SA"/>
        </w:rPr>
        <w:t>摄影摄像：</w:t>
      </w:r>
      <w:r>
        <w:rPr>
          <w:rFonts w:hint="eastAsia" w:hAnsi="宋体" w:cs="宋体"/>
          <w:b w:val="0"/>
          <w:bCs w:val="0"/>
          <w:kern w:val="2"/>
          <w:sz w:val="24"/>
          <w:szCs w:val="24"/>
          <w:highlight w:val="none"/>
          <w:lang w:val="en-US" w:eastAsia="zh-CN" w:bidi="ar-SA"/>
        </w:rPr>
        <w:t>负责本次运动会现场全程拍摄、图片直播、后期精剪、成片输出全流程服务，所有成片画质高清、剪辑流畅、内容完整、适配企业宣传使用。</w:t>
      </w:r>
    </w:p>
    <w:p w14:paraId="364F8968">
      <w:pPr>
        <w:pStyle w:val="10"/>
        <w:pageBreakBefore w:val="0"/>
        <w:kinsoku/>
        <w:wordWrap/>
        <w:overflowPunct/>
        <w:topLinePunct w:val="0"/>
        <w:autoSpaceDE/>
        <w:autoSpaceDN/>
        <w:bidi w:val="0"/>
        <w:snapToGrid/>
        <w:spacing w:line="580" w:lineRule="exact"/>
        <w:ind w:left="0" w:firstLine="480" w:firstLineChars="200"/>
        <w:textAlignment w:val="auto"/>
        <w:rPr>
          <w:rFonts w:hint="eastAsia" w:ascii="宋体" w:hAnsi="宋体" w:eastAsia="宋体" w:cs="Times New Roman"/>
          <w:sz w:val="24"/>
          <w:szCs w:val="24"/>
          <w:highlight w:val="none"/>
        </w:rPr>
      </w:pPr>
      <w:r>
        <w:rPr>
          <w:rFonts w:hint="eastAsia" w:hAnsi="宋体" w:cs="Times New Roman"/>
          <w:sz w:val="24"/>
          <w:szCs w:val="24"/>
          <w:highlight w:val="none"/>
          <w:lang w:val="en-US" w:eastAsia="zh-CN"/>
        </w:rPr>
        <w:t>二、</w:t>
      </w:r>
      <w:r>
        <w:rPr>
          <w:rFonts w:hint="eastAsia" w:ascii="宋体" w:hAnsi="宋体" w:eastAsia="宋体" w:cs="Times New Roman"/>
          <w:sz w:val="24"/>
          <w:szCs w:val="24"/>
          <w:highlight w:val="none"/>
        </w:rPr>
        <w:t>技术要求：</w:t>
      </w:r>
    </w:p>
    <w:p w14:paraId="005B95B6">
      <w:pPr>
        <w:pStyle w:val="10"/>
        <w:pageBreakBefore w:val="0"/>
        <w:kinsoku/>
        <w:wordWrap/>
        <w:overflowPunct/>
        <w:topLinePunct w:val="0"/>
        <w:autoSpaceDE/>
        <w:autoSpaceDN/>
        <w:bidi w:val="0"/>
        <w:snapToGrid/>
        <w:spacing w:line="580" w:lineRule="exact"/>
        <w:ind w:left="0" w:firstLine="480" w:firstLineChars="200"/>
        <w:textAlignment w:val="auto"/>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（1）项目策划设计内容符合中国重汽企业形象和</w:t>
      </w:r>
      <w:r>
        <w:rPr>
          <w:rFonts w:hint="eastAsia" w:hAnsi="宋体" w:cs="Times New Roman"/>
          <w:sz w:val="24"/>
          <w:szCs w:val="24"/>
          <w:highlight w:val="none"/>
          <w:lang w:val="en-US" w:eastAsia="zh-CN"/>
        </w:rPr>
        <w:t>运动会</w:t>
      </w:r>
      <w:r>
        <w:rPr>
          <w:rFonts w:hint="eastAsia" w:ascii="宋体" w:hAnsi="宋体" w:eastAsia="宋体" w:cs="Times New Roman"/>
          <w:sz w:val="24"/>
          <w:szCs w:val="24"/>
          <w:highlight w:val="none"/>
        </w:rPr>
        <w:t>主题，</w:t>
      </w:r>
      <w:r>
        <w:rPr>
          <w:rFonts w:hint="eastAsia" w:hAnsi="宋体" w:cs="Times New Roman"/>
          <w:sz w:val="24"/>
          <w:szCs w:val="24"/>
          <w:highlight w:val="none"/>
          <w:lang w:val="en-US" w:eastAsia="zh-CN"/>
        </w:rPr>
        <w:t>整体风格，</w:t>
      </w:r>
      <w:r>
        <w:rPr>
          <w:rFonts w:hint="eastAsia" w:ascii="宋体" w:hAnsi="宋体" w:eastAsia="宋体" w:cs="Times New Roman"/>
          <w:sz w:val="24"/>
          <w:szCs w:val="24"/>
          <w:highlight w:val="none"/>
        </w:rPr>
        <w:t>简约大气，契合国企大型</w:t>
      </w:r>
      <w:r>
        <w:rPr>
          <w:rFonts w:hint="eastAsia" w:hAnsi="宋体" w:cs="Times New Roman"/>
          <w:sz w:val="24"/>
          <w:szCs w:val="24"/>
          <w:highlight w:val="none"/>
          <w:lang w:val="en-US" w:eastAsia="zh-CN"/>
        </w:rPr>
        <w:t>运动会</w:t>
      </w:r>
      <w:r>
        <w:rPr>
          <w:rFonts w:hint="eastAsia" w:ascii="宋体" w:hAnsi="宋体" w:eastAsia="宋体" w:cs="Times New Roman"/>
          <w:sz w:val="24"/>
          <w:szCs w:val="24"/>
          <w:highlight w:val="none"/>
        </w:rPr>
        <w:t>调性。所有现场搭建、装饰物料、定制产品、设备器材均符合国家消防安全、环保、公共活动安全标准，材质环保无异味、无破损、无褪色，施工牢固稳定、安全合规。</w:t>
      </w:r>
    </w:p>
    <w:p w14:paraId="72FDFE91">
      <w:pPr>
        <w:pStyle w:val="10"/>
        <w:pageBreakBefore w:val="0"/>
        <w:kinsoku/>
        <w:wordWrap/>
        <w:overflowPunct/>
        <w:topLinePunct w:val="0"/>
        <w:autoSpaceDE/>
        <w:autoSpaceDN/>
        <w:bidi w:val="0"/>
        <w:snapToGrid/>
        <w:spacing w:line="580" w:lineRule="exact"/>
        <w:ind w:left="0" w:firstLine="480" w:firstLineChars="20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（2）出具</w:t>
      </w:r>
      <w:r>
        <w:rPr>
          <w:rFonts w:hint="eastAsia" w:hAnsi="宋体" w:cs="Times New Roman"/>
          <w:sz w:val="24"/>
          <w:szCs w:val="24"/>
          <w:highlight w:val="none"/>
          <w:lang w:eastAsia="zh-CN"/>
        </w:rPr>
        <w:t>翔实</w:t>
      </w:r>
      <w:r>
        <w:rPr>
          <w:rFonts w:hint="eastAsia" w:ascii="宋体" w:hAnsi="宋体" w:eastAsia="宋体" w:cs="Times New Roman"/>
          <w:sz w:val="24"/>
          <w:szCs w:val="24"/>
          <w:highlight w:val="none"/>
        </w:rPr>
        <w:t>的策划方案和价格方案，编制项目推进周期；</w:t>
      </w:r>
    </w:p>
    <w:p w14:paraId="7533AE7B">
      <w:pPr>
        <w:pStyle w:val="10"/>
        <w:pageBreakBefore w:val="0"/>
        <w:kinsoku/>
        <w:wordWrap/>
        <w:overflowPunct/>
        <w:topLinePunct w:val="0"/>
        <w:autoSpaceDE/>
        <w:autoSpaceDN/>
        <w:bidi w:val="0"/>
        <w:snapToGrid/>
        <w:spacing w:line="580" w:lineRule="exact"/>
        <w:ind w:left="0" w:firstLine="480" w:firstLineChars="20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（3）为保证活动完整呈现，既定项目为必含项，其他不包含在既定项目内的部分，如有其他必须发生项目或能提升活动效果，可进行补充策划及项目报价。</w:t>
      </w:r>
    </w:p>
    <w:p w14:paraId="67E3D5C5">
      <w:pPr>
        <w:pStyle w:val="10"/>
        <w:pageBreakBefore w:val="0"/>
        <w:kinsoku/>
        <w:wordWrap/>
        <w:overflowPunct/>
        <w:topLinePunct w:val="0"/>
        <w:autoSpaceDE/>
        <w:autoSpaceDN/>
        <w:bidi w:val="0"/>
        <w:snapToGrid/>
        <w:spacing w:line="580" w:lineRule="exact"/>
        <w:ind w:left="0" w:firstLine="480" w:firstLineChars="20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（4）若同意参与投标，投标方案将被视为默认同意在本次投标过程中共享。甲方有权使用该方案作为统一的活动方案进行招标活动，且在此过程中，甲方不承担任何法律责任。</w:t>
      </w:r>
    </w:p>
    <w:p w14:paraId="7BD2CA99">
      <w:pPr>
        <w:pStyle w:val="10"/>
        <w:pageBreakBefore w:val="0"/>
        <w:kinsoku/>
        <w:wordWrap/>
        <w:overflowPunct/>
        <w:topLinePunct w:val="0"/>
        <w:autoSpaceDE/>
        <w:autoSpaceDN/>
        <w:bidi w:val="0"/>
        <w:snapToGrid/>
        <w:spacing w:line="580" w:lineRule="exact"/>
        <w:ind w:left="0" w:firstLine="480" w:firstLineChars="200"/>
        <w:textAlignment w:val="auto"/>
        <w:rPr>
          <w:rFonts w:hint="eastAsia" w:ascii="方正小标宋简体" w:hAnsi="方正小标宋简体" w:eastAsia="方正小标宋简体" w:cs="方正小标宋简体"/>
          <w:sz w:val="40"/>
          <w:szCs w:val="21"/>
          <w:highlight w:val="none"/>
        </w:rPr>
      </w:pPr>
      <w:r>
        <w:rPr>
          <w:rFonts w:hint="eastAsia" w:ascii="宋体" w:hAnsi="宋体" w:eastAsia="宋体" w:cs="Times New Roman"/>
          <w:sz w:val="24"/>
          <w:szCs w:val="24"/>
          <w:highlight w:val="none"/>
        </w:rPr>
        <w:t>（5）执行阶段的具体事项，以双方合同约定为准。</w:t>
      </w:r>
    </w:p>
    <w:p w14:paraId="7DA25E73">
      <w:pPr>
        <w:pStyle w:val="2"/>
        <w:rPr>
          <w:rFonts w:hint="eastAsia" w:ascii="方正小标宋简体" w:hAnsi="方正小标宋简体" w:eastAsia="方正小标宋简体" w:cs="方正小标宋简体"/>
          <w:sz w:val="40"/>
          <w:szCs w:val="21"/>
          <w:highlight w:val="none"/>
        </w:rPr>
      </w:pPr>
    </w:p>
    <w:p w14:paraId="18657BD6">
      <w:pPr>
        <w:rPr>
          <w:rFonts w:hint="eastAsia" w:ascii="方正小标宋简体" w:hAnsi="方正小标宋简体" w:eastAsia="方正小标宋简体" w:cs="方正小标宋简体"/>
          <w:sz w:val="40"/>
          <w:szCs w:val="21"/>
          <w:highlight w:val="none"/>
        </w:rPr>
      </w:pPr>
    </w:p>
    <w:p w14:paraId="77AC1E87">
      <w:pPr>
        <w:pStyle w:val="2"/>
        <w:rPr>
          <w:rFonts w:hint="eastAsia" w:ascii="方正小标宋简体" w:hAnsi="方正小标宋简体" w:eastAsia="方正小标宋简体" w:cs="方正小标宋简体"/>
          <w:sz w:val="40"/>
          <w:szCs w:val="21"/>
          <w:highlight w:val="none"/>
        </w:rPr>
      </w:pPr>
    </w:p>
    <w:p w14:paraId="498C6EA8">
      <w:pPr>
        <w:rPr>
          <w:rFonts w:hint="eastAsia" w:ascii="方正小标宋简体" w:hAnsi="方正小标宋简体" w:eastAsia="方正小标宋简体" w:cs="方正小标宋简体"/>
          <w:sz w:val="40"/>
          <w:szCs w:val="21"/>
          <w:highlight w:val="none"/>
        </w:rPr>
      </w:pPr>
    </w:p>
    <w:p w14:paraId="60077806">
      <w:pPr>
        <w:pStyle w:val="2"/>
        <w:rPr>
          <w:rFonts w:hint="eastAsia" w:ascii="方正小标宋简体" w:hAnsi="方正小标宋简体" w:eastAsia="方正小标宋简体" w:cs="方正小标宋简体"/>
          <w:sz w:val="40"/>
          <w:szCs w:val="21"/>
          <w:highlight w:val="none"/>
        </w:rPr>
      </w:pPr>
    </w:p>
    <w:p w14:paraId="6691DED3">
      <w:pPr>
        <w:rPr>
          <w:rFonts w:hint="eastAsia" w:ascii="方正小标宋简体" w:hAnsi="方正小标宋简体" w:eastAsia="方正小标宋简体" w:cs="方正小标宋简体"/>
          <w:sz w:val="40"/>
          <w:szCs w:val="21"/>
          <w:highlight w:val="none"/>
        </w:rPr>
      </w:pPr>
    </w:p>
    <w:p w14:paraId="570E04B7">
      <w:pPr>
        <w:pStyle w:val="2"/>
        <w:rPr>
          <w:rFonts w:hint="eastAsia" w:ascii="方正小标宋简体" w:hAnsi="方正小标宋简体" w:eastAsia="方正小标宋简体" w:cs="方正小标宋简体"/>
          <w:sz w:val="40"/>
          <w:szCs w:val="21"/>
          <w:highlight w:val="none"/>
        </w:rPr>
      </w:pPr>
    </w:p>
    <w:p w14:paraId="6C571B18">
      <w:pPr>
        <w:pStyle w:val="2"/>
        <w:rPr>
          <w:rFonts w:hint="eastAsia"/>
          <w:highlight w:val="none"/>
        </w:rPr>
      </w:pPr>
    </w:p>
    <w:p w14:paraId="1E10498B">
      <w:pPr>
        <w:pageBreakBefore w:val="0"/>
        <w:widowControl w:val="0"/>
        <w:kinsoku/>
        <w:wordWrap/>
        <w:overflowPunct/>
        <w:topLinePunct w:val="0"/>
        <w:autoSpaceDE/>
        <w:autoSpaceDN/>
        <w:bidi w:val="0"/>
        <w:spacing w:before="118"/>
        <w:ind w:right="30"/>
        <w:jc w:val="center"/>
        <w:textAlignment w:val="auto"/>
        <w:outlineLvl w:val="9"/>
        <w:rPr>
          <w:rFonts w:hint="eastAsia" w:ascii="方正小标宋简体" w:hAnsi="方正小标宋简体" w:eastAsia="方正小标宋简体" w:cs="方正小标宋简体"/>
          <w:sz w:val="40"/>
          <w:szCs w:val="21"/>
          <w:highlight w:val="none"/>
        </w:rPr>
      </w:pPr>
    </w:p>
    <w:p w14:paraId="77A91596">
      <w:pPr>
        <w:pStyle w:val="7"/>
        <w:spacing w:line="460" w:lineRule="exact"/>
        <w:jc w:val="center"/>
        <w:rPr>
          <w:rFonts w:hint="eastAsia" w:ascii="宋体" w:hAnsi="宋体" w:eastAsia="宋体" w:cs="宋体"/>
          <w:b/>
          <w:bCs/>
          <w:sz w:val="36"/>
          <w:szCs w:val="36"/>
          <w:highlight w:val="none"/>
          <w:lang w:val="en-US" w:eastAsia="zh-CN"/>
        </w:rPr>
      </w:pPr>
      <w:r>
        <w:rPr>
          <w:rFonts w:hint="eastAsia" w:ascii="宋体" w:hAnsi="宋体" w:eastAsia="宋体" w:cs="宋体"/>
          <w:b/>
          <w:bCs/>
          <w:sz w:val="36"/>
          <w:szCs w:val="36"/>
          <w:highlight w:val="none"/>
          <w:lang w:val="en-US" w:eastAsia="zh-CN"/>
        </w:rPr>
        <w:t>设计成果知识产权及使用权承诺书</w:t>
      </w:r>
    </w:p>
    <w:p w14:paraId="1973AB8F">
      <w:pPr>
        <w:pStyle w:val="2"/>
        <w:pageBreakBefore w:val="0"/>
        <w:kinsoku/>
        <w:wordWrap/>
        <w:overflowPunct/>
        <w:topLinePunct w:val="0"/>
        <w:autoSpaceDE/>
        <w:autoSpaceDN/>
        <w:bidi w:val="0"/>
        <w:adjustRightInd/>
        <w:snapToGrid/>
        <w:spacing w:before="0" w:after="0"/>
        <w:textAlignment w:val="auto"/>
        <w:rPr>
          <w:rFonts w:hint="eastAsia"/>
          <w:highlight w:val="none"/>
          <w:lang w:val="en-US" w:eastAsia="zh-CN"/>
        </w:rPr>
      </w:pPr>
    </w:p>
    <w:p w14:paraId="4AEC1875">
      <w:pPr>
        <w:pStyle w:val="7"/>
        <w:spacing w:line="560" w:lineRule="exact"/>
        <w:rPr>
          <w:rFonts w:ascii="宋体" w:hAnsi="宋体" w:eastAsia="宋体"/>
          <w:sz w:val="24"/>
          <w:szCs w:val="24"/>
          <w:highlight w:val="none"/>
          <w:u w:val="single"/>
        </w:rPr>
      </w:pPr>
      <w:r>
        <w:rPr>
          <w:rFonts w:hint="eastAsia" w:ascii="宋体" w:hAnsi="宋体" w:eastAsia="宋体" w:cs="宋体"/>
          <w:sz w:val="24"/>
          <w:szCs w:val="24"/>
          <w:highlight w:val="none"/>
          <w:u w:val="single"/>
        </w:rPr>
        <w:t>中国重型汽车集团有限公司工会委员会：</w:t>
      </w:r>
    </w:p>
    <w:p w14:paraId="343AC60D">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本单位作为本次运动会项目的投标人，现就本次投标所提交的全部设计成果知识产权归属及使用事宜，依据《中华人民共和国民法典》《中华人民共和国著作权法》《中华人民共和国招标投标法》等法律法规，自愿作出如下不可撤销承诺：</w:t>
      </w:r>
    </w:p>
    <w:p w14:paraId="3A7A6257">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一、成果范围</w:t>
      </w:r>
    </w:p>
    <w:p w14:paraId="202FC845">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本承诺书所指设计成果，包含本单位本次投标提交的全部活动策划方案、场地布置方案、流程设计、视觉物料、效果图、施工图、创意文案及所有配套衍生成果等全部投标资料。</w:t>
      </w:r>
    </w:p>
    <w:p w14:paraId="5E028E24">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二、权属归属承诺</w:t>
      </w:r>
    </w:p>
    <w:p w14:paraId="06F9268B">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本单位自愿、无条件、不可撤销承诺：本次投标提交的全部设计成果，自递交招标人之日起，无偿、永久、独家归招标人所有，全部著作权、知识产权及衍生权益均归属招标人。招标人享有对设计成果的使用权、修改权、复制权、改编权、二次开发、公开宣传、项目落地及后续复用等全部合法权利，可自主处置、无偿使用，无需本单位另行同意，亦无需支付任何费用。本单位仅保留法定署名权，自愿放弃其余全部知识产权及相关诉求权利。</w:t>
      </w:r>
    </w:p>
    <w:p w14:paraId="03FEAFF5">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三、原创合规承诺</w:t>
      </w:r>
    </w:p>
    <w:p w14:paraId="3317F510">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本单位承诺本次投标设计成果为独立原创完成，无抄袭、剽窃、盗用第三方成果等情形，无任何权属争议与权利瑕疵，未侵犯任何第三方合法权益。若因设计成果权属问题引发投诉、诉讼、索赔等一切纠纷，均由本单位独立承担全部法律责任与经济赔偿责任，全额赔偿招标人因此产生的直接损失、间接损失及律师费、诉讼费等全部维权费用。</w:t>
      </w:r>
    </w:p>
    <w:p w14:paraId="7BE700A7">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四、无条件配合承诺</w:t>
      </w:r>
    </w:p>
    <w:p w14:paraId="4D28B386">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无论本单位是否中标本次项目，本承诺书效力持续有效。本单位无条件配合招标人使用、修改、优化、落地相关设计成果，无偿提供全套可编辑源文件、原始资料及配套材料，不得推诿、拒绝或以任何理由收取费用。同时，本单位承诺不得私自留存、传播、复用或授权第三方使用本次投标设计成果。</w:t>
      </w:r>
    </w:p>
    <w:p w14:paraId="21792156">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五、违约责任</w:t>
      </w:r>
    </w:p>
    <w:p w14:paraId="04084F61">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若本单位违反本承诺书任意条款，存在主张权属、擅自传播使用、拒不配合工作、成果侵权等违约行为，招标人有权取消本单位投标资格、中标资格及相关合作权益，本单位自愿按项目预算总价20%-50%向招标人支付违约金，违约金不足以弥补招标人损失的，本单位据实补足全部损失。</w:t>
      </w:r>
    </w:p>
    <w:p w14:paraId="7AE4DEB4">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六、其他说明</w:t>
      </w:r>
    </w:p>
    <w:p w14:paraId="5539C577">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1.本承诺书为本次投标文件的有效组成部分，与投标文件具有同等法律效力，承诺内容真实、有效、不可撤销。</w:t>
      </w:r>
    </w:p>
    <w:p w14:paraId="42BCF5C9">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2.本承诺书独立有效，不受项目中标、终止、解除等情形影响。</w:t>
      </w:r>
    </w:p>
    <w:p w14:paraId="3F6DDFCF">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3.因本承诺书产生的争议，协商不成的，提交招标人所在地人民法院诉讼解决。</w:t>
      </w:r>
    </w:p>
    <w:p w14:paraId="63A7D473">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特此承诺！</w:t>
      </w:r>
    </w:p>
    <w:p w14:paraId="5FE34B76">
      <w:pPr>
        <w:pStyle w:val="2"/>
        <w:rPr>
          <w:rFonts w:hint="eastAsia"/>
          <w:highlight w:val="none"/>
          <w:lang w:val="en-US" w:eastAsia="zh-CN"/>
        </w:rPr>
      </w:pPr>
    </w:p>
    <w:p w14:paraId="11EACBEE">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承诺单位（投标人公章）：________________________</w:t>
      </w:r>
    </w:p>
    <w:p w14:paraId="61C53374">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法定代表人/授权代表人（签字）：________________</w:t>
      </w:r>
    </w:p>
    <w:p w14:paraId="650DAAC7">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日期：______年____月____日</w:t>
      </w:r>
    </w:p>
    <w:p w14:paraId="107E8FC9">
      <w:pPr>
        <w:pStyle w:val="2"/>
        <w:rPr>
          <w:rFonts w:hint="eastAsia" w:ascii="宋体" w:hAnsi="宋体" w:eastAsia="宋体" w:cs="Times New Roman"/>
          <w:kern w:val="2"/>
          <w:sz w:val="24"/>
          <w:szCs w:val="24"/>
          <w:highlight w:val="none"/>
          <w:lang w:val="en-US" w:eastAsia="zh-CN" w:bidi="ar-SA"/>
        </w:rPr>
      </w:pPr>
    </w:p>
    <w:p w14:paraId="5977C84B">
      <w:pPr>
        <w:rPr>
          <w:rFonts w:hint="eastAsia" w:ascii="宋体" w:hAnsi="宋体" w:eastAsia="宋体" w:cs="Times New Roman"/>
          <w:kern w:val="2"/>
          <w:sz w:val="24"/>
          <w:szCs w:val="24"/>
          <w:highlight w:val="none"/>
          <w:lang w:val="en-US" w:eastAsia="zh-CN" w:bidi="ar-SA"/>
        </w:rPr>
      </w:pPr>
    </w:p>
    <w:p w14:paraId="412DAB2C">
      <w:pPr>
        <w:pStyle w:val="2"/>
        <w:rPr>
          <w:rFonts w:hint="eastAsia" w:ascii="宋体" w:hAnsi="宋体" w:eastAsia="宋体" w:cs="Times New Roman"/>
          <w:kern w:val="2"/>
          <w:sz w:val="24"/>
          <w:szCs w:val="24"/>
          <w:highlight w:val="none"/>
          <w:lang w:val="en-US" w:eastAsia="zh-CN" w:bidi="ar-SA"/>
        </w:rPr>
      </w:pPr>
    </w:p>
    <w:p w14:paraId="3391E2C7">
      <w:pPr>
        <w:pageBreakBefore w:val="0"/>
        <w:widowControl w:val="0"/>
        <w:kinsoku/>
        <w:wordWrap/>
        <w:overflowPunct/>
        <w:topLinePunct w:val="0"/>
        <w:autoSpaceDE/>
        <w:autoSpaceDN/>
        <w:bidi w:val="0"/>
        <w:spacing w:before="118"/>
        <w:ind w:right="30"/>
        <w:jc w:val="both"/>
        <w:textAlignment w:val="auto"/>
        <w:outlineLvl w:val="9"/>
        <w:rPr>
          <w:rFonts w:hint="eastAsia" w:ascii="方正小标宋简体" w:hAnsi="方正小标宋简体" w:eastAsia="方正小标宋简体" w:cs="方正小标宋简体"/>
          <w:sz w:val="40"/>
          <w:szCs w:val="21"/>
          <w:highlight w:val="none"/>
        </w:rPr>
      </w:pPr>
    </w:p>
    <w:p w14:paraId="140AAAF3">
      <w:pPr>
        <w:pageBreakBefore w:val="0"/>
        <w:widowControl w:val="0"/>
        <w:kinsoku/>
        <w:wordWrap/>
        <w:overflowPunct/>
        <w:topLinePunct w:val="0"/>
        <w:autoSpaceDE/>
        <w:autoSpaceDN/>
        <w:bidi w:val="0"/>
        <w:spacing w:before="118"/>
        <w:ind w:right="30"/>
        <w:jc w:val="center"/>
        <w:textAlignment w:val="auto"/>
        <w:outlineLvl w:val="9"/>
        <w:rPr>
          <w:rFonts w:hint="eastAsia" w:ascii="方正小标宋简体" w:hAnsi="方正小标宋简体" w:eastAsia="方正小标宋简体" w:cs="方正小标宋简体"/>
          <w:sz w:val="40"/>
          <w:szCs w:val="21"/>
          <w:highlight w:val="none"/>
        </w:rPr>
      </w:pPr>
    </w:p>
    <w:p w14:paraId="112E45AC">
      <w:pPr>
        <w:pageBreakBefore w:val="0"/>
        <w:widowControl w:val="0"/>
        <w:kinsoku/>
        <w:wordWrap/>
        <w:overflowPunct/>
        <w:topLinePunct w:val="0"/>
        <w:autoSpaceDE/>
        <w:autoSpaceDN/>
        <w:bidi w:val="0"/>
        <w:spacing w:before="118"/>
        <w:ind w:right="30"/>
        <w:jc w:val="center"/>
        <w:textAlignment w:val="auto"/>
        <w:outlineLvl w:val="9"/>
        <w:rPr>
          <w:rFonts w:ascii="楷体" w:hAnsi="楷体" w:eastAsia="楷体" w:cs="楷体"/>
          <w:sz w:val="40"/>
          <w:szCs w:val="21"/>
          <w:highlight w:val="none"/>
        </w:rPr>
      </w:pPr>
      <w:r>
        <w:rPr>
          <w:rFonts w:hint="eastAsia" w:ascii="方正小标宋简体" w:hAnsi="方正小标宋简体" w:eastAsia="方正小标宋简体" w:cs="方正小标宋简体"/>
          <w:sz w:val="40"/>
          <w:szCs w:val="21"/>
          <w:highlight w:val="none"/>
        </w:rPr>
        <w:t>廉洁诚信协议</w:t>
      </w:r>
      <w:bookmarkEnd w:id="28"/>
    </w:p>
    <w:p w14:paraId="478B8C13">
      <w:pPr>
        <w:pStyle w:val="7"/>
        <w:pageBreakBefore w:val="0"/>
        <w:widowControl w:val="0"/>
        <w:kinsoku/>
        <w:wordWrap/>
        <w:overflowPunct/>
        <w:topLinePunct w:val="0"/>
        <w:autoSpaceDE/>
        <w:autoSpaceDN/>
        <w:bidi w:val="0"/>
        <w:spacing w:before="8"/>
        <w:textAlignment w:val="auto"/>
        <w:outlineLvl w:val="9"/>
        <w:rPr>
          <w:rFonts w:ascii="楷体" w:hAnsi="楷体" w:eastAsia="楷体" w:cs="楷体"/>
          <w:sz w:val="44"/>
          <w:szCs w:val="28"/>
          <w:highlight w:val="none"/>
        </w:rPr>
      </w:pPr>
    </w:p>
    <w:p w14:paraId="59982504">
      <w:pPr>
        <w:pageBreakBefore w:val="0"/>
        <w:widowControl w:val="0"/>
        <w:kinsoku/>
        <w:wordWrap/>
        <w:overflowPunct/>
        <w:topLinePunct w:val="0"/>
        <w:autoSpaceDE/>
        <w:autoSpaceDN/>
        <w:bidi w:val="0"/>
        <w:spacing w:line="607" w:lineRule="auto"/>
        <w:ind w:left="117" w:right="3769"/>
        <w:textAlignment w:val="auto"/>
        <w:outlineLvl w:val="9"/>
        <w:rPr>
          <w:rFonts w:ascii="楷体" w:hAnsi="楷体" w:eastAsia="楷体" w:cs="楷体"/>
          <w:b/>
          <w:sz w:val="28"/>
          <w:szCs w:val="21"/>
          <w:highlight w:val="none"/>
        </w:rPr>
      </w:pPr>
      <w:r>
        <w:rPr>
          <w:rFonts w:hint="eastAsia" w:ascii="楷体" w:hAnsi="楷体" w:eastAsia="楷体" w:cs="楷体"/>
          <w:b/>
          <w:sz w:val="28"/>
          <w:szCs w:val="21"/>
          <w:highlight w:val="none"/>
        </w:rPr>
        <w:t>甲方：</w:t>
      </w:r>
    </w:p>
    <w:p w14:paraId="618AEF5D">
      <w:pPr>
        <w:pageBreakBefore w:val="0"/>
        <w:widowControl w:val="0"/>
        <w:kinsoku/>
        <w:wordWrap/>
        <w:overflowPunct/>
        <w:topLinePunct w:val="0"/>
        <w:autoSpaceDE/>
        <w:autoSpaceDN/>
        <w:bidi w:val="0"/>
        <w:spacing w:line="607" w:lineRule="auto"/>
        <w:ind w:left="117" w:right="3769"/>
        <w:textAlignment w:val="auto"/>
        <w:outlineLvl w:val="9"/>
        <w:rPr>
          <w:rFonts w:ascii="楷体" w:hAnsi="楷体" w:eastAsia="楷体" w:cs="楷体"/>
          <w:b/>
          <w:sz w:val="28"/>
          <w:szCs w:val="21"/>
          <w:highlight w:val="none"/>
        </w:rPr>
      </w:pPr>
      <w:r>
        <w:rPr>
          <w:rFonts w:hint="eastAsia" w:ascii="楷体" w:hAnsi="楷体" w:eastAsia="楷体" w:cs="楷体"/>
          <w:b/>
          <w:sz w:val="28"/>
          <w:szCs w:val="21"/>
          <w:highlight w:val="none"/>
        </w:rPr>
        <w:t>乙方：</w:t>
      </w:r>
    </w:p>
    <w:p w14:paraId="31E02ABB">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hint="eastAsia" w:ascii="楷体" w:hAnsi="楷体" w:eastAsia="楷体" w:cs="楷体"/>
          <w:spacing w:val="-2"/>
          <w:sz w:val="28"/>
          <w:szCs w:val="28"/>
          <w:highlight w:val="none"/>
          <w:lang w:eastAsia="zh-CN"/>
        </w:rPr>
        <w:t>，</w:t>
      </w:r>
      <w:r>
        <w:rPr>
          <w:rFonts w:ascii="楷体" w:hAnsi="楷体" w:eastAsia="楷体" w:cs="楷体"/>
          <w:spacing w:val="-2"/>
          <w:sz w:val="28"/>
          <w:szCs w:val="28"/>
          <w:highlight w:val="none"/>
        </w:rPr>
        <w:t>共同加强廉洁自律建设，甲乙双方在平等、自愿、协商一致的原则下，签订本协议。</w:t>
      </w:r>
    </w:p>
    <w:p w14:paraId="24E80F0B">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1.甲乙双方应当共同遵守国家、地方法律法规以及本协议的约定，在合同的订立、履行过程中廉洁自律，绝不弄虚作假、以次充好，虚结虚算。</w:t>
      </w:r>
    </w:p>
    <w:p w14:paraId="647F8BC2">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2.乙方声明并承诺甲方人员或其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和其他特定关系人（甲方人员为领导干部的，其他特定关系人包含身边工作人员）</w:t>
      </w:r>
      <w:r>
        <w:rPr>
          <w:rFonts w:ascii="楷体" w:hAnsi="楷体" w:eastAsia="楷体" w:cs="楷体"/>
          <w:spacing w:val="-2"/>
          <w:sz w:val="28"/>
          <w:szCs w:val="28"/>
          <w:highlight w:val="none"/>
        </w:rPr>
        <w:t>没有直接或间接投资乙方或持有乙方股权，没有直接或间接投资乙方关联企业或持有乙方关联企业股权。</w:t>
      </w:r>
    </w:p>
    <w:p w14:paraId="473FFC6A">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3.乙方承诺乙方或乙方关联企业股东、实际出资人或持股人、高管、主要业务人员不得与甲方人员或其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w:t>
      </w:r>
      <w:r>
        <w:rPr>
          <w:rFonts w:ascii="楷体" w:hAnsi="楷体" w:eastAsia="楷体" w:cs="楷体"/>
          <w:spacing w:val="-2"/>
          <w:sz w:val="28"/>
          <w:szCs w:val="28"/>
          <w:highlight w:val="none"/>
        </w:rPr>
        <w:t>共同成立公司，不得聘请甲方人员或其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w:t>
      </w:r>
      <w:r>
        <w:rPr>
          <w:rFonts w:ascii="楷体" w:hAnsi="楷体" w:eastAsia="楷体" w:cs="楷体"/>
          <w:spacing w:val="-2"/>
          <w:sz w:val="28"/>
          <w:szCs w:val="28"/>
          <w:highlight w:val="none"/>
        </w:rPr>
        <w:t>在乙方或乙方关联企业股东或实际出资人或高管或主要业务人员成立的企业中担任高管或为其</w:t>
      </w:r>
      <w:r>
        <w:rPr>
          <w:rFonts w:hint="eastAsia" w:ascii="楷体" w:hAnsi="楷体" w:eastAsia="楷体" w:cs="楷体"/>
          <w:spacing w:val="-2"/>
          <w:sz w:val="28"/>
          <w:szCs w:val="28"/>
          <w:highlight w:val="none"/>
        </w:rPr>
        <w:t>违规</w:t>
      </w:r>
      <w:r>
        <w:rPr>
          <w:rFonts w:ascii="楷体" w:hAnsi="楷体" w:eastAsia="楷体" w:cs="楷体"/>
          <w:spacing w:val="-2"/>
          <w:sz w:val="28"/>
          <w:szCs w:val="28"/>
          <w:highlight w:val="none"/>
        </w:rPr>
        <w:t>发放薪酬。</w:t>
      </w:r>
      <w:r>
        <w:rPr>
          <w:rFonts w:hint="eastAsia" w:ascii="楷体" w:hAnsi="楷体" w:eastAsia="楷体" w:cs="楷体"/>
          <w:spacing w:val="-2"/>
          <w:sz w:val="28"/>
          <w:szCs w:val="28"/>
          <w:highlight w:val="none"/>
        </w:rPr>
        <w:t>违规发放薪酬包括不实际工作而获取薪酬或者虽实际工作但领取明显超出同职级标准薪酬。</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若乙方为甲方</w:t>
      </w:r>
      <w:r>
        <w:rPr>
          <w:rFonts w:ascii="楷体" w:hAnsi="楷体" w:eastAsia="楷体" w:cs="楷体"/>
          <w:spacing w:val="-2"/>
          <w:sz w:val="28"/>
          <w:szCs w:val="28"/>
          <w:highlight w:val="none"/>
        </w:rPr>
        <w:t>新</w:t>
      </w:r>
      <w:r>
        <w:rPr>
          <w:rFonts w:hint="eastAsia" w:ascii="楷体" w:hAnsi="楷体" w:eastAsia="楷体" w:cs="楷体"/>
          <w:spacing w:val="-2"/>
          <w:sz w:val="28"/>
          <w:szCs w:val="28"/>
          <w:highlight w:val="none"/>
        </w:rPr>
        <w:t>合作伙伴</w:t>
      </w:r>
      <w:r>
        <w:rPr>
          <w:rFonts w:ascii="楷体" w:hAnsi="楷体" w:eastAsia="楷体" w:cs="楷体"/>
          <w:spacing w:val="-2"/>
          <w:sz w:val="28"/>
          <w:szCs w:val="28"/>
          <w:highlight w:val="none"/>
        </w:rPr>
        <w:t>，如在本协议签订前乙方存在本条规定情形的，需在本协议签订后30日内，将相关情况报</w:t>
      </w:r>
      <w:r>
        <w:rPr>
          <w:rFonts w:hint="eastAsia" w:ascii="楷体" w:hAnsi="楷体" w:eastAsia="楷体" w:cs="楷体"/>
          <w:spacing w:val="-2"/>
          <w:sz w:val="28"/>
          <w:szCs w:val="28"/>
          <w:highlight w:val="none"/>
        </w:rPr>
        <w:t>甲方所属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w:t>
      </w:r>
      <w:r>
        <w:rPr>
          <w:rFonts w:hint="eastAsia" w:ascii="楷体" w:hAnsi="楷体" w:eastAsia="楷体" w:cs="楷体"/>
          <w:spacing w:val="-2"/>
          <w:sz w:val="28"/>
          <w:szCs w:val="28"/>
          <w:highlight w:val="none"/>
        </w:rPr>
        <w:t>门</w:t>
      </w:r>
      <w:r>
        <w:rPr>
          <w:rFonts w:ascii="楷体" w:hAnsi="楷体" w:eastAsia="楷体" w:cs="楷体"/>
          <w:spacing w:val="-2"/>
          <w:sz w:val="28"/>
          <w:szCs w:val="28"/>
          <w:highlight w:val="none"/>
        </w:rPr>
        <w:t>备案）。</w:t>
      </w:r>
    </w:p>
    <w:p w14:paraId="13B3D9FA">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4.乙方承诺依法开展经营活动，不得有任何形式的商业贿赂行为。乙方一经发现其员工或其</w:t>
      </w:r>
      <w:r>
        <w:rPr>
          <w:rFonts w:hint="eastAsia" w:ascii="楷体" w:hAnsi="楷体" w:eastAsia="楷体" w:cs="楷体"/>
          <w:spacing w:val="-2"/>
          <w:sz w:val="28"/>
          <w:szCs w:val="28"/>
          <w:highlight w:val="none"/>
        </w:rPr>
        <w:t>配偶、子女及其配偶等亲属和其他特定关系人</w:t>
      </w:r>
      <w:r>
        <w:rPr>
          <w:rFonts w:ascii="楷体" w:hAnsi="楷体" w:eastAsia="楷体" w:cs="楷体"/>
          <w:spacing w:val="-2"/>
          <w:sz w:val="28"/>
          <w:szCs w:val="28"/>
          <w:highlight w:val="none"/>
        </w:rPr>
        <w:t>存在任何商业贿赂行为，应立即通知甲方并自行进行查处和整改。若甲方认为上述行为严重影响到甲方的利益，则甲方有权单方解除双方</w:t>
      </w:r>
      <w:r>
        <w:rPr>
          <w:rFonts w:hint="eastAsia" w:ascii="楷体" w:hAnsi="楷体" w:eastAsia="楷体" w:cs="楷体"/>
          <w:spacing w:val="-2"/>
          <w:sz w:val="28"/>
          <w:szCs w:val="28"/>
          <w:highlight w:val="none"/>
        </w:rPr>
        <w:t>已</w:t>
      </w:r>
      <w:r>
        <w:rPr>
          <w:rFonts w:ascii="楷体" w:hAnsi="楷体" w:eastAsia="楷体" w:cs="楷体"/>
          <w:spacing w:val="-2"/>
          <w:sz w:val="28"/>
          <w:szCs w:val="28"/>
          <w:highlight w:val="none"/>
        </w:rPr>
        <w:t>签订的</w:t>
      </w:r>
      <w:r>
        <w:rPr>
          <w:rFonts w:hint="eastAsia" w:ascii="楷体" w:hAnsi="楷体" w:eastAsia="楷体" w:cs="楷体"/>
          <w:spacing w:val="-2"/>
          <w:sz w:val="28"/>
          <w:szCs w:val="28"/>
          <w:highlight w:val="none"/>
        </w:rPr>
        <w:t>所有合同</w:t>
      </w:r>
      <w:r>
        <w:rPr>
          <w:rFonts w:ascii="楷体" w:hAnsi="楷体" w:eastAsia="楷体" w:cs="楷体"/>
          <w:spacing w:val="-2"/>
          <w:sz w:val="28"/>
          <w:szCs w:val="28"/>
          <w:highlight w:val="none"/>
        </w:rPr>
        <w:t>协议，并要求乙方赔偿。</w:t>
      </w:r>
    </w:p>
    <w:p w14:paraId="797A5F39">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5.乙方承诺不以任何理由为甲方人员及其</w:t>
      </w:r>
      <w:r>
        <w:rPr>
          <w:rFonts w:hint="eastAsia" w:ascii="楷体" w:hAnsi="楷体" w:eastAsia="楷体" w:cs="楷体"/>
          <w:spacing w:val="-2"/>
          <w:sz w:val="28"/>
          <w:szCs w:val="28"/>
          <w:highlight w:val="none"/>
        </w:rPr>
        <w:t>配偶、子女及其配偶等亲属和其他特定关系人提供如下：</w:t>
      </w:r>
    </w:p>
    <w:p w14:paraId="7D20BF57">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a)</w:t>
      </w:r>
      <w:r>
        <w:rPr>
          <w:rFonts w:ascii="楷体" w:hAnsi="楷体" w:eastAsia="楷体" w:cs="楷体"/>
          <w:spacing w:val="-2"/>
          <w:sz w:val="28"/>
          <w:szCs w:val="28"/>
          <w:highlight w:val="none"/>
        </w:rPr>
        <w:t>赠送</w:t>
      </w:r>
      <w:r>
        <w:rPr>
          <w:rFonts w:hint="eastAsia" w:ascii="楷体" w:hAnsi="楷体" w:eastAsia="楷体" w:cs="楷体"/>
          <w:spacing w:val="-2"/>
          <w:sz w:val="28"/>
          <w:szCs w:val="28"/>
          <w:highlight w:val="none"/>
        </w:rPr>
        <w:t>礼品、</w:t>
      </w:r>
      <w:r>
        <w:rPr>
          <w:rFonts w:ascii="楷体" w:hAnsi="楷体" w:eastAsia="楷体" w:cs="楷体"/>
          <w:spacing w:val="-2"/>
          <w:sz w:val="28"/>
          <w:szCs w:val="28"/>
          <w:highlight w:val="none"/>
        </w:rPr>
        <w:t>礼金、</w:t>
      </w:r>
      <w:r>
        <w:rPr>
          <w:rFonts w:hint="eastAsia" w:ascii="楷体" w:hAnsi="楷体" w:eastAsia="楷体" w:cs="楷体"/>
          <w:spacing w:val="-2"/>
          <w:sz w:val="28"/>
          <w:szCs w:val="28"/>
          <w:highlight w:val="none"/>
        </w:rPr>
        <w:t>消费卡（券）、</w:t>
      </w:r>
      <w:r>
        <w:rPr>
          <w:rFonts w:ascii="楷体" w:hAnsi="楷体" w:eastAsia="楷体" w:cs="楷体"/>
          <w:spacing w:val="-2"/>
          <w:sz w:val="28"/>
          <w:szCs w:val="28"/>
          <w:highlight w:val="none"/>
        </w:rPr>
        <w:t>购物卡、充值卡、信用卡</w:t>
      </w:r>
      <w:r>
        <w:rPr>
          <w:rFonts w:hint="eastAsia" w:ascii="楷体" w:hAnsi="楷体" w:eastAsia="楷体" w:cs="楷体"/>
          <w:spacing w:val="-2"/>
          <w:sz w:val="28"/>
          <w:szCs w:val="28"/>
          <w:highlight w:val="none"/>
        </w:rPr>
        <w:t>和</w:t>
      </w:r>
      <w:r>
        <w:rPr>
          <w:rFonts w:ascii="楷体" w:hAnsi="楷体" w:eastAsia="楷体" w:cs="楷体"/>
          <w:spacing w:val="-2"/>
          <w:sz w:val="28"/>
          <w:szCs w:val="28"/>
          <w:highlight w:val="none"/>
        </w:rPr>
        <w:t>有价证券</w:t>
      </w:r>
      <w:r>
        <w:rPr>
          <w:rFonts w:hint="eastAsia" w:ascii="楷体" w:hAnsi="楷体" w:eastAsia="楷体" w:cs="楷体"/>
          <w:spacing w:val="-2"/>
          <w:sz w:val="28"/>
          <w:szCs w:val="28"/>
          <w:highlight w:val="none"/>
        </w:rPr>
        <w:t>、股权、其他金融产品等财物</w:t>
      </w:r>
      <w:r>
        <w:rPr>
          <w:rFonts w:ascii="楷体" w:hAnsi="楷体" w:eastAsia="楷体" w:cs="楷体"/>
          <w:spacing w:val="-2"/>
          <w:sz w:val="28"/>
          <w:szCs w:val="28"/>
          <w:highlight w:val="none"/>
        </w:rPr>
        <w:t>和其他贵重物品；</w:t>
      </w:r>
    </w:p>
    <w:p w14:paraId="2AFF6A6D">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b)</w:t>
      </w:r>
      <w:r>
        <w:rPr>
          <w:rFonts w:ascii="楷体" w:hAnsi="楷体" w:eastAsia="楷体" w:cs="楷体"/>
          <w:spacing w:val="-2"/>
          <w:sz w:val="28"/>
          <w:szCs w:val="28"/>
          <w:highlight w:val="none"/>
        </w:rPr>
        <w:t>报销个人费用</w:t>
      </w:r>
      <w:r>
        <w:rPr>
          <w:rFonts w:hint="eastAsia" w:ascii="楷体" w:hAnsi="楷体" w:eastAsia="楷体" w:cs="楷体"/>
          <w:spacing w:val="-2"/>
          <w:sz w:val="28"/>
          <w:szCs w:val="28"/>
          <w:highlight w:val="none"/>
        </w:rPr>
        <w:t>或以讲课费、课题费、咨询费等名义支付费用</w:t>
      </w:r>
      <w:r>
        <w:rPr>
          <w:rFonts w:ascii="楷体" w:hAnsi="楷体" w:eastAsia="楷体" w:cs="楷体"/>
          <w:spacing w:val="-2"/>
          <w:sz w:val="28"/>
          <w:szCs w:val="28"/>
          <w:highlight w:val="none"/>
        </w:rPr>
        <w:t>；</w:t>
      </w:r>
    </w:p>
    <w:p w14:paraId="748AB869">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c)</w:t>
      </w:r>
      <w:r>
        <w:rPr>
          <w:rFonts w:ascii="楷体" w:hAnsi="楷体" w:eastAsia="楷体" w:cs="楷体"/>
          <w:spacing w:val="-2"/>
          <w:sz w:val="28"/>
          <w:szCs w:val="28"/>
          <w:highlight w:val="none"/>
        </w:rPr>
        <w:t>以洽谈业务、签订合同等为借口宴请或邀请外出旅游</w:t>
      </w:r>
      <w:r>
        <w:rPr>
          <w:rFonts w:hint="eastAsia" w:ascii="楷体" w:hAnsi="楷体" w:eastAsia="楷体" w:cs="楷体"/>
          <w:spacing w:val="-2"/>
          <w:sz w:val="28"/>
          <w:szCs w:val="28"/>
          <w:highlight w:val="none"/>
        </w:rPr>
        <w:t>、健身、娱乐</w:t>
      </w:r>
      <w:r>
        <w:rPr>
          <w:rFonts w:ascii="楷体" w:hAnsi="楷体" w:eastAsia="楷体" w:cs="楷体"/>
          <w:spacing w:val="-2"/>
          <w:sz w:val="28"/>
          <w:szCs w:val="28"/>
          <w:highlight w:val="none"/>
        </w:rPr>
        <w:t>和进入营业性娱乐场所；</w:t>
      </w:r>
    </w:p>
    <w:p w14:paraId="42DF0C62">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d)</w:t>
      </w:r>
      <w:r>
        <w:rPr>
          <w:rFonts w:ascii="楷体" w:hAnsi="楷体" w:eastAsia="楷体" w:cs="楷体"/>
          <w:spacing w:val="-2"/>
          <w:sz w:val="28"/>
          <w:szCs w:val="28"/>
          <w:highlight w:val="none"/>
        </w:rPr>
        <w:t>购置或提供通讯、交通工具</w:t>
      </w:r>
      <w:r>
        <w:rPr>
          <w:rFonts w:hint="eastAsia" w:ascii="楷体" w:hAnsi="楷体" w:eastAsia="楷体" w:cs="楷体"/>
          <w:spacing w:val="-2"/>
          <w:sz w:val="28"/>
          <w:szCs w:val="28"/>
          <w:highlight w:val="none"/>
        </w:rPr>
        <w:t>、钱款、住房、车辆等或提供通过民间借贷等金融助其获得大额回报</w:t>
      </w:r>
      <w:r>
        <w:rPr>
          <w:rFonts w:ascii="楷体" w:hAnsi="楷体" w:eastAsia="楷体" w:cs="楷体"/>
          <w:spacing w:val="-2"/>
          <w:sz w:val="28"/>
          <w:szCs w:val="28"/>
          <w:highlight w:val="none"/>
        </w:rPr>
        <w:t>；</w:t>
      </w:r>
    </w:p>
    <w:p w14:paraId="6CA0A73C">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e)</w:t>
      </w:r>
      <w:r>
        <w:rPr>
          <w:rFonts w:ascii="楷体" w:hAnsi="楷体" w:eastAsia="楷体" w:cs="楷体"/>
          <w:spacing w:val="-2"/>
          <w:sz w:val="28"/>
          <w:szCs w:val="28"/>
          <w:highlight w:val="none"/>
        </w:rPr>
        <w:t>住房装修、婚丧嫁娶、家属和子女的工作安排以及出国等提供任何金钱或非金钱方式的资助或帮助</w:t>
      </w:r>
      <w:r>
        <w:rPr>
          <w:rFonts w:hint="eastAsia" w:ascii="楷体" w:hAnsi="楷体" w:eastAsia="楷体" w:cs="楷体"/>
          <w:spacing w:val="-2"/>
          <w:sz w:val="28"/>
          <w:szCs w:val="28"/>
          <w:highlight w:val="none"/>
        </w:rPr>
        <w:t>；</w:t>
      </w:r>
    </w:p>
    <w:p w14:paraId="65342DFD">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f)吸收存款、推销金融产品、经营名贵特产类资源等提供帮助谋取利益；</w:t>
      </w:r>
    </w:p>
    <w:p w14:paraId="66E7C560">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g)其他可能影响甲方人员公平、公正的履行职权或者履行职责的情形</w:t>
      </w:r>
      <w:r>
        <w:rPr>
          <w:rFonts w:ascii="楷体" w:hAnsi="楷体" w:eastAsia="楷体" w:cs="楷体"/>
          <w:spacing w:val="-2"/>
          <w:sz w:val="28"/>
          <w:szCs w:val="28"/>
          <w:highlight w:val="none"/>
        </w:rPr>
        <w:t>。</w:t>
      </w:r>
    </w:p>
    <w:p w14:paraId="68C1E158">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6.乙方应当通过正常途径开展相关业务，决不为谋取不正当利益诱使甲方人员就</w:t>
      </w:r>
      <w:r>
        <w:rPr>
          <w:rFonts w:hint="eastAsia" w:ascii="楷体" w:hAnsi="楷体" w:eastAsia="楷体" w:cs="楷体"/>
          <w:spacing w:val="-2"/>
          <w:sz w:val="28"/>
          <w:szCs w:val="28"/>
          <w:highlight w:val="none"/>
        </w:rPr>
        <w:t>采购、服务或销售、经销的物项种类</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物项</w:t>
      </w:r>
      <w:r>
        <w:rPr>
          <w:rFonts w:ascii="楷体" w:hAnsi="楷体" w:eastAsia="楷体" w:cs="楷体"/>
          <w:spacing w:val="-2"/>
          <w:sz w:val="28"/>
          <w:szCs w:val="28"/>
          <w:highlight w:val="none"/>
        </w:rPr>
        <w:t>数量、价格</w:t>
      </w:r>
      <w:r>
        <w:rPr>
          <w:rFonts w:hint="eastAsia" w:ascii="楷体" w:hAnsi="楷体" w:eastAsia="楷体" w:cs="楷体"/>
          <w:spacing w:val="-2"/>
          <w:sz w:val="28"/>
          <w:szCs w:val="28"/>
          <w:highlight w:val="none"/>
        </w:rPr>
        <w:t>条件</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付款条件、</w:t>
      </w:r>
      <w:r>
        <w:rPr>
          <w:rFonts w:ascii="楷体" w:hAnsi="楷体" w:eastAsia="楷体" w:cs="楷体"/>
          <w:spacing w:val="-2"/>
          <w:sz w:val="28"/>
          <w:szCs w:val="28"/>
          <w:highlight w:val="none"/>
        </w:rPr>
        <w:t>质量问题处理等方面私下商谈或达成默契</w:t>
      </w:r>
      <w:r>
        <w:rPr>
          <w:rFonts w:hint="eastAsia" w:ascii="楷体" w:hAnsi="楷体" w:eastAsia="楷体" w:cs="楷体"/>
          <w:spacing w:val="-2"/>
          <w:sz w:val="28"/>
          <w:szCs w:val="28"/>
          <w:highlight w:val="none"/>
        </w:rPr>
        <w:t>；</w:t>
      </w:r>
      <w:r>
        <w:rPr>
          <w:rFonts w:ascii="楷体" w:hAnsi="楷体" w:eastAsia="楷体" w:cs="楷体"/>
          <w:spacing w:val="-2"/>
          <w:sz w:val="28"/>
          <w:szCs w:val="28"/>
          <w:highlight w:val="none"/>
        </w:rPr>
        <w:t>决不以任何方式诱使甲方人员接受或共同编造虚假议价及质量资料、影响交易价格或交易之达成、违背职务、将合同权利义务转让给第三方及其它损害甲方利益的行为。</w:t>
      </w:r>
    </w:p>
    <w:p w14:paraId="33FDEC84">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7.若乙方发现甲方人员或其</w:t>
      </w:r>
      <w:r>
        <w:rPr>
          <w:rFonts w:hint="eastAsia" w:ascii="楷体" w:hAnsi="楷体" w:eastAsia="楷体" w:cs="楷体"/>
          <w:spacing w:val="-2"/>
          <w:sz w:val="28"/>
          <w:szCs w:val="28"/>
          <w:highlight w:val="none"/>
        </w:rPr>
        <w:t>配偶、子女及其配偶等亲属和其他特定关系人</w:t>
      </w:r>
      <w:r>
        <w:rPr>
          <w:rFonts w:ascii="楷体" w:hAnsi="楷体" w:eastAsia="楷体" w:cs="楷体"/>
          <w:spacing w:val="-2"/>
          <w:sz w:val="28"/>
          <w:szCs w:val="28"/>
          <w:highlight w:val="none"/>
        </w:rPr>
        <w:t>有任何形式的索贿受贿行为，乙方有责任向甲方</w:t>
      </w:r>
      <w:r>
        <w:rPr>
          <w:rFonts w:hint="eastAsia" w:ascii="楷体" w:hAnsi="楷体" w:eastAsia="楷体" w:cs="楷体"/>
          <w:spacing w:val="-2"/>
          <w:sz w:val="28"/>
          <w:szCs w:val="28"/>
          <w:highlight w:val="none"/>
        </w:rPr>
        <w:t>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纪委监察部门举报（举报电话：0531-58062233，举报邮箱：jianchabu@sinotruk.com）。甲方不得</w:t>
      </w:r>
      <w:r>
        <w:rPr>
          <w:rFonts w:hint="eastAsia" w:ascii="楷体" w:hAnsi="楷体" w:eastAsia="楷体" w:cs="楷体"/>
          <w:spacing w:val="-2"/>
          <w:sz w:val="28"/>
          <w:szCs w:val="28"/>
          <w:highlight w:val="none"/>
        </w:rPr>
        <w:t>以</w:t>
      </w:r>
      <w:r>
        <w:rPr>
          <w:rFonts w:ascii="楷体" w:hAnsi="楷体" w:eastAsia="楷体" w:cs="楷体"/>
          <w:spacing w:val="-2"/>
          <w:sz w:val="28"/>
          <w:szCs w:val="28"/>
          <w:highlight w:val="none"/>
        </w:rPr>
        <w:t>任何借口对乙方进行报复。对举报属实和严格遵守廉洁协议的乙方，在同等条件下甲方优先考虑与乙方继续合作并给予更优惠的商务合作条件。</w:t>
      </w:r>
    </w:p>
    <w:p w14:paraId="4D7F9BB1">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8.若乙方知悉其它与甲方合作的供应商</w:t>
      </w:r>
      <w:r>
        <w:rPr>
          <w:rFonts w:hint="eastAsia" w:ascii="楷体" w:hAnsi="楷体" w:eastAsia="楷体" w:cs="楷体"/>
          <w:spacing w:val="-2"/>
          <w:sz w:val="28"/>
          <w:szCs w:val="28"/>
          <w:highlight w:val="none"/>
        </w:rPr>
        <w:t>、服务商或采购商、经销商等合作伙伴</w:t>
      </w:r>
      <w:r>
        <w:rPr>
          <w:rFonts w:ascii="楷体" w:hAnsi="楷体" w:eastAsia="楷体" w:cs="楷体"/>
          <w:spacing w:val="-2"/>
          <w:sz w:val="28"/>
          <w:szCs w:val="28"/>
          <w:highlight w:val="none"/>
        </w:rPr>
        <w:t>存在违反本协议规定之行为，乙方应向甲方</w:t>
      </w:r>
      <w:r>
        <w:rPr>
          <w:rFonts w:hint="eastAsia" w:ascii="楷体" w:hAnsi="楷体" w:eastAsia="楷体" w:cs="楷体"/>
          <w:spacing w:val="-2"/>
          <w:sz w:val="28"/>
          <w:szCs w:val="28"/>
          <w:highlight w:val="none"/>
        </w:rPr>
        <w:t>或</w:t>
      </w:r>
      <w:r>
        <w:rPr>
          <w:rFonts w:ascii="楷体" w:hAnsi="楷体" w:eastAsia="楷体" w:cs="楷体"/>
          <w:spacing w:val="-2"/>
          <w:sz w:val="28"/>
          <w:szCs w:val="28"/>
          <w:highlight w:val="none"/>
        </w:rPr>
        <w:t>甲方</w:t>
      </w:r>
      <w:r>
        <w:rPr>
          <w:rFonts w:hint="eastAsia" w:ascii="楷体" w:hAnsi="楷体" w:eastAsia="楷体" w:cs="楷体"/>
          <w:spacing w:val="-2"/>
          <w:sz w:val="28"/>
          <w:szCs w:val="28"/>
          <w:highlight w:val="none"/>
        </w:rPr>
        <w:t>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纪委监察部门检举并提供证据。</w:t>
      </w:r>
    </w:p>
    <w:p w14:paraId="769E8000">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9.乙方承诺在双方业务往来期间，不得对甲方人员采取任何手段使其离开甲方到乙方或乙方关联企业任职，若出现上述情况，则属于乙方违约，应承担给甲方造成的一切损失。</w:t>
      </w:r>
    </w:p>
    <w:p w14:paraId="0087D656">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10.乙方承诺不聘任甲方内退领导干部或其他人员在乙方或乙方关联企业工作；乙方承诺不聘任甲方离职或退休三年内的领导干部或其他人员在乙方或乙方关联企业工作。</w:t>
      </w:r>
    </w:p>
    <w:p w14:paraId="4DCE8552">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14483402">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spacing w:val="-2"/>
          <w:sz w:val="28"/>
          <w:szCs w:val="28"/>
          <w:highlight w:val="none"/>
        </w:rPr>
        <w:t>等</w:t>
      </w:r>
      <w:r>
        <w:rPr>
          <w:rFonts w:ascii="楷体" w:hAnsi="楷体" w:eastAsia="楷体" w:cs="楷体"/>
          <w:spacing w:val="-2"/>
          <w:sz w:val="28"/>
          <w:szCs w:val="28"/>
          <w:highlight w:val="none"/>
        </w:rPr>
        <w:t>能够对其实际支配的企业或单位。</w:t>
      </w:r>
    </w:p>
    <w:p w14:paraId="1FD07F0B">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4F2CB2AA">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2CFD5895">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045A8B89">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14.本协议作为执行</w:t>
      </w:r>
      <w:r>
        <w:rPr>
          <w:rFonts w:hint="eastAsia" w:ascii="楷体" w:hAnsi="楷体" w:eastAsia="楷体" w:cs="楷体"/>
          <w:spacing w:val="-2"/>
          <w:sz w:val="28"/>
          <w:szCs w:val="28"/>
          <w:highlight w:val="none"/>
        </w:rPr>
        <w:t>甲乙双方</w:t>
      </w:r>
      <w:r>
        <w:rPr>
          <w:rFonts w:ascii="楷体" w:hAnsi="楷体" w:eastAsia="楷体" w:cs="楷体"/>
          <w:spacing w:val="-2"/>
          <w:sz w:val="28"/>
          <w:szCs w:val="28"/>
          <w:highlight w:val="none"/>
        </w:rPr>
        <w:t>采购协议</w:t>
      </w:r>
      <w:r>
        <w:rPr>
          <w:rFonts w:hint="eastAsia" w:ascii="楷体" w:hAnsi="楷体" w:eastAsia="楷体" w:cs="楷体"/>
          <w:spacing w:val="-2"/>
          <w:sz w:val="28"/>
          <w:szCs w:val="28"/>
          <w:highlight w:val="none"/>
        </w:rPr>
        <w:t>或其他合作合同、协议</w:t>
      </w:r>
      <w:r>
        <w:rPr>
          <w:rFonts w:ascii="楷体" w:hAnsi="楷体" w:eastAsia="楷体" w:cs="楷体"/>
          <w:spacing w:val="-2"/>
          <w:sz w:val="28"/>
          <w:szCs w:val="28"/>
          <w:highlight w:val="none"/>
        </w:rPr>
        <w:t>的附件，自双方签署之日起生效，此协议在</w:t>
      </w:r>
      <w:r>
        <w:rPr>
          <w:rFonts w:hint="eastAsia" w:ascii="楷体" w:hAnsi="楷体" w:eastAsia="楷体" w:cs="楷体"/>
          <w:spacing w:val="-2"/>
          <w:sz w:val="28"/>
          <w:szCs w:val="28"/>
          <w:highlight w:val="none"/>
        </w:rPr>
        <w:t>甲乙</w:t>
      </w:r>
      <w:r>
        <w:rPr>
          <w:rFonts w:ascii="楷体" w:hAnsi="楷体" w:eastAsia="楷体" w:cs="楷体"/>
          <w:spacing w:val="-2"/>
          <w:sz w:val="28"/>
          <w:szCs w:val="28"/>
          <w:highlight w:val="none"/>
        </w:rPr>
        <w:t>双方</w:t>
      </w:r>
      <w:r>
        <w:rPr>
          <w:rFonts w:hint="eastAsia" w:ascii="楷体" w:hAnsi="楷体" w:eastAsia="楷体" w:cs="楷体"/>
          <w:spacing w:val="-2"/>
          <w:sz w:val="28"/>
          <w:szCs w:val="28"/>
          <w:highlight w:val="none"/>
        </w:rPr>
        <w:t>业务</w:t>
      </w:r>
      <w:r>
        <w:rPr>
          <w:rFonts w:ascii="楷体" w:hAnsi="楷体" w:eastAsia="楷体" w:cs="楷体"/>
          <w:spacing w:val="-2"/>
          <w:sz w:val="28"/>
          <w:szCs w:val="28"/>
          <w:highlight w:val="none"/>
        </w:rPr>
        <w:t>合作期间有效</w:t>
      </w:r>
      <w:r>
        <w:rPr>
          <w:rFonts w:hint="eastAsia" w:ascii="楷体" w:hAnsi="楷体" w:eastAsia="楷体" w:cs="楷体"/>
          <w:spacing w:val="-2"/>
          <w:sz w:val="28"/>
          <w:szCs w:val="28"/>
          <w:highlight w:val="none"/>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007FA713">
      <w:pPr>
        <w:pStyle w:val="44"/>
        <w:pageBreakBefore w:val="0"/>
        <w:widowControl w:val="0"/>
        <w:tabs>
          <w:tab w:val="left" w:pos="1244"/>
        </w:tabs>
        <w:kinsoku/>
        <w:wordWrap/>
        <w:overflowPunct/>
        <w:topLinePunct w:val="0"/>
        <w:autoSpaceDE/>
        <w:autoSpaceDN/>
        <w:bidi w:val="0"/>
        <w:adjustRightInd w:val="0"/>
        <w:spacing w:line="305" w:lineRule="auto"/>
        <w:ind w:firstLine="552"/>
        <w:textAlignment w:val="auto"/>
        <w:outlineLvl w:val="9"/>
        <w:rPr>
          <w:rFonts w:ascii="楷体" w:hAnsi="楷体" w:eastAsia="楷体" w:cs="楷体"/>
          <w:spacing w:val="-2"/>
          <w:sz w:val="28"/>
          <w:szCs w:val="28"/>
          <w:highlight w:val="none"/>
        </w:rPr>
      </w:pPr>
      <w:r>
        <w:rPr>
          <w:rFonts w:ascii="楷体" w:hAnsi="楷体" w:eastAsia="楷体" w:cs="楷体"/>
          <w:spacing w:val="-2"/>
          <w:sz w:val="28"/>
          <w:szCs w:val="28"/>
          <w:highlight w:val="none"/>
        </w:rPr>
        <w:t>1</w:t>
      </w:r>
      <w:r>
        <w:rPr>
          <w:rFonts w:hint="eastAsia" w:ascii="楷体" w:hAnsi="楷体" w:eastAsia="楷体" w:cs="楷体"/>
          <w:spacing w:val="-2"/>
          <w:sz w:val="28"/>
          <w:szCs w:val="28"/>
          <w:highlight w:val="none"/>
        </w:rPr>
        <w:t>5</w:t>
      </w:r>
      <w:r>
        <w:rPr>
          <w:rFonts w:ascii="楷体" w:hAnsi="楷体" w:eastAsia="楷体" w:cs="楷体"/>
          <w:spacing w:val="-2"/>
          <w:sz w:val="28"/>
          <w:szCs w:val="28"/>
          <w:highlight w:val="none"/>
        </w:rPr>
        <w:t>.本协议一式二份，双方各执一份，具有同等法律效力。若产生争议，双方协商解决，协商不成的在甲方所在地有管辖权的法院诉讼解决。</w:t>
      </w:r>
    </w:p>
    <w:p w14:paraId="3B9B47D6">
      <w:pPr>
        <w:pStyle w:val="7"/>
        <w:pageBreakBefore w:val="0"/>
        <w:widowControl w:val="0"/>
        <w:kinsoku/>
        <w:wordWrap/>
        <w:overflowPunct/>
        <w:topLinePunct w:val="0"/>
        <w:autoSpaceDE/>
        <w:autoSpaceDN/>
        <w:bidi w:val="0"/>
        <w:spacing w:before="9"/>
        <w:textAlignment w:val="auto"/>
        <w:outlineLvl w:val="9"/>
        <w:rPr>
          <w:rFonts w:ascii="楷体" w:hAnsi="楷体" w:eastAsia="楷体" w:cs="楷体"/>
          <w:sz w:val="40"/>
          <w:szCs w:val="28"/>
          <w:highlight w:val="none"/>
        </w:rPr>
      </w:pPr>
    </w:p>
    <w:p w14:paraId="3F0BAFCC">
      <w:pPr>
        <w:pageBreakBefore w:val="0"/>
        <w:widowControl w:val="0"/>
        <w:tabs>
          <w:tab w:val="left" w:pos="5457"/>
        </w:tabs>
        <w:kinsoku/>
        <w:wordWrap/>
        <w:overflowPunct/>
        <w:topLinePunct w:val="0"/>
        <w:autoSpaceDE/>
        <w:autoSpaceDN/>
        <w:bidi w:val="0"/>
        <w:spacing w:before="1"/>
        <w:ind w:left="117"/>
        <w:textAlignment w:val="auto"/>
        <w:outlineLvl w:val="9"/>
        <w:rPr>
          <w:rFonts w:ascii="楷体" w:hAnsi="楷体" w:eastAsia="楷体" w:cs="楷体"/>
          <w:b/>
          <w:sz w:val="24"/>
          <w:szCs w:val="21"/>
          <w:highlight w:val="none"/>
        </w:rPr>
      </w:pPr>
      <w:bookmarkStart w:id="29" w:name="_Toc3301"/>
      <w:r>
        <w:rPr>
          <w:rFonts w:hint="eastAsia" w:ascii="楷体" w:hAnsi="楷体" w:eastAsia="楷体" w:cs="楷体"/>
          <w:b/>
          <w:spacing w:val="-1"/>
          <w:w w:val="99"/>
          <w:sz w:val="24"/>
          <w:szCs w:val="21"/>
          <w:highlight w:val="none"/>
        </w:rPr>
        <w:t>甲方（盖章</w:t>
      </w:r>
      <w:r>
        <w:rPr>
          <w:rFonts w:hint="eastAsia" w:ascii="楷体" w:hAnsi="楷体" w:eastAsia="楷体" w:cs="楷体"/>
          <w:b/>
          <w:spacing w:val="-140"/>
          <w:w w:val="99"/>
          <w:sz w:val="24"/>
          <w:szCs w:val="21"/>
          <w:highlight w:val="none"/>
        </w:rPr>
        <w:t>）</w:t>
      </w:r>
      <w:r>
        <w:rPr>
          <w:rFonts w:hint="eastAsia" w:ascii="楷体" w:hAnsi="楷体" w:eastAsia="楷体" w:cs="楷体"/>
          <w:b/>
          <w:w w:val="99"/>
          <w:sz w:val="24"/>
          <w:szCs w:val="21"/>
          <w:highlight w:val="none"/>
        </w:rPr>
        <w:t>：</w:t>
      </w:r>
      <w:r>
        <w:rPr>
          <w:rFonts w:hint="eastAsia" w:ascii="楷体" w:hAnsi="楷体" w:eastAsia="楷体" w:cs="楷体"/>
          <w:b/>
          <w:sz w:val="24"/>
          <w:szCs w:val="21"/>
          <w:highlight w:val="none"/>
        </w:rPr>
        <w:tab/>
      </w:r>
      <w:r>
        <w:rPr>
          <w:rFonts w:hint="eastAsia" w:ascii="楷体" w:hAnsi="楷体" w:eastAsia="楷体" w:cs="楷体"/>
          <w:b/>
          <w:spacing w:val="-1"/>
          <w:w w:val="99"/>
          <w:sz w:val="24"/>
          <w:szCs w:val="21"/>
          <w:highlight w:val="none"/>
        </w:rPr>
        <w:t>乙方（盖</w:t>
      </w:r>
      <w:r>
        <w:rPr>
          <w:rFonts w:hint="eastAsia" w:ascii="楷体" w:hAnsi="楷体" w:eastAsia="楷体" w:cs="楷体"/>
          <w:b/>
          <w:spacing w:val="2"/>
          <w:w w:val="99"/>
          <w:sz w:val="24"/>
          <w:szCs w:val="21"/>
          <w:highlight w:val="none"/>
        </w:rPr>
        <w:t>章</w:t>
      </w:r>
      <w:r>
        <w:rPr>
          <w:rFonts w:hint="eastAsia" w:ascii="楷体" w:hAnsi="楷体" w:eastAsia="楷体" w:cs="楷体"/>
          <w:b/>
          <w:spacing w:val="-142"/>
          <w:w w:val="99"/>
          <w:sz w:val="24"/>
          <w:szCs w:val="21"/>
          <w:highlight w:val="none"/>
        </w:rPr>
        <w:t>）</w:t>
      </w:r>
      <w:r>
        <w:rPr>
          <w:rFonts w:hint="eastAsia" w:ascii="楷体" w:hAnsi="楷体" w:eastAsia="楷体" w:cs="楷体"/>
          <w:b/>
          <w:w w:val="99"/>
          <w:sz w:val="24"/>
          <w:szCs w:val="21"/>
          <w:highlight w:val="none"/>
        </w:rPr>
        <w:t>：</w:t>
      </w:r>
      <w:bookmarkEnd w:id="29"/>
    </w:p>
    <w:p w14:paraId="47BABD10">
      <w:pPr>
        <w:pStyle w:val="7"/>
        <w:pageBreakBefore w:val="0"/>
        <w:widowControl w:val="0"/>
        <w:kinsoku/>
        <w:wordWrap/>
        <w:overflowPunct/>
        <w:topLinePunct w:val="0"/>
        <w:autoSpaceDE/>
        <w:autoSpaceDN/>
        <w:bidi w:val="0"/>
        <w:textAlignment w:val="auto"/>
        <w:outlineLvl w:val="9"/>
        <w:rPr>
          <w:rFonts w:ascii="楷体" w:hAnsi="楷体" w:eastAsia="楷体" w:cs="楷体"/>
          <w:b/>
          <w:sz w:val="24"/>
          <w:szCs w:val="28"/>
          <w:highlight w:val="none"/>
        </w:rPr>
      </w:pPr>
    </w:p>
    <w:p w14:paraId="6FB080BE">
      <w:pPr>
        <w:pStyle w:val="7"/>
        <w:pageBreakBefore w:val="0"/>
        <w:widowControl w:val="0"/>
        <w:kinsoku/>
        <w:wordWrap/>
        <w:overflowPunct/>
        <w:topLinePunct w:val="0"/>
        <w:autoSpaceDE/>
        <w:autoSpaceDN/>
        <w:bidi w:val="0"/>
        <w:spacing w:before="1"/>
        <w:textAlignment w:val="auto"/>
        <w:outlineLvl w:val="9"/>
        <w:rPr>
          <w:rFonts w:ascii="楷体" w:hAnsi="楷体" w:eastAsia="楷体" w:cs="楷体"/>
          <w:b/>
          <w:sz w:val="24"/>
          <w:szCs w:val="28"/>
          <w:highlight w:val="none"/>
        </w:rPr>
      </w:pPr>
    </w:p>
    <w:p w14:paraId="44008D1C">
      <w:pPr>
        <w:pageBreakBefore w:val="0"/>
        <w:widowControl w:val="0"/>
        <w:tabs>
          <w:tab w:val="left" w:pos="5457"/>
        </w:tabs>
        <w:kinsoku/>
        <w:wordWrap/>
        <w:overflowPunct/>
        <w:topLinePunct w:val="0"/>
        <w:autoSpaceDE/>
        <w:autoSpaceDN/>
        <w:bidi w:val="0"/>
        <w:ind w:left="117"/>
        <w:textAlignment w:val="auto"/>
        <w:outlineLvl w:val="9"/>
        <w:rPr>
          <w:rFonts w:ascii="楷体" w:hAnsi="楷体" w:eastAsia="楷体" w:cs="楷体"/>
          <w:b/>
          <w:sz w:val="24"/>
          <w:szCs w:val="21"/>
          <w:highlight w:val="none"/>
        </w:rPr>
      </w:pPr>
      <w:bookmarkStart w:id="30" w:name="_Toc5270"/>
      <w:r>
        <w:rPr>
          <w:rFonts w:hint="eastAsia" w:ascii="楷体" w:hAnsi="楷体" w:eastAsia="楷体" w:cs="楷体"/>
          <w:b/>
          <w:sz w:val="24"/>
          <w:szCs w:val="21"/>
          <w:highlight w:val="none"/>
        </w:rPr>
        <w:t>法定代表/授权代表</w:t>
      </w:r>
      <w:r>
        <w:rPr>
          <w:rFonts w:hint="eastAsia" w:ascii="楷体" w:hAnsi="楷体" w:eastAsia="楷体" w:cs="楷体"/>
          <w:b/>
          <w:sz w:val="24"/>
          <w:szCs w:val="21"/>
          <w:highlight w:val="none"/>
        </w:rPr>
        <w:tab/>
      </w:r>
      <w:r>
        <w:rPr>
          <w:rFonts w:hint="eastAsia" w:ascii="楷体" w:hAnsi="楷体" w:eastAsia="楷体" w:cs="楷体"/>
          <w:b/>
          <w:sz w:val="24"/>
          <w:szCs w:val="21"/>
          <w:highlight w:val="none"/>
        </w:rPr>
        <w:t>法定代表/授权代表</w:t>
      </w:r>
      <w:bookmarkEnd w:id="30"/>
    </w:p>
    <w:p w14:paraId="426FE208">
      <w:pPr>
        <w:pStyle w:val="7"/>
        <w:pageBreakBefore w:val="0"/>
        <w:widowControl w:val="0"/>
        <w:kinsoku/>
        <w:wordWrap/>
        <w:overflowPunct/>
        <w:topLinePunct w:val="0"/>
        <w:autoSpaceDE/>
        <w:autoSpaceDN/>
        <w:bidi w:val="0"/>
        <w:textAlignment w:val="auto"/>
        <w:outlineLvl w:val="9"/>
        <w:rPr>
          <w:rFonts w:ascii="楷体" w:hAnsi="楷体" w:eastAsia="楷体" w:cs="楷体"/>
          <w:b/>
          <w:sz w:val="24"/>
          <w:szCs w:val="28"/>
          <w:highlight w:val="none"/>
        </w:rPr>
      </w:pPr>
    </w:p>
    <w:p w14:paraId="1F624737">
      <w:pPr>
        <w:pStyle w:val="7"/>
        <w:pageBreakBefore w:val="0"/>
        <w:widowControl w:val="0"/>
        <w:kinsoku/>
        <w:wordWrap/>
        <w:overflowPunct/>
        <w:topLinePunct w:val="0"/>
        <w:autoSpaceDE/>
        <w:autoSpaceDN/>
        <w:bidi w:val="0"/>
        <w:spacing w:before="4"/>
        <w:textAlignment w:val="auto"/>
        <w:outlineLvl w:val="9"/>
        <w:rPr>
          <w:rFonts w:ascii="楷体" w:hAnsi="楷体" w:eastAsia="楷体" w:cs="楷体"/>
          <w:b/>
          <w:sz w:val="24"/>
          <w:szCs w:val="28"/>
          <w:highlight w:val="none"/>
        </w:rPr>
      </w:pPr>
    </w:p>
    <w:p w14:paraId="7E5CE49B">
      <w:pPr>
        <w:pageBreakBefore w:val="0"/>
        <w:widowControl w:val="0"/>
        <w:tabs>
          <w:tab w:val="left" w:pos="5457"/>
        </w:tabs>
        <w:kinsoku/>
        <w:wordWrap/>
        <w:overflowPunct/>
        <w:topLinePunct w:val="0"/>
        <w:autoSpaceDE/>
        <w:autoSpaceDN/>
        <w:bidi w:val="0"/>
        <w:ind w:left="117"/>
        <w:textAlignment w:val="auto"/>
        <w:outlineLvl w:val="9"/>
        <w:rPr>
          <w:rFonts w:ascii="Calibri" w:hAnsi="Calibri"/>
          <w:b/>
          <w:bCs/>
          <w:kern w:val="44"/>
          <w:sz w:val="36"/>
          <w:szCs w:val="44"/>
          <w:highlight w:val="none"/>
        </w:rPr>
        <w:sectPr>
          <w:pgSz w:w="11906" w:h="16838"/>
          <w:pgMar w:top="1587" w:right="1417" w:bottom="1134" w:left="1417" w:header="851" w:footer="992" w:gutter="0"/>
          <w:pgNumType w:fmt="decimal"/>
          <w:cols w:space="0" w:num="1"/>
          <w:titlePg/>
          <w:rtlGutter w:val="0"/>
          <w:docGrid w:type="lines" w:linePitch="312" w:charSpace="0"/>
        </w:sectPr>
      </w:pPr>
      <w:bookmarkStart w:id="31" w:name="_Toc4135"/>
      <w:r>
        <w:rPr>
          <w:rFonts w:hint="eastAsia" w:ascii="楷体" w:hAnsi="楷体" w:eastAsia="楷体" w:cs="楷体"/>
          <w:b/>
          <w:sz w:val="24"/>
          <w:szCs w:val="21"/>
          <w:highlight w:val="none"/>
        </w:rPr>
        <w:t>日期:</w:t>
      </w:r>
      <w:r>
        <w:rPr>
          <w:rFonts w:hint="eastAsia" w:ascii="楷体" w:hAnsi="楷体" w:eastAsia="楷体" w:cs="楷体"/>
          <w:b/>
          <w:sz w:val="24"/>
          <w:szCs w:val="21"/>
          <w:highlight w:val="none"/>
        </w:rPr>
        <w:tab/>
      </w:r>
      <w:r>
        <w:rPr>
          <w:rFonts w:hint="eastAsia" w:ascii="楷体" w:hAnsi="楷体" w:eastAsia="楷体" w:cs="楷体"/>
          <w:b/>
          <w:sz w:val="24"/>
          <w:szCs w:val="21"/>
          <w:highlight w:val="none"/>
        </w:rPr>
        <w:t>日期:</w:t>
      </w:r>
      <w:bookmarkEnd w:id="31"/>
    </w:p>
    <w:p w14:paraId="770A78C8">
      <w:pPr>
        <w:pStyle w:val="10"/>
        <w:keepNext w:val="0"/>
        <w:keepLines w:val="0"/>
        <w:pageBreakBefore w:val="0"/>
        <w:widowControl w:val="0"/>
        <w:kinsoku/>
        <w:wordWrap/>
        <w:overflowPunct/>
        <w:topLinePunct w:val="0"/>
        <w:autoSpaceDE/>
        <w:autoSpaceDN/>
        <w:bidi w:val="0"/>
        <w:spacing w:line="500" w:lineRule="exact"/>
        <w:jc w:val="center"/>
        <w:textAlignment w:val="auto"/>
        <w:outlineLvl w:val="9"/>
        <w:rPr>
          <w:rFonts w:ascii="Times New Roman" w:hAnsi="Times New Roman" w:eastAsia="黑体" w:cs="Times New Roman"/>
          <w:b/>
          <w:bCs/>
          <w:sz w:val="36"/>
          <w:highlight w:val="none"/>
        </w:rPr>
      </w:pPr>
      <w:r>
        <w:rPr>
          <w:rFonts w:hint="eastAsia" w:ascii="Times New Roman" w:hAnsi="Times New Roman" w:eastAsia="黑体" w:cs="Times New Roman"/>
          <w:b/>
          <w:bCs/>
          <w:sz w:val="36"/>
          <w:highlight w:val="none"/>
        </w:rPr>
        <w:t>SRM非生产供应商注册操作手册</w:t>
      </w:r>
    </w:p>
    <w:p w14:paraId="1D1E5BB6">
      <w:pPr>
        <w:pStyle w:val="10"/>
        <w:keepNext w:val="0"/>
        <w:keepLines w:val="0"/>
        <w:pageBreakBefore w:val="0"/>
        <w:widowControl w:val="0"/>
        <w:kinsoku/>
        <w:wordWrap/>
        <w:overflowPunct/>
        <w:topLinePunct w:val="0"/>
        <w:autoSpaceDE/>
        <w:autoSpaceDN/>
        <w:bidi w:val="0"/>
        <w:spacing w:line="500" w:lineRule="exact"/>
        <w:jc w:val="center"/>
        <w:textAlignment w:val="auto"/>
        <w:outlineLvl w:val="9"/>
        <w:rPr>
          <w:highlight w:val="none"/>
        </w:rPr>
      </w:pPr>
    </w:p>
    <w:p w14:paraId="26E8979A">
      <w:pPr>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outlineLvl w:val="9"/>
        <w:rPr>
          <w:rFonts w:ascii="宋体" w:hAnsi="宋体" w:cs="宋体"/>
          <w:sz w:val="24"/>
          <w:szCs w:val="24"/>
          <w:highlight w:val="none"/>
        </w:rPr>
      </w:pPr>
      <w:r>
        <w:rPr>
          <w:rFonts w:ascii="宋体" w:hAnsi="宋体" w:cs="宋体"/>
          <w:sz w:val="24"/>
          <w:szCs w:val="24"/>
          <w:highlight w:val="none"/>
        </w:rPr>
        <w:t>浏览器中输入地址;</w:t>
      </w:r>
    </w:p>
    <w:p w14:paraId="16E77F11">
      <w:pPr>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outlineLvl w:val="9"/>
        <w:rPr>
          <w:rFonts w:ascii="宋体" w:hAnsi="宋体" w:cs="宋体"/>
          <w:sz w:val="24"/>
          <w:szCs w:val="24"/>
          <w:highlight w:val="none"/>
        </w:rPr>
      </w:pPr>
      <w:r>
        <w:rPr>
          <w:highlight w:val="none"/>
        </w:rPr>
        <w:fldChar w:fldCharType="begin"/>
      </w:r>
      <w:r>
        <w:rPr>
          <w:highlight w:val="none"/>
        </w:rPr>
        <w:instrText xml:space="preserve"> HYPERLINK "http://ecaitong.sinotruk.com:8012/#/login" \t "dlt" </w:instrText>
      </w:r>
      <w:r>
        <w:rPr>
          <w:highlight w:val="none"/>
        </w:rPr>
        <w:fldChar w:fldCharType="separate"/>
      </w:r>
      <w:r>
        <w:rPr>
          <w:rFonts w:ascii="宋体" w:hAnsi="宋体" w:cs="宋体"/>
          <w:sz w:val="24"/>
          <w:szCs w:val="24"/>
          <w:highlight w:val="none"/>
        </w:rPr>
        <w:t>http</w:t>
      </w:r>
      <w:r>
        <w:rPr>
          <w:rFonts w:hint="eastAsia" w:ascii="宋体" w:hAnsi="宋体" w:cs="宋体"/>
          <w:sz w:val="24"/>
          <w:szCs w:val="24"/>
          <w:highlight w:val="none"/>
        </w:rPr>
        <w:t>s</w:t>
      </w:r>
      <w:r>
        <w:rPr>
          <w:rFonts w:ascii="宋体" w:hAnsi="宋体" w:cs="宋体"/>
          <w:sz w:val="24"/>
          <w:szCs w:val="24"/>
          <w:highlight w:val="none"/>
        </w:rPr>
        <w:t>://ecaitong.sinotruk.com:8012/#/login</w:t>
      </w:r>
      <w:r>
        <w:rPr>
          <w:rFonts w:ascii="宋体" w:hAnsi="宋体" w:cs="宋体"/>
          <w:sz w:val="24"/>
          <w:szCs w:val="24"/>
          <w:highlight w:val="none"/>
        </w:rPr>
        <w:fldChar w:fldCharType="end"/>
      </w:r>
    </w:p>
    <w:p w14:paraId="51C18C75">
      <w:pPr>
        <w:pageBreakBefore w:val="0"/>
        <w:widowControl w:val="0"/>
        <w:kinsoku/>
        <w:wordWrap/>
        <w:overflowPunct/>
        <w:topLinePunct w:val="0"/>
        <w:autoSpaceDE/>
        <w:autoSpaceDN/>
        <w:bidi w:val="0"/>
        <w:adjustRightInd w:val="0"/>
        <w:snapToGrid w:val="0"/>
        <w:spacing w:line="360" w:lineRule="auto"/>
        <w:jc w:val="left"/>
        <w:textAlignment w:val="auto"/>
        <w:outlineLvl w:val="9"/>
        <w:rPr>
          <w:rFonts w:ascii="宋体" w:hAnsi="宋体" w:cs="宋体"/>
          <w:sz w:val="24"/>
          <w:szCs w:val="24"/>
          <w:highlight w:val="none"/>
        </w:rPr>
      </w:pPr>
      <w:r>
        <w:rPr>
          <w:rFonts w:ascii="宋体" w:hAnsi="宋体" w:cs="宋体"/>
          <w:sz w:val="24"/>
          <w:szCs w:val="24"/>
          <w:highlight w:val="none"/>
        </w:rPr>
        <w:t>1.点击立即注册</w:t>
      </w:r>
    </w:p>
    <w:p w14:paraId="216776EA">
      <w:pPr>
        <w:pageBreakBefore w:val="0"/>
        <w:widowControl w:val="0"/>
        <w:kinsoku/>
        <w:wordWrap/>
        <w:overflowPunct/>
        <w:topLinePunct w:val="0"/>
        <w:autoSpaceDE/>
        <w:autoSpaceDN/>
        <w:bidi w:val="0"/>
        <w:snapToGrid w:val="0"/>
        <w:spacing w:line="312" w:lineRule="auto"/>
        <w:textAlignment w:val="auto"/>
        <w:outlineLvl w:val="9"/>
        <w:rPr>
          <w:highlight w:val="none"/>
        </w:rPr>
      </w:pPr>
      <w:r>
        <w:rPr>
          <w:highlight w:val="none"/>
        </w:rPr>
        <w:drawing>
          <wp:inline distT="0" distB="0" distL="0" distR="0">
            <wp:extent cx="5760085" cy="2933065"/>
            <wp:effectExtent l="0" t="0" r="635" b="825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9"/>
                    <a:stretch>
                      <a:fillRect/>
                    </a:stretch>
                  </pic:blipFill>
                  <pic:spPr>
                    <a:xfrm>
                      <a:off x="0" y="0"/>
                      <a:ext cx="5760085" cy="2933377"/>
                    </a:xfrm>
                    <a:prstGeom prst="rect">
                      <a:avLst/>
                    </a:prstGeom>
                  </pic:spPr>
                </pic:pic>
              </a:graphicData>
            </a:graphic>
          </wp:inline>
        </w:drawing>
      </w:r>
    </w:p>
    <w:p w14:paraId="0307CC15">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8"/>
          <w:highlight w:val="none"/>
        </w:rPr>
      </w:pPr>
      <w:r>
        <w:rPr>
          <w:rFonts w:hint="eastAsia" w:ascii="宋体" w:hAnsi="宋体" w:cs="宋体"/>
          <w:color w:val="000000"/>
          <w:sz w:val="24"/>
          <w:szCs w:val="28"/>
          <w:highlight w:val="none"/>
        </w:rPr>
        <w:t>2.</w:t>
      </w:r>
      <w:r>
        <w:rPr>
          <w:rFonts w:ascii="宋体" w:hAnsi="宋体" w:cs="宋体"/>
          <w:color w:val="000000"/>
          <w:sz w:val="24"/>
          <w:szCs w:val="28"/>
          <w:highlight w:val="none"/>
        </w:rPr>
        <w:t>填写手机号码（没有注册过的）</w:t>
      </w:r>
    </w:p>
    <w:p w14:paraId="58036964">
      <w:pPr>
        <w:pageBreakBefore w:val="0"/>
        <w:widowControl w:val="0"/>
        <w:kinsoku/>
        <w:wordWrap/>
        <w:overflowPunct/>
        <w:topLinePunct w:val="0"/>
        <w:autoSpaceDE/>
        <w:autoSpaceDN/>
        <w:bidi w:val="0"/>
        <w:snapToGrid w:val="0"/>
        <w:spacing w:line="312" w:lineRule="auto"/>
        <w:textAlignment w:val="auto"/>
        <w:outlineLvl w:val="9"/>
        <w:rPr>
          <w:highlight w:val="none"/>
        </w:rPr>
      </w:pPr>
      <w:r>
        <w:rPr>
          <w:highlight w:val="none"/>
        </w:rPr>
        <w:drawing>
          <wp:inline distT="0" distB="0" distL="0" distR="0">
            <wp:extent cx="5760085" cy="2766695"/>
            <wp:effectExtent l="0" t="0" r="635" b="698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0"/>
                    <a:stretch>
                      <a:fillRect/>
                    </a:stretch>
                  </pic:blipFill>
                  <pic:spPr>
                    <a:xfrm>
                      <a:off x="0" y="0"/>
                      <a:ext cx="5760085" cy="2766707"/>
                    </a:xfrm>
                    <a:prstGeom prst="rect">
                      <a:avLst/>
                    </a:prstGeom>
                  </pic:spPr>
                </pic:pic>
              </a:graphicData>
            </a:graphic>
          </wp:inline>
        </w:drawing>
      </w:r>
    </w:p>
    <w:p w14:paraId="34FB5DF5">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8"/>
          <w:highlight w:val="none"/>
        </w:rPr>
      </w:pPr>
      <w:r>
        <w:rPr>
          <w:rFonts w:hint="eastAsia" w:ascii="宋体" w:hAnsi="宋体" w:cs="宋体"/>
          <w:color w:val="000000"/>
          <w:sz w:val="24"/>
          <w:szCs w:val="28"/>
          <w:highlight w:val="none"/>
        </w:rPr>
        <w:t>3.</w:t>
      </w:r>
      <w:r>
        <w:rPr>
          <w:rFonts w:ascii="宋体" w:hAnsi="宋体" w:cs="宋体"/>
          <w:color w:val="000000"/>
          <w:sz w:val="24"/>
          <w:szCs w:val="28"/>
          <w:highlight w:val="none"/>
        </w:rPr>
        <w:t>注册成功登录这个手机号码的账号进入系统，点击供应商注册</w:t>
      </w:r>
    </w:p>
    <w:p w14:paraId="16C3956B">
      <w:pPr>
        <w:pageBreakBefore w:val="0"/>
        <w:widowControl w:val="0"/>
        <w:kinsoku/>
        <w:wordWrap/>
        <w:overflowPunct/>
        <w:topLinePunct w:val="0"/>
        <w:autoSpaceDE/>
        <w:autoSpaceDN/>
        <w:bidi w:val="0"/>
        <w:snapToGrid w:val="0"/>
        <w:spacing w:line="312" w:lineRule="auto"/>
        <w:textAlignment w:val="auto"/>
        <w:outlineLvl w:val="9"/>
        <w:rPr>
          <w:highlight w:val="none"/>
        </w:rPr>
      </w:pPr>
      <w:r>
        <w:rPr>
          <w:highlight w:val="none"/>
        </w:rPr>
        <w:drawing>
          <wp:inline distT="0" distB="0" distL="0" distR="0">
            <wp:extent cx="5760085" cy="2869565"/>
            <wp:effectExtent l="0" t="0" r="635" b="1079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1"/>
                    <a:stretch>
                      <a:fillRect/>
                    </a:stretch>
                  </pic:blipFill>
                  <pic:spPr>
                    <a:xfrm>
                      <a:off x="0" y="0"/>
                      <a:ext cx="5760085" cy="2870054"/>
                    </a:xfrm>
                    <a:prstGeom prst="rect">
                      <a:avLst/>
                    </a:prstGeom>
                  </pic:spPr>
                </pic:pic>
              </a:graphicData>
            </a:graphic>
          </wp:inline>
        </w:drawing>
      </w:r>
    </w:p>
    <w:p w14:paraId="0D61877C">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8"/>
          <w:highlight w:val="none"/>
        </w:rPr>
      </w:pPr>
      <w:r>
        <w:rPr>
          <w:rFonts w:hint="eastAsia" w:ascii="宋体" w:hAnsi="宋体" w:cs="宋体"/>
          <w:color w:val="000000"/>
          <w:sz w:val="24"/>
          <w:szCs w:val="28"/>
          <w:highlight w:val="none"/>
        </w:rPr>
        <w:t>4.</w:t>
      </w:r>
      <w:r>
        <w:rPr>
          <w:rFonts w:ascii="宋体" w:hAnsi="宋体" w:cs="宋体"/>
          <w:color w:val="000000"/>
          <w:sz w:val="24"/>
          <w:szCs w:val="28"/>
          <w:highlight w:val="none"/>
        </w:rPr>
        <w:t>点击新增</w:t>
      </w:r>
    </w:p>
    <w:p w14:paraId="2C09CD70">
      <w:pPr>
        <w:pageBreakBefore w:val="0"/>
        <w:widowControl w:val="0"/>
        <w:kinsoku/>
        <w:wordWrap/>
        <w:overflowPunct/>
        <w:topLinePunct w:val="0"/>
        <w:autoSpaceDE/>
        <w:autoSpaceDN/>
        <w:bidi w:val="0"/>
        <w:snapToGrid w:val="0"/>
        <w:spacing w:line="312" w:lineRule="auto"/>
        <w:textAlignment w:val="auto"/>
        <w:outlineLvl w:val="9"/>
        <w:rPr>
          <w:highlight w:val="none"/>
        </w:rPr>
      </w:pPr>
      <w:r>
        <w:rPr>
          <w:highlight w:val="none"/>
        </w:rPr>
        <w:drawing>
          <wp:inline distT="0" distB="0" distL="0" distR="0">
            <wp:extent cx="5760085" cy="2853055"/>
            <wp:effectExtent l="0" t="0" r="635" b="1206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2"/>
                    <a:stretch>
                      <a:fillRect/>
                    </a:stretch>
                  </pic:blipFill>
                  <pic:spPr>
                    <a:xfrm>
                      <a:off x="0" y="0"/>
                      <a:ext cx="5760085" cy="2853375"/>
                    </a:xfrm>
                    <a:prstGeom prst="rect">
                      <a:avLst/>
                    </a:prstGeom>
                  </pic:spPr>
                </pic:pic>
              </a:graphicData>
            </a:graphic>
          </wp:inline>
        </w:drawing>
      </w:r>
    </w:p>
    <w:p w14:paraId="68B91FB2">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8"/>
          <w:highlight w:val="none"/>
        </w:rPr>
      </w:pPr>
      <w:r>
        <w:rPr>
          <w:rFonts w:hint="eastAsia" w:ascii="宋体" w:hAnsi="宋体" w:cs="宋体"/>
          <w:sz w:val="24"/>
          <w:szCs w:val="28"/>
          <w:highlight w:val="none"/>
        </w:rPr>
        <w:t>5</w:t>
      </w:r>
      <w:r>
        <w:rPr>
          <w:rFonts w:hint="eastAsia" w:ascii="宋体" w:hAnsi="宋体" w:cs="宋体"/>
          <w:color w:val="000000"/>
          <w:sz w:val="24"/>
          <w:szCs w:val="28"/>
          <w:highlight w:val="none"/>
        </w:rPr>
        <w:t>.</w:t>
      </w:r>
      <w:r>
        <w:rPr>
          <w:rFonts w:ascii="宋体" w:hAnsi="宋体" w:cs="宋体"/>
          <w:color w:val="000000"/>
          <w:sz w:val="24"/>
          <w:szCs w:val="28"/>
          <w:highlight w:val="none"/>
        </w:rPr>
        <w:t>按要求填写所有信息，注意非生产类要填写合作单位，最后提交审批</w:t>
      </w:r>
    </w:p>
    <w:p w14:paraId="0C045047">
      <w:pPr>
        <w:pStyle w:val="10"/>
        <w:pageBreakBefore w:val="0"/>
        <w:widowControl w:val="0"/>
        <w:kinsoku/>
        <w:wordWrap/>
        <w:overflowPunct/>
        <w:topLinePunct w:val="0"/>
        <w:autoSpaceDE/>
        <w:autoSpaceDN/>
        <w:bidi w:val="0"/>
        <w:textAlignment w:val="auto"/>
        <w:outlineLvl w:val="9"/>
        <w:rPr>
          <w:highlight w:val="none"/>
        </w:rPr>
      </w:pPr>
    </w:p>
    <w:p w14:paraId="1BDC7C4A">
      <w:pPr>
        <w:pageBreakBefore w:val="0"/>
        <w:widowControl w:val="0"/>
        <w:kinsoku/>
        <w:wordWrap/>
        <w:overflowPunct/>
        <w:topLinePunct w:val="0"/>
        <w:autoSpaceDE/>
        <w:autoSpaceDN/>
        <w:bidi w:val="0"/>
        <w:textAlignment w:val="auto"/>
        <w:outlineLvl w:val="9"/>
        <w:rPr>
          <w:highlight w:val="none"/>
        </w:rPr>
      </w:pPr>
      <w:r>
        <w:rPr>
          <w:highlight w:val="none"/>
        </w:rPr>
        <w:drawing>
          <wp:inline distT="0" distB="0" distL="0" distR="0">
            <wp:extent cx="5760085" cy="2809875"/>
            <wp:effectExtent l="0" t="0" r="63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3"/>
                    <a:stretch>
                      <a:fillRect/>
                    </a:stretch>
                  </pic:blipFill>
                  <pic:spPr>
                    <a:xfrm>
                      <a:off x="0" y="0"/>
                      <a:ext cx="5760085" cy="2810122"/>
                    </a:xfrm>
                    <a:prstGeom prst="rect">
                      <a:avLst/>
                    </a:prstGeom>
                  </pic:spPr>
                </pic:pic>
              </a:graphicData>
            </a:graphic>
          </wp:inline>
        </w:drawing>
      </w:r>
    </w:p>
    <w:p w14:paraId="32E4E905">
      <w:pPr>
        <w:pStyle w:val="10"/>
        <w:pageBreakBefore w:val="0"/>
        <w:widowControl w:val="0"/>
        <w:kinsoku/>
        <w:wordWrap/>
        <w:overflowPunct/>
        <w:topLinePunct w:val="0"/>
        <w:autoSpaceDE/>
        <w:autoSpaceDN/>
        <w:bidi w:val="0"/>
        <w:textAlignment w:val="auto"/>
        <w:outlineLvl w:val="9"/>
        <w:rPr>
          <w:highlight w:val="none"/>
        </w:rPr>
      </w:pPr>
      <w:r>
        <w:rPr>
          <w:highlight w:val="none"/>
        </w:rPr>
        <w:drawing>
          <wp:inline distT="0" distB="0" distL="0" distR="0">
            <wp:extent cx="5760085" cy="2820035"/>
            <wp:effectExtent l="0" t="0" r="635" b="1460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4"/>
                    <a:stretch>
                      <a:fillRect/>
                    </a:stretch>
                  </pic:blipFill>
                  <pic:spPr>
                    <a:xfrm>
                      <a:off x="0" y="0"/>
                      <a:ext cx="5760085" cy="2820042"/>
                    </a:xfrm>
                    <a:prstGeom prst="rect">
                      <a:avLst/>
                    </a:prstGeom>
                  </pic:spPr>
                </pic:pic>
              </a:graphicData>
            </a:graphic>
          </wp:inline>
        </w:drawing>
      </w:r>
    </w:p>
    <w:p w14:paraId="3912A533">
      <w:pPr>
        <w:pStyle w:val="10"/>
        <w:pageBreakBefore w:val="0"/>
        <w:widowControl w:val="0"/>
        <w:kinsoku/>
        <w:wordWrap/>
        <w:overflowPunct/>
        <w:topLinePunct w:val="0"/>
        <w:autoSpaceDE/>
        <w:autoSpaceDN/>
        <w:bidi w:val="0"/>
        <w:textAlignment w:val="auto"/>
        <w:outlineLvl w:val="9"/>
        <w:rPr>
          <w:highlight w:val="none"/>
        </w:rPr>
      </w:pPr>
    </w:p>
    <w:p w14:paraId="3123772F">
      <w:pPr>
        <w:pStyle w:val="10"/>
        <w:pageBreakBefore w:val="0"/>
        <w:widowControl w:val="0"/>
        <w:kinsoku/>
        <w:wordWrap/>
        <w:overflowPunct/>
        <w:topLinePunct w:val="0"/>
        <w:autoSpaceDE/>
        <w:autoSpaceDN/>
        <w:bidi w:val="0"/>
        <w:textAlignment w:val="auto"/>
        <w:outlineLvl w:val="9"/>
        <w:rPr>
          <w:rFonts w:hAnsi="宋体" w:cs="Times New Roman"/>
          <w:b/>
          <w:color w:val="000000"/>
          <w:sz w:val="24"/>
          <w:szCs w:val="24"/>
          <w:highlight w:val="none"/>
        </w:rPr>
      </w:pPr>
    </w:p>
    <w:p w14:paraId="2A5F9393">
      <w:pPr>
        <w:pStyle w:val="10"/>
        <w:pageBreakBefore w:val="0"/>
        <w:widowControl w:val="0"/>
        <w:kinsoku/>
        <w:wordWrap/>
        <w:overflowPunct/>
        <w:topLinePunct w:val="0"/>
        <w:autoSpaceDE/>
        <w:autoSpaceDN/>
        <w:bidi w:val="0"/>
        <w:textAlignment w:val="auto"/>
        <w:outlineLvl w:val="9"/>
        <w:rPr>
          <w:rFonts w:hAnsi="宋体" w:cs="Times New Roman"/>
          <w:b/>
          <w:color w:val="000000"/>
          <w:sz w:val="24"/>
          <w:szCs w:val="24"/>
          <w:highlight w:val="none"/>
        </w:rPr>
      </w:pPr>
    </w:p>
    <w:p w14:paraId="22B85A7D">
      <w:pPr>
        <w:pStyle w:val="10"/>
        <w:pageBreakBefore w:val="0"/>
        <w:widowControl w:val="0"/>
        <w:kinsoku/>
        <w:wordWrap/>
        <w:overflowPunct/>
        <w:topLinePunct w:val="0"/>
        <w:autoSpaceDE/>
        <w:autoSpaceDN/>
        <w:bidi w:val="0"/>
        <w:textAlignment w:val="auto"/>
        <w:outlineLvl w:val="9"/>
        <w:rPr>
          <w:rFonts w:hAnsi="宋体" w:cs="Times New Roman"/>
          <w:b/>
          <w:color w:val="000000"/>
          <w:sz w:val="24"/>
          <w:szCs w:val="24"/>
          <w:highlight w:val="none"/>
        </w:rPr>
      </w:pPr>
    </w:p>
    <w:p w14:paraId="4E6B491B">
      <w:pPr>
        <w:pStyle w:val="10"/>
        <w:pageBreakBefore w:val="0"/>
        <w:widowControl w:val="0"/>
        <w:kinsoku/>
        <w:wordWrap/>
        <w:overflowPunct/>
        <w:topLinePunct w:val="0"/>
        <w:autoSpaceDE/>
        <w:autoSpaceDN/>
        <w:bidi w:val="0"/>
        <w:textAlignment w:val="auto"/>
        <w:outlineLvl w:val="9"/>
        <w:rPr>
          <w:rFonts w:hAnsi="宋体" w:cs="Times New Roman"/>
          <w:b/>
          <w:color w:val="000000"/>
          <w:sz w:val="24"/>
          <w:szCs w:val="24"/>
          <w:highlight w:val="none"/>
        </w:rPr>
      </w:pPr>
    </w:p>
    <w:p w14:paraId="0B948C32">
      <w:pPr>
        <w:pStyle w:val="10"/>
        <w:pageBreakBefore w:val="0"/>
        <w:widowControl w:val="0"/>
        <w:kinsoku/>
        <w:wordWrap/>
        <w:overflowPunct/>
        <w:topLinePunct w:val="0"/>
        <w:autoSpaceDE/>
        <w:autoSpaceDN/>
        <w:bidi w:val="0"/>
        <w:textAlignment w:val="auto"/>
        <w:outlineLvl w:val="9"/>
        <w:rPr>
          <w:rFonts w:hAnsi="宋体" w:cs="Times New Roman"/>
          <w:b/>
          <w:color w:val="000000"/>
          <w:sz w:val="24"/>
          <w:szCs w:val="24"/>
          <w:highlight w:val="none"/>
        </w:rPr>
      </w:pPr>
    </w:p>
    <w:p w14:paraId="0EC973DC">
      <w:pPr>
        <w:pStyle w:val="10"/>
        <w:pageBreakBefore w:val="0"/>
        <w:widowControl w:val="0"/>
        <w:kinsoku/>
        <w:wordWrap/>
        <w:overflowPunct/>
        <w:topLinePunct w:val="0"/>
        <w:autoSpaceDE/>
        <w:autoSpaceDN/>
        <w:bidi w:val="0"/>
        <w:textAlignment w:val="auto"/>
        <w:outlineLvl w:val="9"/>
        <w:rPr>
          <w:rFonts w:hAnsi="宋体" w:cs="Times New Roman"/>
          <w:b/>
          <w:color w:val="000000"/>
          <w:sz w:val="24"/>
          <w:szCs w:val="24"/>
          <w:highlight w:val="none"/>
        </w:rPr>
      </w:pPr>
    </w:p>
    <w:p w14:paraId="126E01B8">
      <w:pPr>
        <w:pStyle w:val="10"/>
        <w:pageBreakBefore w:val="0"/>
        <w:widowControl w:val="0"/>
        <w:kinsoku/>
        <w:wordWrap/>
        <w:overflowPunct/>
        <w:topLinePunct w:val="0"/>
        <w:autoSpaceDE/>
        <w:autoSpaceDN/>
        <w:bidi w:val="0"/>
        <w:textAlignment w:val="auto"/>
        <w:outlineLvl w:val="9"/>
        <w:rPr>
          <w:rFonts w:hAnsi="宋体" w:cs="Times New Roman"/>
          <w:b/>
          <w:color w:val="000000"/>
          <w:sz w:val="24"/>
          <w:szCs w:val="24"/>
          <w:highlight w:val="none"/>
        </w:rPr>
      </w:pPr>
    </w:p>
    <w:p w14:paraId="71DCE94F">
      <w:pPr>
        <w:pStyle w:val="10"/>
        <w:pageBreakBefore w:val="0"/>
        <w:widowControl w:val="0"/>
        <w:kinsoku/>
        <w:wordWrap/>
        <w:overflowPunct/>
        <w:topLinePunct w:val="0"/>
        <w:autoSpaceDE/>
        <w:autoSpaceDN/>
        <w:bidi w:val="0"/>
        <w:textAlignment w:val="auto"/>
        <w:outlineLvl w:val="9"/>
        <w:rPr>
          <w:rFonts w:hAnsi="宋体" w:cs="Times New Roman"/>
          <w:b/>
          <w:color w:val="000000"/>
          <w:sz w:val="24"/>
          <w:szCs w:val="24"/>
          <w:highlight w:val="none"/>
        </w:rPr>
      </w:pPr>
    </w:p>
    <w:p w14:paraId="12645FBC">
      <w:pPr>
        <w:pStyle w:val="10"/>
        <w:pageBreakBefore w:val="0"/>
        <w:widowControl w:val="0"/>
        <w:kinsoku/>
        <w:wordWrap/>
        <w:overflowPunct/>
        <w:topLinePunct w:val="0"/>
        <w:autoSpaceDE/>
        <w:autoSpaceDN/>
        <w:bidi w:val="0"/>
        <w:textAlignment w:val="auto"/>
        <w:outlineLvl w:val="9"/>
        <w:rPr>
          <w:rFonts w:hAnsi="宋体" w:cs="Times New Roman"/>
          <w:b/>
          <w:color w:val="000000"/>
          <w:sz w:val="24"/>
          <w:szCs w:val="24"/>
          <w:highlight w:val="none"/>
        </w:rPr>
      </w:pPr>
    </w:p>
    <w:p w14:paraId="2B0190ED">
      <w:pPr>
        <w:pStyle w:val="10"/>
        <w:pageBreakBefore w:val="0"/>
        <w:widowControl w:val="0"/>
        <w:kinsoku/>
        <w:wordWrap/>
        <w:overflowPunct/>
        <w:topLinePunct w:val="0"/>
        <w:autoSpaceDE/>
        <w:autoSpaceDN/>
        <w:bidi w:val="0"/>
        <w:textAlignment w:val="auto"/>
        <w:outlineLvl w:val="9"/>
        <w:rPr>
          <w:rFonts w:hAnsi="宋体" w:cs="Times New Roman"/>
          <w:b/>
          <w:color w:val="000000"/>
          <w:sz w:val="24"/>
          <w:szCs w:val="24"/>
          <w:highlight w:val="none"/>
        </w:rPr>
      </w:pPr>
    </w:p>
    <w:p w14:paraId="415CE456">
      <w:pPr>
        <w:pStyle w:val="10"/>
        <w:pageBreakBefore w:val="0"/>
        <w:widowControl w:val="0"/>
        <w:kinsoku/>
        <w:wordWrap/>
        <w:overflowPunct/>
        <w:topLinePunct w:val="0"/>
        <w:autoSpaceDE/>
        <w:autoSpaceDN/>
        <w:bidi w:val="0"/>
        <w:textAlignment w:val="auto"/>
        <w:outlineLvl w:val="9"/>
        <w:rPr>
          <w:rFonts w:hAnsi="宋体" w:cs="Times New Roman"/>
          <w:b/>
          <w:color w:val="000000"/>
          <w:sz w:val="24"/>
          <w:szCs w:val="24"/>
          <w:highlight w:val="none"/>
        </w:rPr>
      </w:pPr>
    </w:p>
    <w:p w14:paraId="122453D7">
      <w:pPr>
        <w:pStyle w:val="10"/>
        <w:pageBreakBefore w:val="0"/>
        <w:widowControl w:val="0"/>
        <w:kinsoku/>
        <w:wordWrap/>
        <w:overflowPunct/>
        <w:topLinePunct w:val="0"/>
        <w:autoSpaceDE/>
        <w:autoSpaceDN/>
        <w:bidi w:val="0"/>
        <w:textAlignment w:val="auto"/>
        <w:outlineLvl w:val="9"/>
        <w:rPr>
          <w:rFonts w:hAnsi="宋体" w:cs="Times New Roman"/>
          <w:b/>
          <w:color w:val="000000"/>
          <w:sz w:val="24"/>
          <w:szCs w:val="24"/>
          <w:highlight w:val="none"/>
        </w:rPr>
      </w:pPr>
    </w:p>
    <w:p w14:paraId="71F6C781">
      <w:pPr>
        <w:pStyle w:val="10"/>
        <w:pageBreakBefore w:val="0"/>
        <w:widowControl w:val="0"/>
        <w:kinsoku/>
        <w:wordWrap/>
        <w:overflowPunct/>
        <w:topLinePunct w:val="0"/>
        <w:autoSpaceDE/>
        <w:autoSpaceDN/>
        <w:bidi w:val="0"/>
        <w:textAlignment w:val="auto"/>
        <w:outlineLvl w:val="9"/>
        <w:rPr>
          <w:rFonts w:hAnsi="宋体" w:cs="Times New Roman"/>
          <w:b/>
          <w:color w:val="000000"/>
          <w:sz w:val="24"/>
          <w:szCs w:val="24"/>
          <w:highlight w:val="none"/>
        </w:rPr>
      </w:pPr>
    </w:p>
    <w:p w14:paraId="172B50AF">
      <w:pPr>
        <w:pStyle w:val="10"/>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Ansi="宋体" w:cs="Times New Roman"/>
          <w:b/>
          <w:color w:val="000000"/>
          <w:sz w:val="24"/>
          <w:szCs w:val="24"/>
          <w:highlight w:val="none"/>
        </w:rPr>
      </w:pPr>
    </w:p>
    <w:p w14:paraId="1DE8BCD6">
      <w:pPr>
        <w:pStyle w:val="10"/>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imes New Roman" w:hAnsi="Times New Roman" w:eastAsia="黑体" w:cs="Times New Roman"/>
          <w:b/>
          <w:bCs/>
          <w:sz w:val="36"/>
          <w:highlight w:val="none"/>
        </w:rPr>
      </w:pPr>
      <w:r>
        <w:rPr>
          <w:rFonts w:hint="eastAsia" w:ascii="Times New Roman" w:hAnsi="Times New Roman" w:eastAsia="黑体" w:cs="Times New Roman"/>
          <w:b/>
          <w:bCs/>
          <w:sz w:val="36"/>
          <w:highlight w:val="none"/>
        </w:rPr>
        <w:t>SRM系统供应商用户手册</w:t>
      </w:r>
    </w:p>
    <w:p w14:paraId="2263DF26">
      <w:pPr>
        <w:pStyle w:val="10"/>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imes New Roman" w:hAnsi="Times New Roman" w:eastAsia="黑体" w:cs="Times New Roman"/>
          <w:b/>
          <w:bCs/>
          <w:sz w:val="36"/>
          <w:highlight w:val="none"/>
        </w:rPr>
      </w:pPr>
    </w:p>
    <w:p w14:paraId="626237FE">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4"/>
          <w:highlight w:val="none"/>
        </w:rPr>
      </w:pPr>
      <w:r>
        <w:rPr>
          <w:rFonts w:hint="eastAsia" w:ascii="宋体" w:hAnsi="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25"/>
          <w:rFonts w:hint="eastAsia" w:ascii="宋体" w:hAnsi="宋体" w:cs="宋体"/>
          <w:sz w:val="24"/>
          <w:szCs w:val="24"/>
          <w:highlight w:val="none"/>
        </w:rPr>
        <w:t>https://ecaitong.sinotruk.com:8012/</w:t>
      </w:r>
      <w:r>
        <w:rPr>
          <w:rStyle w:val="25"/>
          <w:rFonts w:hint="eastAsia" w:ascii="宋体" w:hAnsi="宋体" w:cs="宋体"/>
          <w:sz w:val="24"/>
          <w:szCs w:val="24"/>
          <w:highlight w:val="none"/>
        </w:rPr>
        <w:fldChar w:fldCharType="end"/>
      </w:r>
    </w:p>
    <w:p w14:paraId="5D9BD696">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4"/>
          <w:highlight w:val="none"/>
        </w:rPr>
      </w:pPr>
      <w:r>
        <w:rPr>
          <w:rFonts w:hint="eastAsia" w:ascii="宋体" w:hAnsi="宋体" w:cs="宋体"/>
          <w:color w:val="000000"/>
          <w:sz w:val="24"/>
          <w:szCs w:val="24"/>
          <w:highlight w:val="none"/>
        </w:rPr>
        <w:t>用户名：gys+供应商代码（</w:t>
      </w:r>
      <w:r>
        <w:rPr>
          <w:rFonts w:hint="eastAsia" w:ascii="宋体" w:hAnsi="宋体" w:cs="宋体"/>
          <w:color w:val="FF0000"/>
          <w:sz w:val="24"/>
          <w:szCs w:val="24"/>
          <w:highlight w:val="none"/>
        </w:rPr>
        <w:t>注意：注册完毕后，用户名不要用手机号登录</w:t>
      </w:r>
      <w:r>
        <w:rPr>
          <w:rFonts w:hint="eastAsia" w:ascii="宋体" w:hAnsi="宋体" w:cs="宋体"/>
          <w:color w:val="000000"/>
          <w:sz w:val="24"/>
          <w:szCs w:val="24"/>
          <w:highlight w:val="none"/>
        </w:rPr>
        <w:t>）</w:t>
      </w:r>
    </w:p>
    <w:p w14:paraId="7AB80747">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4"/>
          <w:highlight w:val="none"/>
        </w:rPr>
      </w:pPr>
      <w:r>
        <w:rPr>
          <w:rFonts w:hint="eastAsia" w:ascii="宋体" w:hAnsi="宋体" w:cs="宋体"/>
          <w:color w:val="000000"/>
          <w:sz w:val="24"/>
          <w:szCs w:val="24"/>
          <w:highlight w:val="none"/>
        </w:rPr>
        <w:t>初始密码：scm@2022</w:t>
      </w:r>
    </w:p>
    <w:p w14:paraId="55A7050F">
      <w:pPr>
        <w:pageBreakBefore w:val="0"/>
        <w:widowControl w:val="0"/>
        <w:kinsoku/>
        <w:wordWrap/>
        <w:overflowPunct/>
        <w:topLinePunct w:val="0"/>
        <w:autoSpaceDE/>
        <w:autoSpaceDN/>
        <w:bidi w:val="0"/>
        <w:spacing w:line="360" w:lineRule="auto"/>
        <w:textAlignment w:val="auto"/>
        <w:outlineLvl w:val="9"/>
        <w:rPr>
          <w:rFonts w:ascii="宋体" w:hAnsi="宋体" w:cs="宋体"/>
          <w:b/>
          <w:bCs/>
          <w:color w:val="000000"/>
          <w:sz w:val="24"/>
          <w:szCs w:val="24"/>
          <w:highlight w:val="none"/>
        </w:rPr>
      </w:pPr>
      <w:bookmarkStart w:id="32" w:name="_Toc3323"/>
      <w:r>
        <w:rPr>
          <w:rFonts w:hint="eastAsia" w:ascii="宋体" w:hAnsi="宋体" w:cs="宋体"/>
          <w:b/>
          <w:bCs/>
          <w:color w:val="000000"/>
          <w:sz w:val="24"/>
          <w:szCs w:val="24"/>
          <w:highlight w:val="none"/>
        </w:rPr>
        <w:t>1.供应商应标</w:t>
      </w:r>
      <w:bookmarkEnd w:id="32"/>
    </w:p>
    <w:p w14:paraId="5739BDB5">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4"/>
          <w:highlight w:val="none"/>
        </w:rPr>
      </w:pPr>
      <w:r>
        <w:rPr>
          <w:rFonts w:ascii="宋体" w:hAnsi="宋体" w:cs="宋体"/>
          <w:color w:val="000000"/>
          <w:sz w:val="24"/>
          <w:szCs w:val="24"/>
          <w:highlight w:val="none"/>
        </w:rPr>
        <w:t>路径：招投标中心</w:t>
      </w:r>
      <w:r>
        <w:rPr>
          <w:rFonts w:hint="eastAsia" w:ascii="宋体" w:hAnsi="宋体" w:cs="宋体"/>
          <w:color w:val="000000"/>
          <w:sz w:val="24"/>
          <w:szCs w:val="24"/>
          <w:highlight w:val="none"/>
        </w:rPr>
        <w:t>-</w:t>
      </w:r>
      <w:r>
        <w:rPr>
          <w:rFonts w:ascii="宋体" w:hAnsi="宋体" w:cs="宋体"/>
          <w:color w:val="000000"/>
          <w:sz w:val="24"/>
          <w:szCs w:val="24"/>
          <w:highlight w:val="none"/>
        </w:rPr>
        <w:t>非生产类招投标</w:t>
      </w:r>
      <w:r>
        <w:rPr>
          <w:rFonts w:hint="eastAsia" w:ascii="宋体" w:hAnsi="宋体" w:cs="宋体"/>
          <w:color w:val="000000"/>
          <w:sz w:val="24"/>
          <w:szCs w:val="24"/>
          <w:highlight w:val="none"/>
        </w:rPr>
        <w:t>-</w:t>
      </w:r>
      <w:r>
        <w:rPr>
          <w:rFonts w:ascii="宋体" w:hAnsi="宋体" w:cs="宋体"/>
          <w:color w:val="000000"/>
          <w:sz w:val="24"/>
          <w:szCs w:val="24"/>
          <w:highlight w:val="none"/>
        </w:rPr>
        <w:t>供应商应标</w:t>
      </w:r>
    </w:p>
    <w:p w14:paraId="0D87262B">
      <w:pPr>
        <w:pageBreakBefore w:val="0"/>
        <w:widowControl w:val="0"/>
        <w:kinsoku/>
        <w:wordWrap/>
        <w:overflowPunct/>
        <w:topLinePunct w:val="0"/>
        <w:autoSpaceDE/>
        <w:autoSpaceDN/>
        <w:bidi w:val="0"/>
        <w:spacing w:line="360" w:lineRule="auto"/>
        <w:textAlignment w:val="auto"/>
        <w:outlineLvl w:val="9"/>
        <w:rPr>
          <w:rFonts w:ascii="宋体" w:hAnsi="宋体" w:cs="宋体"/>
          <w:color w:val="000000"/>
          <w:sz w:val="24"/>
          <w:szCs w:val="24"/>
          <w:highlight w:val="none"/>
        </w:rPr>
      </w:pPr>
      <w:r>
        <w:rPr>
          <w:rFonts w:ascii="宋体" w:hAnsi="宋体" w:cs="宋体"/>
          <w:color w:val="000000"/>
          <w:sz w:val="24"/>
          <w:szCs w:val="24"/>
          <w:highlight w:val="none"/>
        </w:rPr>
        <w:t>点击应标，上传文件之后点击提交。</w:t>
      </w:r>
    </w:p>
    <w:p w14:paraId="4CD9076F">
      <w:pPr>
        <w:pageBreakBefore w:val="0"/>
        <w:widowControl w:val="0"/>
        <w:kinsoku/>
        <w:wordWrap/>
        <w:overflowPunct/>
        <w:topLinePunct w:val="0"/>
        <w:autoSpaceDE/>
        <w:autoSpaceDN/>
        <w:bidi w:val="0"/>
        <w:textAlignment w:val="auto"/>
        <w:outlineLvl w:val="9"/>
        <w:rPr>
          <w:highlight w:val="none"/>
        </w:rPr>
      </w:pPr>
      <w:r>
        <w:rPr>
          <w:highlight w:val="none"/>
        </w:rPr>
        <w:drawing>
          <wp:inline distT="0" distB="0" distL="0" distR="0">
            <wp:extent cx="5760085" cy="2269490"/>
            <wp:effectExtent l="0" t="0" r="635" b="127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5"/>
                    <a:stretch>
                      <a:fillRect/>
                    </a:stretch>
                  </pic:blipFill>
                  <pic:spPr>
                    <a:xfrm>
                      <a:off x="0" y="0"/>
                      <a:ext cx="5760085" cy="2269864"/>
                    </a:xfrm>
                    <a:prstGeom prst="rect">
                      <a:avLst/>
                    </a:prstGeom>
                  </pic:spPr>
                </pic:pic>
              </a:graphicData>
            </a:graphic>
          </wp:inline>
        </w:drawing>
      </w:r>
    </w:p>
    <w:p w14:paraId="6A947636">
      <w:pPr>
        <w:pageBreakBefore w:val="0"/>
        <w:widowControl w:val="0"/>
        <w:kinsoku/>
        <w:wordWrap/>
        <w:overflowPunct/>
        <w:topLinePunct w:val="0"/>
        <w:autoSpaceDE/>
        <w:autoSpaceDN/>
        <w:bidi w:val="0"/>
        <w:textAlignment w:val="auto"/>
        <w:outlineLvl w:val="9"/>
        <w:rPr>
          <w:highlight w:val="none"/>
        </w:rPr>
      </w:pPr>
    </w:p>
    <w:p w14:paraId="20789426">
      <w:pPr>
        <w:pageBreakBefore w:val="0"/>
        <w:widowControl w:val="0"/>
        <w:kinsoku/>
        <w:wordWrap/>
        <w:overflowPunct/>
        <w:topLinePunct w:val="0"/>
        <w:autoSpaceDE/>
        <w:autoSpaceDN/>
        <w:bidi w:val="0"/>
        <w:spacing w:line="360" w:lineRule="auto"/>
        <w:textAlignment w:val="auto"/>
        <w:outlineLvl w:val="9"/>
        <w:rPr>
          <w:rFonts w:ascii="宋体" w:hAnsi="宋体" w:cs="宋体"/>
          <w:b/>
          <w:bCs/>
          <w:color w:val="000000"/>
          <w:sz w:val="24"/>
          <w:szCs w:val="24"/>
          <w:highlight w:val="none"/>
        </w:rPr>
      </w:pPr>
      <w:bookmarkStart w:id="33" w:name="_Toc4507"/>
      <w:r>
        <w:rPr>
          <w:rFonts w:hint="eastAsia" w:ascii="宋体" w:hAnsi="宋体" w:cs="宋体"/>
          <w:b/>
          <w:bCs/>
          <w:color w:val="000000"/>
          <w:sz w:val="24"/>
          <w:szCs w:val="24"/>
          <w:highlight w:val="none"/>
        </w:rPr>
        <w:t>2.供应商投标</w:t>
      </w:r>
      <w:bookmarkEnd w:id="33"/>
    </w:p>
    <w:p w14:paraId="128FAABC">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4"/>
          <w:highlight w:val="none"/>
        </w:rPr>
      </w:pPr>
      <w:r>
        <w:rPr>
          <w:rFonts w:ascii="宋体" w:hAnsi="宋体" w:cs="宋体"/>
          <w:color w:val="000000"/>
          <w:sz w:val="24"/>
          <w:szCs w:val="24"/>
          <w:highlight w:val="none"/>
        </w:rPr>
        <w:t>路径：招投标中心</w:t>
      </w:r>
      <w:r>
        <w:rPr>
          <w:rFonts w:hint="eastAsia" w:ascii="宋体" w:hAnsi="宋体" w:cs="宋体"/>
          <w:color w:val="000000"/>
          <w:sz w:val="24"/>
          <w:szCs w:val="24"/>
          <w:highlight w:val="none"/>
        </w:rPr>
        <w:t>-</w:t>
      </w:r>
      <w:r>
        <w:rPr>
          <w:rFonts w:ascii="宋体" w:hAnsi="宋体" w:cs="宋体"/>
          <w:color w:val="000000"/>
          <w:sz w:val="24"/>
          <w:szCs w:val="24"/>
          <w:highlight w:val="none"/>
        </w:rPr>
        <w:t>非生产类招投标</w:t>
      </w:r>
      <w:r>
        <w:rPr>
          <w:rFonts w:hint="eastAsia" w:ascii="宋体" w:hAnsi="宋体" w:cs="宋体"/>
          <w:color w:val="000000"/>
          <w:sz w:val="24"/>
          <w:szCs w:val="24"/>
          <w:highlight w:val="none"/>
        </w:rPr>
        <w:t>-</w:t>
      </w:r>
      <w:r>
        <w:rPr>
          <w:rFonts w:ascii="宋体" w:hAnsi="宋体" w:cs="宋体"/>
          <w:color w:val="000000"/>
          <w:sz w:val="24"/>
          <w:szCs w:val="24"/>
          <w:highlight w:val="none"/>
        </w:rPr>
        <w:t>供应商投标</w:t>
      </w:r>
    </w:p>
    <w:p w14:paraId="3EBDAA46">
      <w:pPr>
        <w:pageBreakBefore w:val="0"/>
        <w:widowControl w:val="0"/>
        <w:kinsoku/>
        <w:wordWrap/>
        <w:overflowPunct/>
        <w:topLinePunct w:val="0"/>
        <w:autoSpaceDE/>
        <w:autoSpaceDN/>
        <w:bidi w:val="0"/>
        <w:textAlignment w:val="auto"/>
        <w:outlineLvl w:val="9"/>
        <w:rPr>
          <w:rFonts w:ascii="宋体" w:hAnsi="宋体" w:cs="宋体"/>
          <w:color w:val="000000"/>
          <w:highlight w:val="none"/>
        </w:rPr>
      </w:pPr>
      <w:r>
        <w:rPr>
          <w:rFonts w:ascii="宋体" w:hAnsi="宋体" w:cs="宋体"/>
          <w:color w:val="000000"/>
          <w:highlight w:val="none"/>
        </w:rPr>
        <w:drawing>
          <wp:inline distT="0" distB="0" distL="0" distR="0">
            <wp:extent cx="5760085" cy="2125345"/>
            <wp:effectExtent l="0" t="0" r="63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6"/>
                    <a:stretch>
                      <a:fillRect/>
                    </a:stretch>
                  </pic:blipFill>
                  <pic:spPr>
                    <a:xfrm>
                      <a:off x="0" y="0"/>
                      <a:ext cx="5760085" cy="2125673"/>
                    </a:xfrm>
                    <a:prstGeom prst="rect">
                      <a:avLst/>
                    </a:prstGeom>
                  </pic:spPr>
                </pic:pic>
              </a:graphicData>
            </a:graphic>
          </wp:inline>
        </w:drawing>
      </w:r>
    </w:p>
    <w:p w14:paraId="2CAAD949">
      <w:pPr>
        <w:pageBreakBefore w:val="0"/>
        <w:widowControl w:val="0"/>
        <w:kinsoku/>
        <w:wordWrap/>
        <w:overflowPunct/>
        <w:topLinePunct w:val="0"/>
        <w:autoSpaceDE/>
        <w:autoSpaceDN/>
        <w:bidi w:val="0"/>
        <w:spacing w:line="360" w:lineRule="auto"/>
        <w:textAlignment w:val="auto"/>
        <w:outlineLvl w:val="9"/>
        <w:rPr>
          <w:rFonts w:ascii="宋体" w:hAnsi="宋体" w:cs="宋体"/>
          <w:color w:val="000000"/>
          <w:sz w:val="24"/>
          <w:szCs w:val="28"/>
          <w:highlight w:val="none"/>
        </w:rPr>
      </w:pPr>
      <w:r>
        <w:rPr>
          <w:rFonts w:ascii="宋体" w:hAnsi="宋体" w:cs="宋体"/>
          <w:color w:val="000000"/>
          <w:sz w:val="24"/>
          <w:szCs w:val="28"/>
          <w:highlight w:val="none"/>
        </w:rPr>
        <w:t>点击投标按钮，进入详情页，输入投标报价并上传相应的附件。</w:t>
      </w:r>
    </w:p>
    <w:p w14:paraId="6FF8BA1B">
      <w:pPr>
        <w:pStyle w:val="10"/>
        <w:pageBreakBefore w:val="0"/>
        <w:widowControl w:val="0"/>
        <w:kinsoku/>
        <w:wordWrap/>
        <w:overflowPunct/>
        <w:topLinePunct w:val="0"/>
        <w:autoSpaceDE/>
        <w:autoSpaceDN/>
        <w:bidi w:val="0"/>
        <w:textAlignment w:val="auto"/>
        <w:outlineLvl w:val="9"/>
        <w:rPr>
          <w:highlight w:val="none"/>
        </w:rPr>
      </w:pPr>
      <w:r>
        <w:rPr>
          <w:rFonts w:hint="eastAsia" w:hAnsi="宋体" w:cs="宋体"/>
          <w:color w:val="000000"/>
          <w:sz w:val="24"/>
          <w:szCs w:val="28"/>
          <w:highlight w:val="none"/>
        </w:rPr>
        <w:t>注意：系统内的投标报价单位为“万元”，如开标现场发现填错报价，即直接淘汰。</w:t>
      </w:r>
    </w:p>
    <w:p w14:paraId="683CE859">
      <w:pPr>
        <w:pageBreakBefore w:val="0"/>
        <w:widowControl w:val="0"/>
        <w:numPr>
          <w:ilvl w:val="0"/>
          <w:numId w:val="0"/>
        </w:numPr>
        <w:kinsoku/>
        <w:wordWrap/>
        <w:overflowPunct/>
        <w:topLinePunct w:val="0"/>
        <w:autoSpaceDE/>
        <w:autoSpaceDN/>
        <w:bidi w:val="0"/>
        <w:textAlignment w:val="auto"/>
        <w:outlineLvl w:val="9"/>
        <w:rPr>
          <w:rFonts w:eastAsia="Arial" w:cs="Arial"/>
          <w:color w:val="000000"/>
          <w:highlight w:val="none"/>
        </w:rPr>
      </w:pPr>
      <w:r>
        <w:rPr>
          <w:rFonts w:eastAsia="Arial" w:cs="Arial"/>
          <w:color w:val="000000"/>
          <w:highlight w:val="none"/>
        </w:rPr>
        <w:drawing>
          <wp:inline distT="0" distB="0" distL="0" distR="0">
            <wp:extent cx="5490210" cy="2668905"/>
            <wp:effectExtent l="0" t="0" r="11430" b="1333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7"/>
                    <a:stretch>
                      <a:fillRect/>
                    </a:stretch>
                  </pic:blipFill>
                  <pic:spPr>
                    <a:xfrm>
                      <a:off x="0" y="0"/>
                      <a:ext cx="5490210" cy="2669498"/>
                    </a:xfrm>
                    <a:prstGeom prst="rect">
                      <a:avLst/>
                    </a:prstGeom>
                  </pic:spPr>
                </pic:pic>
              </a:graphicData>
            </a:graphic>
          </wp:inline>
        </w:drawing>
      </w:r>
    </w:p>
    <w:p w14:paraId="7BCFD73C">
      <w:pPr>
        <w:pageBreakBefore w:val="0"/>
        <w:widowControl w:val="0"/>
        <w:kinsoku/>
        <w:wordWrap/>
        <w:overflowPunct/>
        <w:topLinePunct w:val="0"/>
        <w:autoSpaceDE/>
        <w:autoSpaceDN/>
        <w:bidi w:val="0"/>
        <w:spacing w:line="360" w:lineRule="auto"/>
        <w:textAlignment w:val="auto"/>
        <w:outlineLvl w:val="9"/>
        <w:rPr>
          <w:rFonts w:ascii="宋体" w:hAnsi="宋体" w:cs="宋体"/>
          <w:b/>
          <w:bCs/>
          <w:color w:val="000000"/>
          <w:sz w:val="24"/>
          <w:szCs w:val="24"/>
          <w:highlight w:val="none"/>
        </w:rPr>
      </w:pPr>
      <w:bookmarkStart w:id="34" w:name="_Toc30037"/>
      <w:r>
        <w:rPr>
          <w:rFonts w:hint="eastAsia" w:ascii="宋体" w:hAnsi="宋体" w:cs="宋体"/>
          <w:b/>
          <w:bCs/>
          <w:color w:val="000000"/>
          <w:sz w:val="24"/>
          <w:szCs w:val="24"/>
          <w:highlight w:val="none"/>
        </w:rPr>
        <w:t>3.供应商技术标澄清函</w:t>
      </w:r>
      <w:bookmarkEnd w:id="34"/>
    </w:p>
    <w:p w14:paraId="2559FDBD">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4"/>
          <w:highlight w:val="none"/>
        </w:rPr>
      </w:pPr>
      <w:r>
        <w:rPr>
          <w:rFonts w:ascii="宋体" w:hAnsi="宋体" w:cs="宋体"/>
          <w:color w:val="000000"/>
          <w:sz w:val="24"/>
          <w:szCs w:val="24"/>
          <w:highlight w:val="none"/>
        </w:rPr>
        <w:t>路径：招投标中心</w:t>
      </w:r>
      <w:r>
        <w:rPr>
          <w:rFonts w:hint="eastAsia" w:ascii="宋体" w:hAnsi="宋体" w:cs="宋体"/>
          <w:color w:val="000000"/>
          <w:sz w:val="24"/>
          <w:szCs w:val="24"/>
          <w:highlight w:val="none"/>
        </w:rPr>
        <w:t>-</w:t>
      </w:r>
      <w:r>
        <w:rPr>
          <w:rFonts w:ascii="宋体" w:hAnsi="宋体" w:cs="宋体"/>
          <w:color w:val="000000"/>
          <w:sz w:val="24"/>
          <w:szCs w:val="24"/>
          <w:highlight w:val="none"/>
        </w:rPr>
        <w:t>非生产类招投标</w:t>
      </w:r>
      <w:r>
        <w:rPr>
          <w:rFonts w:hint="eastAsia" w:ascii="宋体" w:hAnsi="宋体" w:cs="宋体"/>
          <w:color w:val="000000"/>
          <w:sz w:val="24"/>
          <w:szCs w:val="24"/>
          <w:highlight w:val="none"/>
        </w:rPr>
        <w:t>-</w:t>
      </w:r>
      <w:r>
        <w:rPr>
          <w:rFonts w:ascii="宋体" w:hAnsi="宋体" w:cs="宋体"/>
          <w:color w:val="000000"/>
          <w:sz w:val="24"/>
          <w:szCs w:val="24"/>
          <w:highlight w:val="none"/>
        </w:rPr>
        <w:t>供应商技术标澄清函</w:t>
      </w:r>
    </w:p>
    <w:p w14:paraId="32D2CC89">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4"/>
          <w:highlight w:val="none"/>
        </w:rPr>
      </w:pPr>
      <w:r>
        <w:rPr>
          <w:rFonts w:ascii="宋体" w:hAnsi="宋体" w:cs="宋体"/>
          <w:color w:val="000000"/>
          <w:sz w:val="24"/>
          <w:szCs w:val="24"/>
          <w:highlight w:val="none"/>
        </w:rPr>
        <w:t>点击编辑按钮进入系统，上传技术标澄清函。</w:t>
      </w:r>
    </w:p>
    <w:p w14:paraId="15B48090">
      <w:pPr>
        <w:pageBreakBefore w:val="0"/>
        <w:widowControl w:val="0"/>
        <w:kinsoku/>
        <w:wordWrap/>
        <w:overflowPunct/>
        <w:topLinePunct w:val="0"/>
        <w:autoSpaceDE/>
        <w:autoSpaceDN/>
        <w:bidi w:val="0"/>
        <w:spacing w:line="360" w:lineRule="auto"/>
        <w:textAlignment w:val="auto"/>
        <w:outlineLvl w:val="9"/>
        <w:rPr>
          <w:rFonts w:ascii="Arial" w:hAnsi="Arial" w:eastAsia="Arial" w:cs="Arial"/>
          <w:color w:val="000000"/>
          <w:sz w:val="28"/>
          <w:highlight w:val="none"/>
        </w:rPr>
      </w:pPr>
      <w:r>
        <w:rPr>
          <w:rFonts w:ascii="宋体" w:hAnsi="宋体" w:cs="宋体"/>
          <w:color w:val="000000"/>
          <w:sz w:val="24"/>
          <w:szCs w:val="24"/>
          <w:highlight w:val="none"/>
        </w:rPr>
        <w:t>开标之后所有投标的供应商都可编辑提交，技术标入围之后都不可编辑</w:t>
      </w:r>
      <w:r>
        <w:rPr>
          <w:rFonts w:ascii="Arial" w:hAnsi="Arial" w:eastAsia="Arial" w:cs="Arial"/>
          <w:color w:val="000000"/>
          <w:sz w:val="28"/>
          <w:highlight w:val="none"/>
        </w:rPr>
        <w:drawing>
          <wp:inline distT="0" distB="0" distL="0" distR="0">
            <wp:extent cx="5490210" cy="1992630"/>
            <wp:effectExtent l="0" t="0" r="11430" b="381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8"/>
                    <a:stretch>
                      <a:fillRect/>
                    </a:stretch>
                  </pic:blipFill>
                  <pic:spPr>
                    <a:xfrm>
                      <a:off x="0" y="0"/>
                      <a:ext cx="5490210" cy="1992743"/>
                    </a:xfrm>
                    <a:prstGeom prst="rect">
                      <a:avLst/>
                    </a:prstGeom>
                  </pic:spPr>
                </pic:pic>
              </a:graphicData>
            </a:graphic>
          </wp:inline>
        </w:drawing>
      </w:r>
    </w:p>
    <w:p w14:paraId="5565014E">
      <w:pPr>
        <w:pageBreakBefore w:val="0"/>
        <w:widowControl w:val="0"/>
        <w:kinsoku/>
        <w:wordWrap/>
        <w:overflowPunct/>
        <w:topLinePunct w:val="0"/>
        <w:autoSpaceDE/>
        <w:autoSpaceDN/>
        <w:bidi w:val="0"/>
        <w:spacing w:line="360" w:lineRule="auto"/>
        <w:textAlignment w:val="auto"/>
        <w:outlineLvl w:val="9"/>
        <w:rPr>
          <w:rFonts w:ascii="宋体" w:hAnsi="宋体" w:cs="宋体"/>
          <w:b/>
          <w:bCs/>
          <w:color w:val="000000"/>
          <w:sz w:val="24"/>
          <w:szCs w:val="24"/>
          <w:highlight w:val="none"/>
        </w:rPr>
      </w:pPr>
      <w:bookmarkStart w:id="35" w:name="_Toc3204"/>
      <w:r>
        <w:rPr>
          <w:rFonts w:hint="eastAsia" w:ascii="宋体" w:hAnsi="宋体" w:cs="宋体"/>
          <w:b/>
          <w:bCs/>
          <w:color w:val="000000"/>
          <w:sz w:val="24"/>
          <w:szCs w:val="24"/>
          <w:highlight w:val="none"/>
        </w:rPr>
        <w:t>4.供应商报价</w:t>
      </w:r>
      <w:bookmarkEnd w:id="35"/>
    </w:p>
    <w:p w14:paraId="5FABB5E3">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4"/>
          <w:highlight w:val="none"/>
        </w:rPr>
      </w:pPr>
      <w:r>
        <w:rPr>
          <w:rFonts w:ascii="宋体" w:hAnsi="宋体" w:cs="宋体"/>
          <w:color w:val="000000"/>
          <w:sz w:val="24"/>
          <w:szCs w:val="24"/>
          <w:highlight w:val="none"/>
        </w:rPr>
        <w:t>路径：招投标中心</w:t>
      </w:r>
      <w:r>
        <w:rPr>
          <w:rFonts w:hint="eastAsia" w:ascii="宋体" w:hAnsi="宋体" w:cs="宋体"/>
          <w:color w:val="000000"/>
          <w:sz w:val="24"/>
          <w:szCs w:val="24"/>
          <w:highlight w:val="none"/>
        </w:rPr>
        <w:t>-</w:t>
      </w:r>
      <w:r>
        <w:rPr>
          <w:rFonts w:ascii="宋体" w:hAnsi="宋体" w:cs="宋体"/>
          <w:color w:val="000000"/>
          <w:sz w:val="24"/>
          <w:szCs w:val="24"/>
          <w:highlight w:val="none"/>
        </w:rPr>
        <w:t>非生产类招投标</w:t>
      </w:r>
      <w:r>
        <w:rPr>
          <w:rFonts w:hint="eastAsia" w:ascii="宋体" w:hAnsi="宋体" w:cs="宋体"/>
          <w:color w:val="000000"/>
          <w:sz w:val="24"/>
          <w:szCs w:val="24"/>
          <w:highlight w:val="none"/>
        </w:rPr>
        <w:t>-</w:t>
      </w:r>
      <w:r>
        <w:rPr>
          <w:rFonts w:ascii="宋体" w:hAnsi="宋体" w:cs="宋体"/>
          <w:color w:val="000000"/>
          <w:sz w:val="24"/>
          <w:szCs w:val="24"/>
          <w:highlight w:val="none"/>
        </w:rPr>
        <w:t>供应商报价</w:t>
      </w:r>
    </w:p>
    <w:p w14:paraId="0930DEE9">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4"/>
          <w:highlight w:val="none"/>
        </w:rPr>
      </w:pPr>
      <w:r>
        <w:rPr>
          <w:rFonts w:ascii="宋体" w:hAnsi="宋体" w:cs="宋体"/>
          <w:color w:val="000000"/>
          <w:sz w:val="24"/>
          <w:szCs w:val="24"/>
          <w:highlight w:val="none"/>
        </w:rPr>
        <w:t>点击报价按钮进入报价详情界面，请在此轮报价起止时间内报价，否则无法报价。</w:t>
      </w:r>
    </w:p>
    <w:p w14:paraId="7A837318">
      <w:pPr>
        <w:pageBreakBefore w:val="0"/>
        <w:widowControl w:val="0"/>
        <w:kinsoku/>
        <w:wordWrap/>
        <w:overflowPunct/>
        <w:topLinePunct w:val="0"/>
        <w:autoSpaceDE/>
        <w:autoSpaceDN/>
        <w:bidi w:val="0"/>
        <w:spacing w:line="360" w:lineRule="auto"/>
        <w:textAlignment w:val="auto"/>
        <w:outlineLvl w:val="9"/>
        <w:rPr>
          <w:rFonts w:ascii="宋体" w:hAnsi="宋体" w:cs="宋体"/>
          <w:b/>
          <w:bCs/>
          <w:color w:val="000000"/>
          <w:sz w:val="24"/>
          <w:szCs w:val="24"/>
          <w:highlight w:val="none"/>
        </w:rPr>
      </w:pPr>
      <w:bookmarkStart w:id="36" w:name="_Toc31317"/>
      <w:r>
        <w:rPr>
          <w:rFonts w:hint="eastAsia" w:ascii="宋体" w:hAnsi="宋体" w:cs="宋体"/>
          <w:b/>
          <w:bCs/>
          <w:color w:val="000000"/>
          <w:sz w:val="24"/>
          <w:szCs w:val="24"/>
          <w:highlight w:val="none"/>
        </w:rPr>
        <w:t>5.供应商澄清报价</w:t>
      </w:r>
      <w:bookmarkEnd w:id="36"/>
    </w:p>
    <w:p w14:paraId="747B75AB">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4"/>
          <w:highlight w:val="none"/>
        </w:rPr>
      </w:pPr>
      <w:r>
        <w:rPr>
          <w:rFonts w:ascii="宋体" w:hAnsi="宋体" w:cs="宋体"/>
          <w:color w:val="000000"/>
          <w:sz w:val="24"/>
          <w:szCs w:val="24"/>
          <w:highlight w:val="none"/>
        </w:rPr>
        <w:t>路径：招投标中心</w:t>
      </w:r>
      <w:r>
        <w:rPr>
          <w:rFonts w:hint="eastAsia" w:ascii="宋体" w:hAnsi="宋体" w:cs="宋体"/>
          <w:color w:val="000000"/>
          <w:sz w:val="24"/>
          <w:szCs w:val="24"/>
          <w:highlight w:val="none"/>
        </w:rPr>
        <w:t>-</w:t>
      </w:r>
      <w:r>
        <w:rPr>
          <w:rFonts w:ascii="宋体" w:hAnsi="宋体" w:cs="宋体"/>
          <w:color w:val="000000"/>
          <w:sz w:val="24"/>
          <w:szCs w:val="24"/>
          <w:highlight w:val="none"/>
        </w:rPr>
        <w:t>非生产类招投标</w:t>
      </w:r>
      <w:r>
        <w:rPr>
          <w:rFonts w:hint="eastAsia" w:ascii="宋体" w:hAnsi="宋体" w:cs="宋体"/>
          <w:color w:val="000000"/>
          <w:sz w:val="24"/>
          <w:szCs w:val="24"/>
          <w:highlight w:val="none"/>
        </w:rPr>
        <w:t>-</w:t>
      </w:r>
      <w:r>
        <w:rPr>
          <w:rFonts w:ascii="宋体" w:hAnsi="宋体" w:cs="宋体"/>
          <w:color w:val="000000"/>
          <w:sz w:val="24"/>
          <w:szCs w:val="24"/>
          <w:highlight w:val="none"/>
        </w:rPr>
        <w:t>供应商澄清报价</w:t>
      </w:r>
    </w:p>
    <w:p w14:paraId="7E1AA56A">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4"/>
          <w:highlight w:val="none"/>
        </w:rPr>
      </w:pPr>
      <w:r>
        <w:rPr>
          <w:rFonts w:ascii="宋体" w:hAnsi="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6F6A1732">
      <w:pPr>
        <w:pageBreakBefore w:val="0"/>
        <w:widowControl w:val="0"/>
        <w:numPr>
          <w:ilvl w:val="0"/>
          <w:numId w:val="0"/>
        </w:numPr>
        <w:kinsoku/>
        <w:wordWrap/>
        <w:overflowPunct/>
        <w:topLinePunct w:val="0"/>
        <w:autoSpaceDE/>
        <w:autoSpaceDN/>
        <w:bidi w:val="0"/>
        <w:textAlignment w:val="auto"/>
        <w:outlineLvl w:val="9"/>
        <w:rPr>
          <w:rFonts w:eastAsia="Arial" w:cs="Arial"/>
          <w:color w:val="000000"/>
          <w:highlight w:val="none"/>
        </w:rPr>
      </w:pPr>
      <w:r>
        <w:rPr>
          <w:rFonts w:eastAsia="Arial" w:cs="Arial"/>
          <w:color w:val="000000"/>
          <w:highlight w:val="none"/>
        </w:rPr>
        <w:drawing>
          <wp:inline distT="0" distB="0" distL="0" distR="0">
            <wp:extent cx="5490210" cy="2544445"/>
            <wp:effectExtent l="0" t="0" r="11430" b="63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9"/>
                    <a:stretch>
                      <a:fillRect/>
                    </a:stretch>
                  </pic:blipFill>
                  <pic:spPr>
                    <a:xfrm>
                      <a:off x="0" y="0"/>
                      <a:ext cx="5490210" cy="2544669"/>
                    </a:xfrm>
                    <a:prstGeom prst="rect">
                      <a:avLst/>
                    </a:prstGeom>
                  </pic:spPr>
                </pic:pic>
              </a:graphicData>
            </a:graphic>
          </wp:inline>
        </w:drawing>
      </w:r>
    </w:p>
    <w:p w14:paraId="5E92003A">
      <w:pPr>
        <w:pageBreakBefore w:val="0"/>
        <w:widowControl w:val="0"/>
        <w:kinsoku/>
        <w:wordWrap/>
        <w:overflowPunct/>
        <w:topLinePunct w:val="0"/>
        <w:autoSpaceDE/>
        <w:autoSpaceDN/>
        <w:bidi w:val="0"/>
        <w:spacing w:line="360" w:lineRule="auto"/>
        <w:textAlignment w:val="auto"/>
        <w:outlineLvl w:val="9"/>
        <w:rPr>
          <w:rFonts w:ascii="宋体" w:hAnsi="宋体" w:cs="宋体"/>
          <w:b/>
          <w:bCs/>
          <w:color w:val="000000"/>
          <w:sz w:val="24"/>
          <w:szCs w:val="24"/>
          <w:highlight w:val="none"/>
        </w:rPr>
      </w:pPr>
      <w:bookmarkStart w:id="37" w:name="_Toc26492"/>
      <w:r>
        <w:rPr>
          <w:rFonts w:hint="eastAsia" w:ascii="宋体" w:hAnsi="宋体" w:cs="宋体"/>
          <w:b/>
          <w:bCs/>
          <w:color w:val="000000"/>
          <w:sz w:val="24"/>
          <w:szCs w:val="24"/>
          <w:highlight w:val="none"/>
        </w:rPr>
        <w:t>6.供应商查看中标通知</w:t>
      </w:r>
      <w:bookmarkEnd w:id="37"/>
    </w:p>
    <w:p w14:paraId="6DBC83F2">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4"/>
          <w:highlight w:val="none"/>
        </w:rPr>
      </w:pPr>
      <w:r>
        <w:rPr>
          <w:rFonts w:ascii="宋体" w:hAnsi="宋体" w:cs="宋体"/>
          <w:color w:val="000000"/>
          <w:sz w:val="24"/>
          <w:szCs w:val="24"/>
          <w:highlight w:val="none"/>
        </w:rPr>
        <w:t>路径：招投标中心</w:t>
      </w:r>
      <w:r>
        <w:rPr>
          <w:rFonts w:hint="eastAsia" w:ascii="宋体" w:hAnsi="宋体" w:cs="宋体"/>
          <w:color w:val="000000"/>
          <w:sz w:val="24"/>
          <w:szCs w:val="24"/>
          <w:highlight w:val="none"/>
        </w:rPr>
        <w:t>-</w:t>
      </w:r>
      <w:r>
        <w:rPr>
          <w:rFonts w:ascii="宋体" w:hAnsi="宋体" w:cs="宋体"/>
          <w:color w:val="000000"/>
          <w:sz w:val="24"/>
          <w:szCs w:val="24"/>
          <w:highlight w:val="none"/>
        </w:rPr>
        <w:t>非生产类招投标</w:t>
      </w:r>
      <w:r>
        <w:rPr>
          <w:rFonts w:hint="eastAsia" w:ascii="宋体" w:hAnsi="宋体" w:cs="宋体"/>
          <w:color w:val="000000"/>
          <w:sz w:val="24"/>
          <w:szCs w:val="24"/>
          <w:highlight w:val="none"/>
        </w:rPr>
        <w:t>-</w:t>
      </w:r>
      <w:r>
        <w:rPr>
          <w:rFonts w:ascii="宋体" w:hAnsi="宋体" w:cs="宋体"/>
          <w:color w:val="000000"/>
          <w:sz w:val="24"/>
          <w:szCs w:val="24"/>
          <w:highlight w:val="none"/>
        </w:rPr>
        <w:t>中标项目</w:t>
      </w:r>
    </w:p>
    <w:p w14:paraId="15452DC8">
      <w:pPr>
        <w:pageBreakBefore w:val="0"/>
        <w:widowControl w:val="0"/>
        <w:kinsoku/>
        <w:wordWrap/>
        <w:overflowPunct/>
        <w:topLinePunct w:val="0"/>
        <w:autoSpaceDE/>
        <w:autoSpaceDN/>
        <w:bidi w:val="0"/>
        <w:spacing w:line="360" w:lineRule="auto"/>
        <w:textAlignment w:val="auto"/>
        <w:outlineLvl w:val="9"/>
        <w:rPr>
          <w:rFonts w:ascii="宋体" w:hAnsi="宋体" w:cs="宋体"/>
          <w:sz w:val="24"/>
          <w:szCs w:val="24"/>
          <w:highlight w:val="none"/>
        </w:rPr>
      </w:pPr>
      <w:r>
        <w:rPr>
          <w:rFonts w:ascii="宋体" w:hAnsi="宋体" w:cs="宋体"/>
          <w:color w:val="000000"/>
          <w:sz w:val="24"/>
          <w:szCs w:val="24"/>
          <w:highlight w:val="none"/>
        </w:rPr>
        <w:t>点击查看进入查看中标项目详情</w:t>
      </w:r>
    </w:p>
    <w:p w14:paraId="7EC5B441">
      <w:pPr>
        <w:pageBreakBefore w:val="0"/>
        <w:widowControl w:val="0"/>
        <w:kinsoku/>
        <w:wordWrap/>
        <w:overflowPunct/>
        <w:topLinePunct w:val="0"/>
        <w:autoSpaceDE/>
        <w:autoSpaceDN/>
        <w:bidi w:val="0"/>
        <w:textAlignment w:val="auto"/>
        <w:outlineLvl w:val="9"/>
        <w:rPr>
          <w:highlight w:val="none"/>
        </w:rPr>
      </w:pPr>
      <w:r>
        <w:rPr>
          <w:highlight w:val="none"/>
        </w:rPr>
        <w:drawing>
          <wp:inline distT="0" distB="0" distL="0" distR="0">
            <wp:extent cx="5760085" cy="2489835"/>
            <wp:effectExtent l="0" t="0" r="635" b="952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0"/>
                    <a:stretch>
                      <a:fillRect/>
                    </a:stretch>
                  </pic:blipFill>
                  <pic:spPr>
                    <a:xfrm>
                      <a:off x="0" y="0"/>
                      <a:ext cx="5760085" cy="2489835"/>
                    </a:xfrm>
                    <a:prstGeom prst="rect">
                      <a:avLst/>
                    </a:prstGeom>
                  </pic:spPr>
                </pic:pic>
              </a:graphicData>
            </a:graphic>
          </wp:inline>
        </w:drawing>
      </w:r>
    </w:p>
    <w:p w14:paraId="1707729C">
      <w:pPr>
        <w:pStyle w:val="10"/>
        <w:pageBreakBefore w:val="0"/>
        <w:widowControl w:val="0"/>
        <w:kinsoku/>
        <w:wordWrap/>
        <w:overflowPunct/>
        <w:topLinePunct w:val="0"/>
        <w:autoSpaceDE/>
        <w:autoSpaceDN/>
        <w:bidi w:val="0"/>
        <w:textAlignment w:val="auto"/>
        <w:outlineLvl w:val="9"/>
        <w:rPr>
          <w:rFonts w:hAnsi="宋体" w:cs="Times New Roman"/>
          <w:b/>
          <w:color w:val="000000"/>
          <w:sz w:val="24"/>
          <w:szCs w:val="24"/>
          <w:highlight w:val="none"/>
        </w:rPr>
      </w:pPr>
    </w:p>
    <w:p w14:paraId="18C6D490">
      <w:pPr>
        <w:pageBreakBefore w:val="0"/>
        <w:widowControl w:val="0"/>
        <w:kinsoku/>
        <w:wordWrap/>
        <w:overflowPunct/>
        <w:topLinePunct w:val="0"/>
        <w:autoSpaceDE/>
        <w:autoSpaceDN/>
        <w:bidi w:val="0"/>
        <w:spacing w:line="440" w:lineRule="exact"/>
        <w:ind w:firstLine="420" w:firstLineChars="200"/>
        <w:textAlignment w:val="auto"/>
        <w:outlineLvl w:val="9"/>
        <w:rPr>
          <w:rFonts w:ascii="宋体" w:hAnsi="Courier New"/>
          <w:highlight w:val="none"/>
        </w:rPr>
      </w:pPr>
    </w:p>
    <w:p w14:paraId="56E175A2">
      <w:pPr>
        <w:pStyle w:val="7"/>
        <w:pageBreakBefore w:val="0"/>
        <w:widowControl w:val="0"/>
        <w:kinsoku/>
        <w:wordWrap/>
        <w:overflowPunct/>
        <w:topLinePunct w:val="0"/>
        <w:autoSpaceDE/>
        <w:autoSpaceDN/>
        <w:bidi w:val="0"/>
        <w:textAlignment w:val="auto"/>
        <w:outlineLvl w:val="9"/>
        <w:rPr>
          <w:rFonts w:ascii="宋体" w:hAnsi="宋体"/>
          <w:sz w:val="24"/>
          <w:highlight w:val="none"/>
        </w:rPr>
      </w:pPr>
    </w:p>
    <w:p w14:paraId="2D027593">
      <w:pPr>
        <w:pStyle w:val="7"/>
        <w:pageBreakBefore w:val="0"/>
        <w:widowControl w:val="0"/>
        <w:kinsoku/>
        <w:wordWrap/>
        <w:overflowPunct/>
        <w:topLinePunct w:val="0"/>
        <w:autoSpaceDE/>
        <w:autoSpaceDN/>
        <w:bidi w:val="0"/>
        <w:textAlignment w:val="auto"/>
        <w:outlineLvl w:val="9"/>
        <w:rPr>
          <w:highlight w:val="none"/>
        </w:rPr>
      </w:pPr>
    </w:p>
    <w:p w14:paraId="7548A8B5">
      <w:pPr>
        <w:rPr>
          <w:highlight w:val="none"/>
        </w:rPr>
      </w:pPr>
    </w:p>
    <w:sectPr>
      <w:pgSz w:w="11906" w:h="16838"/>
      <w:pgMar w:top="1587" w:right="1417" w:bottom="1134" w:left="1417" w:header="851" w:footer="992" w:gutter="0"/>
      <w:pgNumType w:fmt="decimal"/>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3"/>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-18-</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F3437">
    <w:pPr>
      <w:pStyle w:val="13"/>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65EA7">
    <w:pPr>
      <w:pStyle w:val="13"/>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F74046">
                          <w:pPr>
                            <w:pStyle w:val="13"/>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0F74046">
                    <w:pPr>
                      <w:pStyle w:val="1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1C240">
    <w:pPr>
      <w:pStyle w:val="13"/>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22439">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D722439">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D18C3">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03BC2"/>
    <w:multiLevelType w:val="singleLevel"/>
    <w:tmpl w:val="AAA03BC2"/>
    <w:lvl w:ilvl="0" w:tentative="0">
      <w:start w:val="1"/>
      <w:numFmt w:val="decimal"/>
      <w:pStyle w:val="4"/>
      <w:lvlText w:val="%1."/>
      <w:lvlJc w:val="left"/>
      <w:pPr>
        <w:ind w:left="425" w:hanging="425"/>
      </w:pPr>
      <w:rPr>
        <w:rFonts w:hint="default"/>
      </w:rPr>
    </w:lvl>
  </w:abstractNum>
  <w:abstractNum w:abstractNumId="1">
    <w:nsid w:val="56D20133"/>
    <w:multiLevelType w:val="multilevel"/>
    <w:tmpl w:val="56D20133"/>
    <w:lvl w:ilvl="0" w:tentative="0">
      <w:start w:val="1"/>
      <w:numFmt w:val="chineseCountingThousand"/>
      <w:pStyle w:val="47"/>
      <w:lvlText w:val="(%1)"/>
      <w:lvlJc w:val="left"/>
      <w:pPr>
        <w:ind w:left="1130" w:hanging="420"/>
      </w:pPr>
      <w:rPr>
        <w:rFonts w:hint="eastAsia"/>
        <w:b/>
        <w:highlight w:val="none"/>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
    <w:nsid w:val="673707AD"/>
    <w:multiLevelType w:val="singleLevel"/>
    <w:tmpl w:val="673707AD"/>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kMGM3MmM4NzExZDMyMDAwZjczNTM5Nzg4MzI5YTcifQ=="/>
  </w:docVars>
  <w:rsids>
    <w:rsidRoot w:val="00172A27"/>
    <w:rsid w:val="000039FD"/>
    <w:rsid w:val="00015299"/>
    <w:rsid w:val="00015E0D"/>
    <w:rsid w:val="000244B3"/>
    <w:rsid w:val="00037FEA"/>
    <w:rsid w:val="00040CDD"/>
    <w:rsid w:val="00054BC1"/>
    <w:rsid w:val="00066BC6"/>
    <w:rsid w:val="000918C3"/>
    <w:rsid w:val="000A08F6"/>
    <w:rsid w:val="000A6C1D"/>
    <w:rsid w:val="000D030F"/>
    <w:rsid w:val="000D6816"/>
    <w:rsid w:val="000D7E43"/>
    <w:rsid w:val="000E11DF"/>
    <w:rsid w:val="000E1D6A"/>
    <w:rsid w:val="000E1EB0"/>
    <w:rsid w:val="000F74C7"/>
    <w:rsid w:val="001054BC"/>
    <w:rsid w:val="001111A1"/>
    <w:rsid w:val="001160A0"/>
    <w:rsid w:val="00124B86"/>
    <w:rsid w:val="00125A4C"/>
    <w:rsid w:val="0014725F"/>
    <w:rsid w:val="00161153"/>
    <w:rsid w:val="00176A3F"/>
    <w:rsid w:val="00181E01"/>
    <w:rsid w:val="00182A00"/>
    <w:rsid w:val="00187025"/>
    <w:rsid w:val="00196A2A"/>
    <w:rsid w:val="001B3716"/>
    <w:rsid w:val="001E2456"/>
    <w:rsid w:val="001E2654"/>
    <w:rsid w:val="001E2EDF"/>
    <w:rsid w:val="001F0C50"/>
    <w:rsid w:val="001F739D"/>
    <w:rsid w:val="00200DC0"/>
    <w:rsid w:val="00202D2A"/>
    <w:rsid w:val="00213DA4"/>
    <w:rsid w:val="00214C54"/>
    <w:rsid w:val="00224E70"/>
    <w:rsid w:val="00225CB4"/>
    <w:rsid w:val="00236C19"/>
    <w:rsid w:val="00255A5F"/>
    <w:rsid w:val="00257531"/>
    <w:rsid w:val="00262E60"/>
    <w:rsid w:val="00263E3C"/>
    <w:rsid w:val="00281627"/>
    <w:rsid w:val="00281F63"/>
    <w:rsid w:val="00295568"/>
    <w:rsid w:val="00296943"/>
    <w:rsid w:val="002A46AD"/>
    <w:rsid w:val="002B42E4"/>
    <w:rsid w:val="002C4231"/>
    <w:rsid w:val="002D071B"/>
    <w:rsid w:val="002D6C16"/>
    <w:rsid w:val="002E2654"/>
    <w:rsid w:val="002E3BFB"/>
    <w:rsid w:val="00301417"/>
    <w:rsid w:val="003140E9"/>
    <w:rsid w:val="00317394"/>
    <w:rsid w:val="0032767B"/>
    <w:rsid w:val="003351E4"/>
    <w:rsid w:val="003414D2"/>
    <w:rsid w:val="00341BD2"/>
    <w:rsid w:val="00343BE5"/>
    <w:rsid w:val="00353674"/>
    <w:rsid w:val="0035570A"/>
    <w:rsid w:val="00366263"/>
    <w:rsid w:val="00367B34"/>
    <w:rsid w:val="00375545"/>
    <w:rsid w:val="0038116C"/>
    <w:rsid w:val="00381C08"/>
    <w:rsid w:val="00396DA2"/>
    <w:rsid w:val="003A0656"/>
    <w:rsid w:val="003A7560"/>
    <w:rsid w:val="003C64EB"/>
    <w:rsid w:val="003D1BDF"/>
    <w:rsid w:val="004063DD"/>
    <w:rsid w:val="00420506"/>
    <w:rsid w:val="004261A7"/>
    <w:rsid w:val="004365F7"/>
    <w:rsid w:val="00441012"/>
    <w:rsid w:val="0046389B"/>
    <w:rsid w:val="00465A2D"/>
    <w:rsid w:val="0047546E"/>
    <w:rsid w:val="00482A3B"/>
    <w:rsid w:val="00486F05"/>
    <w:rsid w:val="00487E03"/>
    <w:rsid w:val="004B546C"/>
    <w:rsid w:val="005012AB"/>
    <w:rsid w:val="00514C62"/>
    <w:rsid w:val="00530E26"/>
    <w:rsid w:val="005559C2"/>
    <w:rsid w:val="0056559A"/>
    <w:rsid w:val="00572F5C"/>
    <w:rsid w:val="00573F5B"/>
    <w:rsid w:val="00587F93"/>
    <w:rsid w:val="005B6585"/>
    <w:rsid w:val="005B6F2C"/>
    <w:rsid w:val="0060686A"/>
    <w:rsid w:val="00607BC2"/>
    <w:rsid w:val="00610597"/>
    <w:rsid w:val="006159F9"/>
    <w:rsid w:val="00620178"/>
    <w:rsid w:val="00624856"/>
    <w:rsid w:val="00650980"/>
    <w:rsid w:val="006531A5"/>
    <w:rsid w:val="006648FD"/>
    <w:rsid w:val="00664D1E"/>
    <w:rsid w:val="00673CCD"/>
    <w:rsid w:val="0068717A"/>
    <w:rsid w:val="00696583"/>
    <w:rsid w:val="00697EA2"/>
    <w:rsid w:val="006A1773"/>
    <w:rsid w:val="006A4830"/>
    <w:rsid w:val="006A7C26"/>
    <w:rsid w:val="006B1916"/>
    <w:rsid w:val="006B45EA"/>
    <w:rsid w:val="006E22DF"/>
    <w:rsid w:val="006F2D1D"/>
    <w:rsid w:val="006F4C09"/>
    <w:rsid w:val="006F7257"/>
    <w:rsid w:val="00730521"/>
    <w:rsid w:val="007407D7"/>
    <w:rsid w:val="00741A30"/>
    <w:rsid w:val="007A66C5"/>
    <w:rsid w:val="007E1D25"/>
    <w:rsid w:val="007E7530"/>
    <w:rsid w:val="00805D91"/>
    <w:rsid w:val="00826C1B"/>
    <w:rsid w:val="00833CE3"/>
    <w:rsid w:val="0083414B"/>
    <w:rsid w:val="00873E3A"/>
    <w:rsid w:val="008861E0"/>
    <w:rsid w:val="0088706A"/>
    <w:rsid w:val="00896D21"/>
    <w:rsid w:val="008B4C89"/>
    <w:rsid w:val="008F002C"/>
    <w:rsid w:val="008F4A28"/>
    <w:rsid w:val="00905806"/>
    <w:rsid w:val="00917EDB"/>
    <w:rsid w:val="009275EE"/>
    <w:rsid w:val="009641E2"/>
    <w:rsid w:val="009A24A5"/>
    <w:rsid w:val="009D39EF"/>
    <w:rsid w:val="009D706A"/>
    <w:rsid w:val="009E21EB"/>
    <w:rsid w:val="00A118B9"/>
    <w:rsid w:val="00A15446"/>
    <w:rsid w:val="00A425CF"/>
    <w:rsid w:val="00A52DC5"/>
    <w:rsid w:val="00A6747D"/>
    <w:rsid w:val="00A7293D"/>
    <w:rsid w:val="00A87200"/>
    <w:rsid w:val="00A9121B"/>
    <w:rsid w:val="00A93987"/>
    <w:rsid w:val="00A94E4E"/>
    <w:rsid w:val="00AA31BE"/>
    <w:rsid w:val="00AA3A13"/>
    <w:rsid w:val="00AA7B2B"/>
    <w:rsid w:val="00AD2690"/>
    <w:rsid w:val="00AE3E17"/>
    <w:rsid w:val="00AE5556"/>
    <w:rsid w:val="00B014B0"/>
    <w:rsid w:val="00B04952"/>
    <w:rsid w:val="00B27112"/>
    <w:rsid w:val="00B30BF4"/>
    <w:rsid w:val="00B4039D"/>
    <w:rsid w:val="00B47C6E"/>
    <w:rsid w:val="00B562B0"/>
    <w:rsid w:val="00B71897"/>
    <w:rsid w:val="00B71E1F"/>
    <w:rsid w:val="00B81D55"/>
    <w:rsid w:val="00B860B4"/>
    <w:rsid w:val="00B91B85"/>
    <w:rsid w:val="00B95837"/>
    <w:rsid w:val="00B97D41"/>
    <w:rsid w:val="00BB30E9"/>
    <w:rsid w:val="00BB4839"/>
    <w:rsid w:val="00C257DD"/>
    <w:rsid w:val="00C26C15"/>
    <w:rsid w:val="00C32311"/>
    <w:rsid w:val="00C55D77"/>
    <w:rsid w:val="00CE04CF"/>
    <w:rsid w:val="00CE4EB9"/>
    <w:rsid w:val="00D03851"/>
    <w:rsid w:val="00D047CB"/>
    <w:rsid w:val="00D21473"/>
    <w:rsid w:val="00D43562"/>
    <w:rsid w:val="00D5154E"/>
    <w:rsid w:val="00D56F7E"/>
    <w:rsid w:val="00D626B3"/>
    <w:rsid w:val="00D6684E"/>
    <w:rsid w:val="00D70EB3"/>
    <w:rsid w:val="00D72C39"/>
    <w:rsid w:val="00D95ED4"/>
    <w:rsid w:val="00DB02C7"/>
    <w:rsid w:val="00DC2D3B"/>
    <w:rsid w:val="00DF14F4"/>
    <w:rsid w:val="00E03EDC"/>
    <w:rsid w:val="00E0425B"/>
    <w:rsid w:val="00E05644"/>
    <w:rsid w:val="00E0592B"/>
    <w:rsid w:val="00E13231"/>
    <w:rsid w:val="00E15CD1"/>
    <w:rsid w:val="00E305E2"/>
    <w:rsid w:val="00E375E6"/>
    <w:rsid w:val="00E4366F"/>
    <w:rsid w:val="00E51036"/>
    <w:rsid w:val="00E51F56"/>
    <w:rsid w:val="00E67661"/>
    <w:rsid w:val="00E756A6"/>
    <w:rsid w:val="00E871EE"/>
    <w:rsid w:val="00E9166E"/>
    <w:rsid w:val="00E9543F"/>
    <w:rsid w:val="00E95900"/>
    <w:rsid w:val="00E97E73"/>
    <w:rsid w:val="00EF5FCA"/>
    <w:rsid w:val="00F05D31"/>
    <w:rsid w:val="00F22435"/>
    <w:rsid w:val="00F2273D"/>
    <w:rsid w:val="00F25542"/>
    <w:rsid w:val="00F25F15"/>
    <w:rsid w:val="00F40D51"/>
    <w:rsid w:val="00F50A8B"/>
    <w:rsid w:val="00F8614E"/>
    <w:rsid w:val="00FA4D06"/>
    <w:rsid w:val="00FC5B3D"/>
    <w:rsid w:val="00FE438B"/>
    <w:rsid w:val="00FF11E7"/>
    <w:rsid w:val="00FF5AA9"/>
    <w:rsid w:val="011C0A03"/>
    <w:rsid w:val="012258A6"/>
    <w:rsid w:val="014F4893"/>
    <w:rsid w:val="016139CC"/>
    <w:rsid w:val="01767B23"/>
    <w:rsid w:val="01831488"/>
    <w:rsid w:val="018E7819"/>
    <w:rsid w:val="019604A9"/>
    <w:rsid w:val="01AF0612"/>
    <w:rsid w:val="01C51910"/>
    <w:rsid w:val="01C70C78"/>
    <w:rsid w:val="01DA2E6C"/>
    <w:rsid w:val="02144BFA"/>
    <w:rsid w:val="0224187C"/>
    <w:rsid w:val="02395F2F"/>
    <w:rsid w:val="02436043"/>
    <w:rsid w:val="02611E54"/>
    <w:rsid w:val="026933C1"/>
    <w:rsid w:val="02755FB4"/>
    <w:rsid w:val="0279651D"/>
    <w:rsid w:val="028A0530"/>
    <w:rsid w:val="02A933ED"/>
    <w:rsid w:val="02B0568A"/>
    <w:rsid w:val="02D149AD"/>
    <w:rsid w:val="02D46657"/>
    <w:rsid w:val="02DB52BD"/>
    <w:rsid w:val="02DC2D3E"/>
    <w:rsid w:val="02E958D7"/>
    <w:rsid w:val="03273887"/>
    <w:rsid w:val="032853BC"/>
    <w:rsid w:val="0341249E"/>
    <w:rsid w:val="034858F1"/>
    <w:rsid w:val="035A4CAD"/>
    <w:rsid w:val="036412CD"/>
    <w:rsid w:val="036A5588"/>
    <w:rsid w:val="036A712A"/>
    <w:rsid w:val="03827B14"/>
    <w:rsid w:val="039203FC"/>
    <w:rsid w:val="03D3663B"/>
    <w:rsid w:val="03E7552B"/>
    <w:rsid w:val="03EC63C9"/>
    <w:rsid w:val="03F01BD1"/>
    <w:rsid w:val="0425785D"/>
    <w:rsid w:val="04361CF6"/>
    <w:rsid w:val="04637AA8"/>
    <w:rsid w:val="048C0506"/>
    <w:rsid w:val="04A17265"/>
    <w:rsid w:val="04AE64BD"/>
    <w:rsid w:val="04B163D7"/>
    <w:rsid w:val="04B32944"/>
    <w:rsid w:val="04EE3948"/>
    <w:rsid w:val="04F311AF"/>
    <w:rsid w:val="05011ADD"/>
    <w:rsid w:val="050A0DD5"/>
    <w:rsid w:val="05133C63"/>
    <w:rsid w:val="05177476"/>
    <w:rsid w:val="051D6770"/>
    <w:rsid w:val="05690B31"/>
    <w:rsid w:val="05776166"/>
    <w:rsid w:val="057876ED"/>
    <w:rsid w:val="05885E20"/>
    <w:rsid w:val="059267A3"/>
    <w:rsid w:val="05950618"/>
    <w:rsid w:val="05BB5375"/>
    <w:rsid w:val="05CE10C1"/>
    <w:rsid w:val="05D07899"/>
    <w:rsid w:val="05F509D2"/>
    <w:rsid w:val="05F62280"/>
    <w:rsid w:val="0622059D"/>
    <w:rsid w:val="065345EF"/>
    <w:rsid w:val="06815AFC"/>
    <w:rsid w:val="06A665F7"/>
    <w:rsid w:val="06B5558D"/>
    <w:rsid w:val="06CA49A8"/>
    <w:rsid w:val="06D575E9"/>
    <w:rsid w:val="06E11DAC"/>
    <w:rsid w:val="06FB3B03"/>
    <w:rsid w:val="06FE205F"/>
    <w:rsid w:val="070B2161"/>
    <w:rsid w:val="07123242"/>
    <w:rsid w:val="0715212E"/>
    <w:rsid w:val="071B07B5"/>
    <w:rsid w:val="071F0E51"/>
    <w:rsid w:val="073D1FEE"/>
    <w:rsid w:val="07487DBA"/>
    <w:rsid w:val="074E1599"/>
    <w:rsid w:val="07532B5F"/>
    <w:rsid w:val="077965D0"/>
    <w:rsid w:val="077E0AE9"/>
    <w:rsid w:val="079B438E"/>
    <w:rsid w:val="07B4177C"/>
    <w:rsid w:val="07CF4DE0"/>
    <w:rsid w:val="07DF75F9"/>
    <w:rsid w:val="07E43A81"/>
    <w:rsid w:val="07E84685"/>
    <w:rsid w:val="081F675F"/>
    <w:rsid w:val="08215F31"/>
    <w:rsid w:val="08285814"/>
    <w:rsid w:val="082F287B"/>
    <w:rsid w:val="08521B36"/>
    <w:rsid w:val="0859085C"/>
    <w:rsid w:val="086F75C9"/>
    <w:rsid w:val="087864F3"/>
    <w:rsid w:val="0885360A"/>
    <w:rsid w:val="08A27337"/>
    <w:rsid w:val="08AD4471"/>
    <w:rsid w:val="08BB245F"/>
    <w:rsid w:val="08E510A5"/>
    <w:rsid w:val="08E82938"/>
    <w:rsid w:val="08FD1FCF"/>
    <w:rsid w:val="08FF7955"/>
    <w:rsid w:val="091A12E3"/>
    <w:rsid w:val="0922698B"/>
    <w:rsid w:val="093C394F"/>
    <w:rsid w:val="0962641F"/>
    <w:rsid w:val="096F3207"/>
    <w:rsid w:val="098E4FA0"/>
    <w:rsid w:val="099111BE"/>
    <w:rsid w:val="09916177"/>
    <w:rsid w:val="09991E4D"/>
    <w:rsid w:val="09B207F9"/>
    <w:rsid w:val="09BD4F56"/>
    <w:rsid w:val="09CE47AD"/>
    <w:rsid w:val="09EA5159"/>
    <w:rsid w:val="09F124DC"/>
    <w:rsid w:val="0A0124A3"/>
    <w:rsid w:val="0A062BA1"/>
    <w:rsid w:val="0A156FE1"/>
    <w:rsid w:val="0A2B13BC"/>
    <w:rsid w:val="0A573505"/>
    <w:rsid w:val="0A641E54"/>
    <w:rsid w:val="0A8B17BD"/>
    <w:rsid w:val="0A937AE7"/>
    <w:rsid w:val="0AC018B0"/>
    <w:rsid w:val="0AD61B81"/>
    <w:rsid w:val="0AFF4C34"/>
    <w:rsid w:val="0B41524D"/>
    <w:rsid w:val="0B45790A"/>
    <w:rsid w:val="0B484401"/>
    <w:rsid w:val="0B4B60CB"/>
    <w:rsid w:val="0B4C3874"/>
    <w:rsid w:val="0B5843AD"/>
    <w:rsid w:val="0B6017B9"/>
    <w:rsid w:val="0B646908"/>
    <w:rsid w:val="0B8373EF"/>
    <w:rsid w:val="0B971913"/>
    <w:rsid w:val="0BB53545"/>
    <w:rsid w:val="0BDE31B6"/>
    <w:rsid w:val="0BE51013"/>
    <w:rsid w:val="0C1A0BD1"/>
    <w:rsid w:val="0C216E2C"/>
    <w:rsid w:val="0C31628E"/>
    <w:rsid w:val="0C3C7EA2"/>
    <w:rsid w:val="0C4B11C9"/>
    <w:rsid w:val="0C4D7C21"/>
    <w:rsid w:val="0C853B1A"/>
    <w:rsid w:val="0C8602EC"/>
    <w:rsid w:val="0C88659A"/>
    <w:rsid w:val="0C8E2713"/>
    <w:rsid w:val="0C924DEE"/>
    <w:rsid w:val="0CB3547B"/>
    <w:rsid w:val="0CD343D7"/>
    <w:rsid w:val="0CEA2D36"/>
    <w:rsid w:val="0CEC213D"/>
    <w:rsid w:val="0CED22CE"/>
    <w:rsid w:val="0CF10C4B"/>
    <w:rsid w:val="0CF84B54"/>
    <w:rsid w:val="0CFE7612"/>
    <w:rsid w:val="0D011AF9"/>
    <w:rsid w:val="0D015662"/>
    <w:rsid w:val="0D053F9C"/>
    <w:rsid w:val="0D1036FE"/>
    <w:rsid w:val="0D18082E"/>
    <w:rsid w:val="0D1A191A"/>
    <w:rsid w:val="0D2C5A88"/>
    <w:rsid w:val="0D3E2F48"/>
    <w:rsid w:val="0D5044E7"/>
    <w:rsid w:val="0D5613D5"/>
    <w:rsid w:val="0D731580"/>
    <w:rsid w:val="0D77682B"/>
    <w:rsid w:val="0D7A532C"/>
    <w:rsid w:val="0D836704"/>
    <w:rsid w:val="0DC63892"/>
    <w:rsid w:val="0DD40A08"/>
    <w:rsid w:val="0DE7465B"/>
    <w:rsid w:val="0DE97B5E"/>
    <w:rsid w:val="0DEB5944"/>
    <w:rsid w:val="0DED1503"/>
    <w:rsid w:val="0DF33CF1"/>
    <w:rsid w:val="0E1A3BB0"/>
    <w:rsid w:val="0E1B19B0"/>
    <w:rsid w:val="0E552513"/>
    <w:rsid w:val="0E5E3999"/>
    <w:rsid w:val="0E6A492D"/>
    <w:rsid w:val="0E722A7E"/>
    <w:rsid w:val="0EB360DE"/>
    <w:rsid w:val="0EB918B7"/>
    <w:rsid w:val="0ECE1DFE"/>
    <w:rsid w:val="0EFC5A27"/>
    <w:rsid w:val="0F0B47BD"/>
    <w:rsid w:val="0F0D2236"/>
    <w:rsid w:val="0F1550CD"/>
    <w:rsid w:val="0F2365E1"/>
    <w:rsid w:val="0F423C5D"/>
    <w:rsid w:val="0F6E7667"/>
    <w:rsid w:val="0F793CA1"/>
    <w:rsid w:val="0F8372E0"/>
    <w:rsid w:val="0F8F3712"/>
    <w:rsid w:val="0FB57FB7"/>
    <w:rsid w:val="0FC477AC"/>
    <w:rsid w:val="0FEE632A"/>
    <w:rsid w:val="0FFC1742"/>
    <w:rsid w:val="10094131"/>
    <w:rsid w:val="100C62CC"/>
    <w:rsid w:val="101A3B79"/>
    <w:rsid w:val="102A2868"/>
    <w:rsid w:val="104D064D"/>
    <w:rsid w:val="10574D0E"/>
    <w:rsid w:val="10662971"/>
    <w:rsid w:val="1074723A"/>
    <w:rsid w:val="107E484D"/>
    <w:rsid w:val="108C1EAE"/>
    <w:rsid w:val="10993435"/>
    <w:rsid w:val="109E0C3D"/>
    <w:rsid w:val="109E6D51"/>
    <w:rsid w:val="10A27D57"/>
    <w:rsid w:val="10B503BE"/>
    <w:rsid w:val="10C14E82"/>
    <w:rsid w:val="10DA5576"/>
    <w:rsid w:val="11212A0C"/>
    <w:rsid w:val="11422A71"/>
    <w:rsid w:val="11426303"/>
    <w:rsid w:val="1149506D"/>
    <w:rsid w:val="115D3D0D"/>
    <w:rsid w:val="11891F6A"/>
    <w:rsid w:val="119D105F"/>
    <w:rsid w:val="11EE1165"/>
    <w:rsid w:val="11EF7262"/>
    <w:rsid w:val="11F272A1"/>
    <w:rsid w:val="11F55185"/>
    <w:rsid w:val="12025766"/>
    <w:rsid w:val="1231003F"/>
    <w:rsid w:val="123C1304"/>
    <w:rsid w:val="125E74E2"/>
    <w:rsid w:val="12712DC5"/>
    <w:rsid w:val="12787CDD"/>
    <w:rsid w:val="128E407F"/>
    <w:rsid w:val="1295180B"/>
    <w:rsid w:val="129B6A1F"/>
    <w:rsid w:val="12C46AD7"/>
    <w:rsid w:val="12D85778"/>
    <w:rsid w:val="12E144B4"/>
    <w:rsid w:val="12FC2E1F"/>
    <w:rsid w:val="13031357"/>
    <w:rsid w:val="131A6F25"/>
    <w:rsid w:val="13255180"/>
    <w:rsid w:val="13270D7A"/>
    <w:rsid w:val="136C6BDF"/>
    <w:rsid w:val="13791B85"/>
    <w:rsid w:val="139D38DB"/>
    <w:rsid w:val="13A33CA4"/>
    <w:rsid w:val="13A36145"/>
    <w:rsid w:val="13A9603D"/>
    <w:rsid w:val="13AA5AD0"/>
    <w:rsid w:val="13AF1D43"/>
    <w:rsid w:val="13B82867"/>
    <w:rsid w:val="13CA1B57"/>
    <w:rsid w:val="13CA3E07"/>
    <w:rsid w:val="13CD6F8A"/>
    <w:rsid w:val="13D15990"/>
    <w:rsid w:val="13D502B6"/>
    <w:rsid w:val="13D7311C"/>
    <w:rsid w:val="13E9022F"/>
    <w:rsid w:val="13EB044B"/>
    <w:rsid w:val="14250C9D"/>
    <w:rsid w:val="142B0E90"/>
    <w:rsid w:val="146F4594"/>
    <w:rsid w:val="14A127E5"/>
    <w:rsid w:val="14B02E00"/>
    <w:rsid w:val="14B51486"/>
    <w:rsid w:val="14BA1191"/>
    <w:rsid w:val="14D756A5"/>
    <w:rsid w:val="15030AD9"/>
    <w:rsid w:val="15090F10"/>
    <w:rsid w:val="15267814"/>
    <w:rsid w:val="15273D43"/>
    <w:rsid w:val="15602773"/>
    <w:rsid w:val="156712A9"/>
    <w:rsid w:val="15695ACC"/>
    <w:rsid w:val="156F6E5A"/>
    <w:rsid w:val="157629DC"/>
    <w:rsid w:val="157D344D"/>
    <w:rsid w:val="15B21729"/>
    <w:rsid w:val="15B43F4C"/>
    <w:rsid w:val="15C23B9A"/>
    <w:rsid w:val="15D32F45"/>
    <w:rsid w:val="16397206"/>
    <w:rsid w:val="168A398A"/>
    <w:rsid w:val="16B207CA"/>
    <w:rsid w:val="16C624EA"/>
    <w:rsid w:val="16C92C9F"/>
    <w:rsid w:val="16C94348"/>
    <w:rsid w:val="16DC5ED4"/>
    <w:rsid w:val="16FE00C6"/>
    <w:rsid w:val="1702234F"/>
    <w:rsid w:val="17081026"/>
    <w:rsid w:val="170D59F4"/>
    <w:rsid w:val="170F61FF"/>
    <w:rsid w:val="171844F3"/>
    <w:rsid w:val="17255D87"/>
    <w:rsid w:val="173A48D6"/>
    <w:rsid w:val="173C59AC"/>
    <w:rsid w:val="1767588B"/>
    <w:rsid w:val="17692FF8"/>
    <w:rsid w:val="1776488C"/>
    <w:rsid w:val="17825F6C"/>
    <w:rsid w:val="17912EB8"/>
    <w:rsid w:val="17D450D9"/>
    <w:rsid w:val="17DF5199"/>
    <w:rsid w:val="17E4768B"/>
    <w:rsid w:val="180026D3"/>
    <w:rsid w:val="18176D37"/>
    <w:rsid w:val="184616E2"/>
    <w:rsid w:val="18550589"/>
    <w:rsid w:val="185F480A"/>
    <w:rsid w:val="18617D0D"/>
    <w:rsid w:val="186F4AA4"/>
    <w:rsid w:val="188E5DDF"/>
    <w:rsid w:val="18D53478"/>
    <w:rsid w:val="18EB1E70"/>
    <w:rsid w:val="18EF137B"/>
    <w:rsid w:val="18F44CFE"/>
    <w:rsid w:val="19180BFF"/>
    <w:rsid w:val="19343E52"/>
    <w:rsid w:val="193F66C8"/>
    <w:rsid w:val="1964413C"/>
    <w:rsid w:val="19782D58"/>
    <w:rsid w:val="19923106"/>
    <w:rsid w:val="19A22534"/>
    <w:rsid w:val="19A54B21"/>
    <w:rsid w:val="19AE3232"/>
    <w:rsid w:val="19B06735"/>
    <w:rsid w:val="19FE0A33"/>
    <w:rsid w:val="1A0933D9"/>
    <w:rsid w:val="1A141D7E"/>
    <w:rsid w:val="1A357F21"/>
    <w:rsid w:val="1A551442"/>
    <w:rsid w:val="1AA11864"/>
    <w:rsid w:val="1AC35C7E"/>
    <w:rsid w:val="1AEC4E38"/>
    <w:rsid w:val="1B253925"/>
    <w:rsid w:val="1B2D351A"/>
    <w:rsid w:val="1B4A2C53"/>
    <w:rsid w:val="1B4E6DA7"/>
    <w:rsid w:val="1B75731B"/>
    <w:rsid w:val="1BA67AEA"/>
    <w:rsid w:val="1BDC7FC4"/>
    <w:rsid w:val="1BDF56C5"/>
    <w:rsid w:val="1BEC6B0F"/>
    <w:rsid w:val="1BF252AE"/>
    <w:rsid w:val="1C07688A"/>
    <w:rsid w:val="1C0E2142"/>
    <w:rsid w:val="1C104F9B"/>
    <w:rsid w:val="1C117199"/>
    <w:rsid w:val="1C2C7FE2"/>
    <w:rsid w:val="1C3715D7"/>
    <w:rsid w:val="1C4B73E9"/>
    <w:rsid w:val="1C816553"/>
    <w:rsid w:val="1C865AAB"/>
    <w:rsid w:val="1CAF5D9E"/>
    <w:rsid w:val="1CC2453B"/>
    <w:rsid w:val="1CD55894"/>
    <w:rsid w:val="1CD96BE2"/>
    <w:rsid w:val="1CDF436F"/>
    <w:rsid w:val="1CE83979"/>
    <w:rsid w:val="1CF43DEA"/>
    <w:rsid w:val="1CF62125"/>
    <w:rsid w:val="1CFE13A0"/>
    <w:rsid w:val="1D201555"/>
    <w:rsid w:val="1D3F2158"/>
    <w:rsid w:val="1D436612"/>
    <w:rsid w:val="1D44297A"/>
    <w:rsid w:val="1D664516"/>
    <w:rsid w:val="1D73466D"/>
    <w:rsid w:val="1D8254C7"/>
    <w:rsid w:val="1D9C4722"/>
    <w:rsid w:val="1DA069AB"/>
    <w:rsid w:val="1DEA1E4F"/>
    <w:rsid w:val="1DFD34C1"/>
    <w:rsid w:val="1E0B27D7"/>
    <w:rsid w:val="1E117F64"/>
    <w:rsid w:val="1E287B89"/>
    <w:rsid w:val="1E2C4463"/>
    <w:rsid w:val="1E314C15"/>
    <w:rsid w:val="1E591960"/>
    <w:rsid w:val="1E856ED3"/>
    <w:rsid w:val="1EAB5EF7"/>
    <w:rsid w:val="1EAF32E5"/>
    <w:rsid w:val="1ECD2CE2"/>
    <w:rsid w:val="1EDC7DA8"/>
    <w:rsid w:val="1EEF62CD"/>
    <w:rsid w:val="1F0869EA"/>
    <w:rsid w:val="1F137E76"/>
    <w:rsid w:val="1F1C3919"/>
    <w:rsid w:val="1F3025BA"/>
    <w:rsid w:val="1F38206B"/>
    <w:rsid w:val="1F58785A"/>
    <w:rsid w:val="1F5A0EA3"/>
    <w:rsid w:val="1F7A1CD0"/>
    <w:rsid w:val="1FC803E8"/>
    <w:rsid w:val="1FCA4D36"/>
    <w:rsid w:val="1FF548C8"/>
    <w:rsid w:val="1FFF212D"/>
    <w:rsid w:val="200C6AA5"/>
    <w:rsid w:val="20334D0F"/>
    <w:rsid w:val="206E6027"/>
    <w:rsid w:val="20831A0C"/>
    <w:rsid w:val="208D46B8"/>
    <w:rsid w:val="20913154"/>
    <w:rsid w:val="209B043C"/>
    <w:rsid w:val="20AB72FF"/>
    <w:rsid w:val="20AE082C"/>
    <w:rsid w:val="20B65C39"/>
    <w:rsid w:val="20E93CF9"/>
    <w:rsid w:val="20FD3E2F"/>
    <w:rsid w:val="21170748"/>
    <w:rsid w:val="21224D81"/>
    <w:rsid w:val="21332A32"/>
    <w:rsid w:val="213A0410"/>
    <w:rsid w:val="213A6642"/>
    <w:rsid w:val="21457AA6"/>
    <w:rsid w:val="21460B22"/>
    <w:rsid w:val="216A315E"/>
    <w:rsid w:val="217B6997"/>
    <w:rsid w:val="219D5F36"/>
    <w:rsid w:val="21A62FC3"/>
    <w:rsid w:val="21B96760"/>
    <w:rsid w:val="21BD5166"/>
    <w:rsid w:val="21E360C5"/>
    <w:rsid w:val="21EC5CB5"/>
    <w:rsid w:val="22004907"/>
    <w:rsid w:val="2206685F"/>
    <w:rsid w:val="223031EB"/>
    <w:rsid w:val="2230760B"/>
    <w:rsid w:val="22422E41"/>
    <w:rsid w:val="224B40E2"/>
    <w:rsid w:val="2254540E"/>
    <w:rsid w:val="225C2514"/>
    <w:rsid w:val="225E4CF0"/>
    <w:rsid w:val="225F1FCF"/>
    <w:rsid w:val="226546C9"/>
    <w:rsid w:val="226C1A87"/>
    <w:rsid w:val="227A57EE"/>
    <w:rsid w:val="22A51891"/>
    <w:rsid w:val="22AA736D"/>
    <w:rsid w:val="22AD41D9"/>
    <w:rsid w:val="22AE0FC2"/>
    <w:rsid w:val="22AF1419"/>
    <w:rsid w:val="22B84105"/>
    <w:rsid w:val="22C8691D"/>
    <w:rsid w:val="22EC56A6"/>
    <w:rsid w:val="22EF2384"/>
    <w:rsid w:val="230022FA"/>
    <w:rsid w:val="23222C5F"/>
    <w:rsid w:val="233E2EB1"/>
    <w:rsid w:val="234C2589"/>
    <w:rsid w:val="23527219"/>
    <w:rsid w:val="235819C6"/>
    <w:rsid w:val="235B53E0"/>
    <w:rsid w:val="2369138D"/>
    <w:rsid w:val="238B0A63"/>
    <w:rsid w:val="239A0082"/>
    <w:rsid w:val="23D70CD9"/>
    <w:rsid w:val="23DA1C5E"/>
    <w:rsid w:val="23E435FF"/>
    <w:rsid w:val="23FB5A15"/>
    <w:rsid w:val="24140B3E"/>
    <w:rsid w:val="241D144D"/>
    <w:rsid w:val="24233357"/>
    <w:rsid w:val="243512C2"/>
    <w:rsid w:val="2443573A"/>
    <w:rsid w:val="24885842"/>
    <w:rsid w:val="24983315"/>
    <w:rsid w:val="249B43C3"/>
    <w:rsid w:val="24AA6D8B"/>
    <w:rsid w:val="24D81B80"/>
    <w:rsid w:val="24F43A2F"/>
    <w:rsid w:val="25022C70"/>
    <w:rsid w:val="25024F43"/>
    <w:rsid w:val="250F3174"/>
    <w:rsid w:val="251145CB"/>
    <w:rsid w:val="25311A36"/>
    <w:rsid w:val="25361F1A"/>
    <w:rsid w:val="255911D5"/>
    <w:rsid w:val="256E58F7"/>
    <w:rsid w:val="25702FF9"/>
    <w:rsid w:val="25832019"/>
    <w:rsid w:val="25C34EA0"/>
    <w:rsid w:val="25DA0320"/>
    <w:rsid w:val="25E642BC"/>
    <w:rsid w:val="26241BA3"/>
    <w:rsid w:val="262650A6"/>
    <w:rsid w:val="262F7C75"/>
    <w:rsid w:val="263578BE"/>
    <w:rsid w:val="26361ABD"/>
    <w:rsid w:val="264D0AF2"/>
    <w:rsid w:val="265448F0"/>
    <w:rsid w:val="268F74A1"/>
    <w:rsid w:val="26BA762D"/>
    <w:rsid w:val="26C40427"/>
    <w:rsid w:val="26C8461C"/>
    <w:rsid w:val="26CC32B5"/>
    <w:rsid w:val="26E2445C"/>
    <w:rsid w:val="26ED37EA"/>
    <w:rsid w:val="26F9507E"/>
    <w:rsid w:val="271414AB"/>
    <w:rsid w:val="271C4469"/>
    <w:rsid w:val="271C4BC8"/>
    <w:rsid w:val="272A364F"/>
    <w:rsid w:val="272D447F"/>
    <w:rsid w:val="273370CF"/>
    <w:rsid w:val="27551F14"/>
    <w:rsid w:val="2759091B"/>
    <w:rsid w:val="276850C2"/>
    <w:rsid w:val="27705CAA"/>
    <w:rsid w:val="27826986"/>
    <w:rsid w:val="278674BE"/>
    <w:rsid w:val="279D398E"/>
    <w:rsid w:val="27A22014"/>
    <w:rsid w:val="27B21B89"/>
    <w:rsid w:val="27B775BB"/>
    <w:rsid w:val="27C8781B"/>
    <w:rsid w:val="27DA3AA5"/>
    <w:rsid w:val="27F42F5B"/>
    <w:rsid w:val="280F0246"/>
    <w:rsid w:val="281573ED"/>
    <w:rsid w:val="281A0EA7"/>
    <w:rsid w:val="283F2399"/>
    <w:rsid w:val="2846729E"/>
    <w:rsid w:val="28550131"/>
    <w:rsid w:val="28634650"/>
    <w:rsid w:val="28652094"/>
    <w:rsid w:val="287C2ACA"/>
    <w:rsid w:val="287C7778"/>
    <w:rsid w:val="28956124"/>
    <w:rsid w:val="28B1347D"/>
    <w:rsid w:val="28DE3F9A"/>
    <w:rsid w:val="28E13773"/>
    <w:rsid w:val="290618DB"/>
    <w:rsid w:val="294739C9"/>
    <w:rsid w:val="295F4FC9"/>
    <w:rsid w:val="296740C8"/>
    <w:rsid w:val="296F4668"/>
    <w:rsid w:val="297D6603"/>
    <w:rsid w:val="298734E1"/>
    <w:rsid w:val="29A7676B"/>
    <w:rsid w:val="29B042F2"/>
    <w:rsid w:val="29E37FC4"/>
    <w:rsid w:val="2A06727F"/>
    <w:rsid w:val="2A0D248D"/>
    <w:rsid w:val="2A224043"/>
    <w:rsid w:val="2A276A0A"/>
    <w:rsid w:val="2A3A138D"/>
    <w:rsid w:val="2A497822"/>
    <w:rsid w:val="2A524E42"/>
    <w:rsid w:val="2A573E05"/>
    <w:rsid w:val="2A8F62DB"/>
    <w:rsid w:val="2A9F6179"/>
    <w:rsid w:val="2AAE58D7"/>
    <w:rsid w:val="2ACE2709"/>
    <w:rsid w:val="2AD44455"/>
    <w:rsid w:val="2AE546EF"/>
    <w:rsid w:val="2AF6240B"/>
    <w:rsid w:val="2B0D6C28"/>
    <w:rsid w:val="2B172940"/>
    <w:rsid w:val="2B255FBA"/>
    <w:rsid w:val="2B27334F"/>
    <w:rsid w:val="2B361147"/>
    <w:rsid w:val="2B510813"/>
    <w:rsid w:val="2B690FE4"/>
    <w:rsid w:val="2B7D0CDF"/>
    <w:rsid w:val="2B85488A"/>
    <w:rsid w:val="2B8A2873"/>
    <w:rsid w:val="2B8B7A2B"/>
    <w:rsid w:val="2BAF21A8"/>
    <w:rsid w:val="2BB304C5"/>
    <w:rsid w:val="2BB70AC7"/>
    <w:rsid w:val="2BD63C77"/>
    <w:rsid w:val="2BE47802"/>
    <w:rsid w:val="2C01033F"/>
    <w:rsid w:val="2C292DC5"/>
    <w:rsid w:val="2C320B0E"/>
    <w:rsid w:val="2C6D3C9C"/>
    <w:rsid w:val="2C73669D"/>
    <w:rsid w:val="2C830D32"/>
    <w:rsid w:val="2C852F1B"/>
    <w:rsid w:val="2C8B24A1"/>
    <w:rsid w:val="2C923702"/>
    <w:rsid w:val="2C9A25B7"/>
    <w:rsid w:val="2CAC615D"/>
    <w:rsid w:val="2CBA556F"/>
    <w:rsid w:val="2CC82306"/>
    <w:rsid w:val="2CDE41A9"/>
    <w:rsid w:val="2CEA2186"/>
    <w:rsid w:val="2CF2314A"/>
    <w:rsid w:val="2D214C54"/>
    <w:rsid w:val="2D2E5194"/>
    <w:rsid w:val="2D3A63C1"/>
    <w:rsid w:val="2D4609D6"/>
    <w:rsid w:val="2D586372"/>
    <w:rsid w:val="2D7B5F44"/>
    <w:rsid w:val="2D991C98"/>
    <w:rsid w:val="2DED4667"/>
    <w:rsid w:val="2E047B0F"/>
    <w:rsid w:val="2E203BBC"/>
    <w:rsid w:val="2E2D22C4"/>
    <w:rsid w:val="2E32193B"/>
    <w:rsid w:val="2E444588"/>
    <w:rsid w:val="2E456552"/>
    <w:rsid w:val="2E56209C"/>
    <w:rsid w:val="2E8337A2"/>
    <w:rsid w:val="2E8A2688"/>
    <w:rsid w:val="2E8A57EA"/>
    <w:rsid w:val="2EB07E70"/>
    <w:rsid w:val="2EB4662E"/>
    <w:rsid w:val="2EE721FA"/>
    <w:rsid w:val="2EEA5313"/>
    <w:rsid w:val="2F0E249B"/>
    <w:rsid w:val="2F1A1856"/>
    <w:rsid w:val="2F25085E"/>
    <w:rsid w:val="2F34113A"/>
    <w:rsid w:val="2F392D6A"/>
    <w:rsid w:val="2F397A40"/>
    <w:rsid w:val="2F3A4309"/>
    <w:rsid w:val="2F5B483E"/>
    <w:rsid w:val="2F5D35C4"/>
    <w:rsid w:val="2F643CCA"/>
    <w:rsid w:val="2F666B63"/>
    <w:rsid w:val="2F6B0D52"/>
    <w:rsid w:val="2F8D6311"/>
    <w:rsid w:val="2F9F78B1"/>
    <w:rsid w:val="2FB859C8"/>
    <w:rsid w:val="2FEA3FFE"/>
    <w:rsid w:val="2FF10740"/>
    <w:rsid w:val="2FFB00F8"/>
    <w:rsid w:val="30042AC7"/>
    <w:rsid w:val="300D1CFE"/>
    <w:rsid w:val="300F55E6"/>
    <w:rsid w:val="30281C88"/>
    <w:rsid w:val="30285E63"/>
    <w:rsid w:val="30305B1B"/>
    <w:rsid w:val="30611B6D"/>
    <w:rsid w:val="30612B5B"/>
    <w:rsid w:val="306402E7"/>
    <w:rsid w:val="306C7EFE"/>
    <w:rsid w:val="30810353"/>
    <w:rsid w:val="30811F78"/>
    <w:rsid w:val="308952B0"/>
    <w:rsid w:val="308A4F2F"/>
    <w:rsid w:val="30902D45"/>
    <w:rsid w:val="3092460A"/>
    <w:rsid w:val="309918E9"/>
    <w:rsid w:val="309C64CF"/>
    <w:rsid w:val="309F019C"/>
    <w:rsid w:val="30A26212"/>
    <w:rsid w:val="30A91A2E"/>
    <w:rsid w:val="30B005FB"/>
    <w:rsid w:val="30B20672"/>
    <w:rsid w:val="312E16A3"/>
    <w:rsid w:val="31416C5C"/>
    <w:rsid w:val="316200E4"/>
    <w:rsid w:val="316D0DA5"/>
    <w:rsid w:val="319544E8"/>
    <w:rsid w:val="31A56C28"/>
    <w:rsid w:val="31B3151A"/>
    <w:rsid w:val="31BA0EA5"/>
    <w:rsid w:val="31BD1E29"/>
    <w:rsid w:val="31BE6E53"/>
    <w:rsid w:val="31C02DAE"/>
    <w:rsid w:val="31CB333D"/>
    <w:rsid w:val="31F36A80"/>
    <w:rsid w:val="32354F6B"/>
    <w:rsid w:val="32406B7F"/>
    <w:rsid w:val="326B1AE0"/>
    <w:rsid w:val="32812E6C"/>
    <w:rsid w:val="32904003"/>
    <w:rsid w:val="32990513"/>
    <w:rsid w:val="32AD1602"/>
    <w:rsid w:val="32D63C1D"/>
    <w:rsid w:val="330865C8"/>
    <w:rsid w:val="330B779A"/>
    <w:rsid w:val="33205E2B"/>
    <w:rsid w:val="333C359F"/>
    <w:rsid w:val="335F3C12"/>
    <w:rsid w:val="338F274A"/>
    <w:rsid w:val="339367E0"/>
    <w:rsid w:val="339935C8"/>
    <w:rsid w:val="339F6038"/>
    <w:rsid w:val="33B45F7E"/>
    <w:rsid w:val="33B63D9D"/>
    <w:rsid w:val="33D91F25"/>
    <w:rsid w:val="33EC7B9C"/>
    <w:rsid w:val="3402116D"/>
    <w:rsid w:val="34192013"/>
    <w:rsid w:val="343018AE"/>
    <w:rsid w:val="34324DB1"/>
    <w:rsid w:val="343F692D"/>
    <w:rsid w:val="34411D1D"/>
    <w:rsid w:val="344219DC"/>
    <w:rsid w:val="345073E6"/>
    <w:rsid w:val="34866A39"/>
    <w:rsid w:val="348817B1"/>
    <w:rsid w:val="349B3370"/>
    <w:rsid w:val="34DE5317"/>
    <w:rsid w:val="34F442A9"/>
    <w:rsid w:val="3507608E"/>
    <w:rsid w:val="3511441F"/>
    <w:rsid w:val="352E5F4D"/>
    <w:rsid w:val="35301D0A"/>
    <w:rsid w:val="3543266F"/>
    <w:rsid w:val="354632DC"/>
    <w:rsid w:val="358805AB"/>
    <w:rsid w:val="359A007B"/>
    <w:rsid w:val="359A34CC"/>
    <w:rsid w:val="35A322E0"/>
    <w:rsid w:val="35C031DF"/>
    <w:rsid w:val="35C24D96"/>
    <w:rsid w:val="35D703D8"/>
    <w:rsid w:val="35DE3665"/>
    <w:rsid w:val="35DF02EF"/>
    <w:rsid w:val="35EB1B74"/>
    <w:rsid w:val="36071A43"/>
    <w:rsid w:val="360F7B72"/>
    <w:rsid w:val="361138EA"/>
    <w:rsid w:val="36656A49"/>
    <w:rsid w:val="366E25F0"/>
    <w:rsid w:val="366E68DA"/>
    <w:rsid w:val="36737EBE"/>
    <w:rsid w:val="36756265"/>
    <w:rsid w:val="368262AA"/>
    <w:rsid w:val="36E865A3"/>
    <w:rsid w:val="36F05BAE"/>
    <w:rsid w:val="36F71555"/>
    <w:rsid w:val="36F853A7"/>
    <w:rsid w:val="36FC151F"/>
    <w:rsid w:val="37074CED"/>
    <w:rsid w:val="371A5359"/>
    <w:rsid w:val="37496F7A"/>
    <w:rsid w:val="374E39C9"/>
    <w:rsid w:val="376D6F23"/>
    <w:rsid w:val="37935876"/>
    <w:rsid w:val="37A147F9"/>
    <w:rsid w:val="37A814B8"/>
    <w:rsid w:val="37B3452D"/>
    <w:rsid w:val="37C16EFA"/>
    <w:rsid w:val="37F84C01"/>
    <w:rsid w:val="38037FF5"/>
    <w:rsid w:val="3828112E"/>
    <w:rsid w:val="385851E1"/>
    <w:rsid w:val="387F672B"/>
    <w:rsid w:val="3894625F"/>
    <w:rsid w:val="38A02C28"/>
    <w:rsid w:val="38A57162"/>
    <w:rsid w:val="38A73B35"/>
    <w:rsid w:val="38AA60D6"/>
    <w:rsid w:val="38F60882"/>
    <w:rsid w:val="38FC020D"/>
    <w:rsid w:val="39022116"/>
    <w:rsid w:val="39137E32"/>
    <w:rsid w:val="394250FE"/>
    <w:rsid w:val="39451C2E"/>
    <w:rsid w:val="394E275F"/>
    <w:rsid w:val="39573D9E"/>
    <w:rsid w:val="397865C9"/>
    <w:rsid w:val="39BA18C5"/>
    <w:rsid w:val="39F32D23"/>
    <w:rsid w:val="39FC040D"/>
    <w:rsid w:val="3A1B3A32"/>
    <w:rsid w:val="3A235A71"/>
    <w:rsid w:val="3A377697"/>
    <w:rsid w:val="3A3D661B"/>
    <w:rsid w:val="3A4614A9"/>
    <w:rsid w:val="3A4B4A64"/>
    <w:rsid w:val="3A6E018B"/>
    <w:rsid w:val="3A7374AB"/>
    <w:rsid w:val="3AA70B7D"/>
    <w:rsid w:val="3AB358D0"/>
    <w:rsid w:val="3AC0768C"/>
    <w:rsid w:val="3ACC045B"/>
    <w:rsid w:val="3AD71050"/>
    <w:rsid w:val="3ADF0647"/>
    <w:rsid w:val="3AE7433D"/>
    <w:rsid w:val="3AEA41B5"/>
    <w:rsid w:val="3AF743EB"/>
    <w:rsid w:val="3B27401A"/>
    <w:rsid w:val="3B351E28"/>
    <w:rsid w:val="3B4A565D"/>
    <w:rsid w:val="3B522666"/>
    <w:rsid w:val="3B605478"/>
    <w:rsid w:val="3B95318F"/>
    <w:rsid w:val="3B9B5A04"/>
    <w:rsid w:val="3BA64AD4"/>
    <w:rsid w:val="3BA96B71"/>
    <w:rsid w:val="3BD426C1"/>
    <w:rsid w:val="3BD57296"/>
    <w:rsid w:val="3BE36841"/>
    <w:rsid w:val="3C034C82"/>
    <w:rsid w:val="3C461E13"/>
    <w:rsid w:val="3C516B3D"/>
    <w:rsid w:val="3C546447"/>
    <w:rsid w:val="3C5B6745"/>
    <w:rsid w:val="3C8B38E1"/>
    <w:rsid w:val="3C8E0152"/>
    <w:rsid w:val="3C97441D"/>
    <w:rsid w:val="3C980980"/>
    <w:rsid w:val="3CFD37EC"/>
    <w:rsid w:val="3D6574A6"/>
    <w:rsid w:val="3D687B67"/>
    <w:rsid w:val="3D791D75"/>
    <w:rsid w:val="3D8C6D07"/>
    <w:rsid w:val="3D9106FF"/>
    <w:rsid w:val="3D9378F2"/>
    <w:rsid w:val="3DA556B2"/>
    <w:rsid w:val="3DB76351"/>
    <w:rsid w:val="3DD05E38"/>
    <w:rsid w:val="3DFA2BBE"/>
    <w:rsid w:val="3E0F7557"/>
    <w:rsid w:val="3E1B0B74"/>
    <w:rsid w:val="3E37533F"/>
    <w:rsid w:val="3E526C9A"/>
    <w:rsid w:val="3E5E705F"/>
    <w:rsid w:val="3E6D222C"/>
    <w:rsid w:val="3E9912FE"/>
    <w:rsid w:val="3E9B0FF8"/>
    <w:rsid w:val="3EA861DA"/>
    <w:rsid w:val="3EAF165A"/>
    <w:rsid w:val="3EE31B9B"/>
    <w:rsid w:val="3EF21DDE"/>
    <w:rsid w:val="3F125FDD"/>
    <w:rsid w:val="3F1735F3"/>
    <w:rsid w:val="3F731171"/>
    <w:rsid w:val="3F782C2D"/>
    <w:rsid w:val="3F855BE5"/>
    <w:rsid w:val="3F87539D"/>
    <w:rsid w:val="3F8D5553"/>
    <w:rsid w:val="3F9E7BA5"/>
    <w:rsid w:val="3FF46C1E"/>
    <w:rsid w:val="3FF638FD"/>
    <w:rsid w:val="40154B29"/>
    <w:rsid w:val="4039566C"/>
    <w:rsid w:val="403F7575"/>
    <w:rsid w:val="40533F5C"/>
    <w:rsid w:val="40775150"/>
    <w:rsid w:val="40803861"/>
    <w:rsid w:val="409370B0"/>
    <w:rsid w:val="40980F08"/>
    <w:rsid w:val="40AB0F3D"/>
    <w:rsid w:val="40B14030"/>
    <w:rsid w:val="40B32BB9"/>
    <w:rsid w:val="40C120CD"/>
    <w:rsid w:val="40C24D64"/>
    <w:rsid w:val="40CD48B1"/>
    <w:rsid w:val="40D54329"/>
    <w:rsid w:val="40E13A86"/>
    <w:rsid w:val="40F869A3"/>
    <w:rsid w:val="40FD6DCE"/>
    <w:rsid w:val="41415E9E"/>
    <w:rsid w:val="414867C0"/>
    <w:rsid w:val="414A2F2A"/>
    <w:rsid w:val="416E4E06"/>
    <w:rsid w:val="41720FB5"/>
    <w:rsid w:val="417D6E29"/>
    <w:rsid w:val="419D77EE"/>
    <w:rsid w:val="41A75842"/>
    <w:rsid w:val="41C37A62"/>
    <w:rsid w:val="41C62F9F"/>
    <w:rsid w:val="41CF2CDA"/>
    <w:rsid w:val="41DA2351"/>
    <w:rsid w:val="420267DC"/>
    <w:rsid w:val="42092064"/>
    <w:rsid w:val="4229039A"/>
    <w:rsid w:val="424A31D7"/>
    <w:rsid w:val="42552336"/>
    <w:rsid w:val="425E290D"/>
    <w:rsid w:val="427E4891"/>
    <w:rsid w:val="427F1A20"/>
    <w:rsid w:val="42814AA1"/>
    <w:rsid w:val="429F2D3C"/>
    <w:rsid w:val="42B559FF"/>
    <w:rsid w:val="42C83C9E"/>
    <w:rsid w:val="42CA46A0"/>
    <w:rsid w:val="42E47111"/>
    <w:rsid w:val="43090C3D"/>
    <w:rsid w:val="4310261D"/>
    <w:rsid w:val="43316941"/>
    <w:rsid w:val="43392C9A"/>
    <w:rsid w:val="434652EE"/>
    <w:rsid w:val="436F0D42"/>
    <w:rsid w:val="4374370A"/>
    <w:rsid w:val="438C620B"/>
    <w:rsid w:val="438C7FE1"/>
    <w:rsid w:val="43B1111A"/>
    <w:rsid w:val="43D745D9"/>
    <w:rsid w:val="43DE6767"/>
    <w:rsid w:val="43E42FB9"/>
    <w:rsid w:val="43E560F1"/>
    <w:rsid w:val="44060F86"/>
    <w:rsid w:val="4406131F"/>
    <w:rsid w:val="44256EDB"/>
    <w:rsid w:val="44360F15"/>
    <w:rsid w:val="44395B7B"/>
    <w:rsid w:val="44651EC3"/>
    <w:rsid w:val="449175A0"/>
    <w:rsid w:val="449D39F5"/>
    <w:rsid w:val="44A377A9"/>
    <w:rsid w:val="44C53AE2"/>
    <w:rsid w:val="44D51F86"/>
    <w:rsid w:val="45004161"/>
    <w:rsid w:val="450A37AA"/>
    <w:rsid w:val="452138FB"/>
    <w:rsid w:val="454F3145"/>
    <w:rsid w:val="45546485"/>
    <w:rsid w:val="45570552"/>
    <w:rsid w:val="45631DE6"/>
    <w:rsid w:val="456F5A46"/>
    <w:rsid w:val="457E548F"/>
    <w:rsid w:val="45852C0D"/>
    <w:rsid w:val="459D3528"/>
    <w:rsid w:val="45A523A1"/>
    <w:rsid w:val="45DD7B84"/>
    <w:rsid w:val="45E40FD1"/>
    <w:rsid w:val="460951E5"/>
    <w:rsid w:val="462078FF"/>
    <w:rsid w:val="46367BC0"/>
    <w:rsid w:val="46882965"/>
    <w:rsid w:val="46941ED9"/>
    <w:rsid w:val="46962EBD"/>
    <w:rsid w:val="46C235B1"/>
    <w:rsid w:val="46C77B24"/>
    <w:rsid w:val="46D01E3A"/>
    <w:rsid w:val="46D0453B"/>
    <w:rsid w:val="46F76979"/>
    <w:rsid w:val="46F81F5C"/>
    <w:rsid w:val="47046B43"/>
    <w:rsid w:val="47095999"/>
    <w:rsid w:val="47236543"/>
    <w:rsid w:val="47257848"/>
    <w:rsid w:val="473B3050"/>
    <w:rsid w:val="474E4E09"/>
    <w:rsid w:val="474F288B"/>
    <w:rsid w:val="47596E9F"/>
    <w:rsid w:val="478234F8"/>
    <w:rsid w:val="47831DE0"/>
    <w:rsid w:val="478B71FD"/>
    <w:rsid w:val="47B93A3E"/>
    <w:rsid w:val="47E54403"/>
    <w:rsid w:val="47E82E09"/>
    <w:rsid w:val="47F06A54"/>
    <w:rsid w:val="47F77BA0"/>
    <w:rsid w:val="47F941DE"/>
    <w:rsid w:val="48182B77"/>
    <w:rsid w:val="482B62A9"/>
    <w:rsid w:val="48520700"/>
    <w:rsid w:val="486024AF"/>
    <w:rsid w:val="48693111"/>
    <w:rsid w:val="486E0728"/>
    <w:rsid w:val="488E0DCA"/>
    <w:rsid w:val="48A36EB3"/>
    <w:rsid w:val="48A8119E"/>
    <w:rsid w:val="48BD0863"/>
    <w:rsid w:val="48C77FB2"/>
    <w:rsid w:val="48DE6819"/>
    <w:rsid w:val="48EB00AD"/>
    <w:rsid w:val="48F30C2D"/>
    <w:rsid w:val="49061A89"/>
    <w:rsid w:val="490F4DEA"/>
    <w:rsid w:val="49316623"/>
    <w:rsid w:val="493A4AAE"/>
    <w:rsid w:val="493B5C19"/>
    <w:rsid w:val="493E070A"/>
    <w:rsid w:val="494C4797"/>
    <w:rsid w:val="49555444"/>
    <w:rsid w:val="49836455"/>
    <w:rsid w:val="49933FF9"/>
    <w:rsid w:val="49AF33A2"/>
    <w:rsid w:val="49B05850"/>
    <w:rsid w:val="49B27E76"/>
    <w:rsid w:val="49BB319A"/>
    <w:rsid w:val="49C35B92"/>
    <w:rsid w:val="49C37D91"/>
    <w:rsid w:val="49CD147E"/>
    <w:rsid w:val="49E85F88"/>
    <w:rsid w:val="4A224A86"/>
    <w:rsid w:val="4A2C5E11"/>
    <w:rsid w:val="4A305416"/>
    <w:rsid w:val="4A35282B"/>
    <w:rsid w:val="4A3835D3"/>
    <w:rsid w:val="4A404346"/>
    <w:rsid w:val="4A5561C0"/>
    <w:rsid w:val="4A73316A"/>
    <w:rsid w:val="4A913C61"/>
    <w:rsid w:val="4A942144"/>
    <w:rsid w:val="4AA41745"/>
    <w:rsid w:val="4ABA06A9"/>
    <w:rsid w:val="4ACA61F8"/>
    <w:rsid w:val="4AE14CE5"/>
    <w:rsid w:val="4AF46CEF"/>
    <w:rsid w:val="4B182C41"/>
    <w:rsid w:val="4B1E1EF3"/>
    <w:rsid w:val="4B7C61E8"/>
    <w:rsid w:val="4B831C8E"/>
    <w:rsid w:val="4BB5041C"/>
    <w:rsid w:val="4BC53274"/>
    <w:rsid w:val="4BC75484"/>
    <w:rsid w:val="4BCF5BB7"/>
    <w:rsid w:val="4BD60E0F"/>
    <w:rsid w:val="4BDE7186"/>
    <w:rsid w:val="4BF214F2"/>
    <w:rsid w:val="4BFE1C3A"/>
    <w:rsid w:val="4BFF0BF2"/>
    <w:rsid w:val="4C067046"/>
    <w:rsid w:val="4C0D1AB5"/>
    <w:rsid w:val="4C167EC0"/>
    <w:rsid w:val="4C2A705C"/>
    <w:rsid w:val="4C5835B8"/>
    <w:rsid w:val="4C5C7A55"/>
    <w:rsid w:val="4C6431C2"/>
    <w:rsid w:val="4C8425E4"/>
    <w:rsid w:val="4C843198"/>
    <w:rsid w:val="4C84765C"/>
    <w:rsid w:val="4C8D5335"/>
    <w:rsid w:val="4CE9093D"/>
    <w:rsid w:val="4CF5694E"/>
    <w:rsid w:val="4CF77C53"/>
    <w:rsid w:val="4D3A42FD"/>
    <w:rsid w:val="4D565C2E"/>
    <w:rsid w:val="4D7E61D5"/>
    <w:rsid w:val="4D8B5F48"/>
    <w:rsid w:val="4D933355"/>
    <w:rsid w:val="4DB04E83"/>
    <w:rsid w:val="4DB561FB"/>
    <w:rsid w:val="4DD4222A"/>
    <w:rsid w:val="4DE72BC1"/>
    <w:rsid w:val="4DEE2DFF"/>
    <w:rsid w:val="4E1E499E"/>
    <w:rsid w:val="4E1F10C9"/>
    <w:rsid w:val="4E3166D6"/>
    <w:rsid w:val="4E607225"/>
    <w:rsid w:val="4EA17C8F"/>
    <w:rsid w:val="4EA86291"/>
    <w:rsid w:val="4ECB4B86"/>
    <w:rsid w:val="4ED5067D"/>
    <w:rsid w:val="4ED86247"/>
    <w:rsid w:val="4EE80403"/>
    <w:rsid w:val="4EEC05F8"/>
    <w:rsid w:val="4F1869D4"/>
    <w:rsid w:val="4F1D3C8E"/>
    <w:rsid w:val="4F1E3C95"/>
    <w:rsid w:val="4F2C22E7"/>
    <w:rsid w:val="4F3D0FA0"/>
    <w:rsid w:val="4F493C9D"/>
    <w:rsid w:val="4F560A37"/>
    <w:rsid w:val="4F631692"/>
    <w:rsid w:val="4F692025"/>
    <w:rsid w:val="4F7725B8"/>
    <w:rsid w:val="4F890F7F"/>
    <w:rsid w:val="4FA63CB9"/>
    <w:rsid w:val="4FAA5F43"/>
    <w:rsid w:val="4FB541B4"/>
    <w:rsid w:val="4FD028FF"/>
    <w:rsid w:val="4FD64808"/>
    <w:rsid w:val="4FE20690"/>
    <w:rsid w:val="50011E81"/>
    <w:rsid w:val="501D29FE"/>
    <w:rsid w:val="504D1B60"/>
    <w:rsid w:val="50583ADD"/>
    <w:rsid w:val="507801E4"/>
    <w:rsid w:val="50863F0E"/>
    <w:rsid w:val="509C58BA"/>
    <w:rsid w:val="509F74AB"/>
    <w:rsid w:val="50B341F7"/>
    <w:rsid w:val="50EC0C1D"/>
    <w:rsid w:val="50F619D7"/>
    <w:rsid w:val="512B7338"/>
    <w:rsid w:val="51311242"/>
    <w:rsid w:val="51575BFE"/>
    <w:rsid w:val="519B6B0A"/>
    <w:rsid w:val="51C365B2"/>
    <w:rsid w:val="51D15C06"/>
    <w:rsid w:val="51E7154B"/>
    <w:rsid w:val="51E754ED"/>
    <w:rsid w:val="51ED2C7A"/>
    <w:rsid w:val="51FF6B72"/>
    <w:rsid w:val="520A30CD"/>
    <w:rsid w:val="5217023B"/>
    <w:rsid w:val="524D2FE5"/>
    <w:rsid w:val="526B51B3"/>
    <w:rsid w:val="527346F9"/>
    <w:rsid w:val="52AA302D"/>
    <w:rsid w:val="52AD7D03"/>
    <w:rsid w:val="52F70339"/>
    <w:rsid w:val="530D1C98"/>
    <w:rsid w:val="5316018D"/>
    <w:rsid w:val="533802B0"/>
    <w:rsid w:val="535F39CE"/>
    <w:rsid w:val="53844015"/>
    <w:rsid w:val="53A21BCD"/>
    <w:rsid w:val="53AE0572"/>
    <w:rsid w:val="53B547E4"/>
    <w:rsid w:val="53C54A7E"/>
    <w:rsid w:val="53E00F74"/>
    <w:rsid w:val="53ED77E6"/>
    <w:rsid w:val="53F427B9"/>
    <w:rsid w:val="542F397D"/>
    <w:rsid w:val="545A2356"/>
    <w:rsid w:val="54992FD0"/>
    <w:rsid w:val="54B23402"/>
    <w:rsid w:val="54B874C8"/>
    <w:rsid w:val="54DC5F38"/>
    <w:rsid w:val="54DF2FCC"/>
    <w:rsid w:val="55012924"/>
    <w:rsid w:val="55083162"/>
    <w:rsid w:val="550F7A5B"/>
    <w:rsid w:val="5510701F"/>
    <w:rsid w:val="551B75AE"/>
    <w:rsid w:val="55530D27"/>
    <w:rsid w:val="55594E94"/>
    <w:rsid w:val="55621614"/>
    <w:rsid w:val="5572737D"/>
    <w:rsid w:val="558A1367"/>
    <w:rsid w:val="55933D75"/>
    <w:rsid w:val="5599291F"/>
    <w:rsid w:val="55996042"/>
    <w:rsid w:val="55A07807"/>
    <w:rsid w:val="55B36EFC"/>
    <w:rsid w:val="55BF7DAB"/>
    <w:rsid w:val="55C022BA"/>
    <w:rsid w:val="563C3EC0"/>
    <w:rsid w:val="56474B1D"/>
    <w:rsid w:val="56497633"/>
    <w:rsid w:val="564C3605"/>
    <w:rsid w:val="56520719"/>
    <w:rsid w:val="56531C0A"/>
    <w:rsid w:val="56A62938"/>
    <w:rsid w:val="56BD475C"/>
    <w:rsid w:val="56C169E5"/>
    <w:rsid w:val="56CB6225"/>
    <w:rsid w:val="56FA7E8B"/>
    <w:rsid w:val="570404A9"/>
    <w:rsid w:val="570707BA"/>
    <w:rsid w:val="571A31DA"/>
    <w:rsid w:val="571F34FB"/>
    <w:rsid w:val="57283E0B"/>
    <w:rsid w:val="572E3DFB"/>
    <w:rsid w:val="573351B0"/>
    <w:rsid w:val="57390C18"/>
    <w:rsid w:val="573F6541"/>
    <w:rsid w:val="574014E1"/>
    <w:rsid w:val="57571CBA"/>
    <w:rsid w:val="57D07475"/>
    <w:rsid w:val="57D455E1"/>
    <w:rsid w:val="57E00F16"/>
    <w:rsid w:val="58040E81"/>
    <w:rsid w:val="5814296E"/>
    <w:rsid w:val="5827444F"/>
    <w:rsid w:val="58296419"/>
    <w:rsid w:val="584274DB"/>
    <w:rsid w:val="584C7F32"/>
    <w:rsid w:val="58515970"/>
    <w:rsid w:val="585D2CCE"/>
    <w:rsid w:val="585D4208"/>
    <w:rsid w:val="58840844"/>
    <w:rsid w:val="58C826FB"/>
    <w:rsid w:val="58CC3F96"/>
    <w:rsid w:val="58E70023"/>
    <w:rsid w:val="58EE5CF5"/>
    <w:rsid w:val="59204DD3"/>
    <w:rsid w:val="592F4560"/>
    <w:rsid w:val="593037D7"/>
    <w:rsid w:val="59417CFE"/>
    <w:rsid w:val="5943350B"/>
    <w:rsid w:val="59587923"/>
    <w:rsid w:val="59591495"/>
    <w:rsid w:val="59775899"/>
    <w:rsid w:val="59843C6A"/>
    <w:rsid w:val="59C77C98"/>
    <w:rsid w:val="59F27B21"/>
    <w:rsid w:val="5A122558"/>
    <w:rsid w:val="5A18539D"/>
    <w:rsid w:val="5A186086"/>
    <w:rsid w:val="5A1A647C"/>
    <w:rsid w:val="5A215C36"/>
    <w:rsid w:val="5A2C6645"/>
    <w:rsid w:val="5A354648"/>
    <w:rsid w:val="5A394AAB"/>
    <w:rsid w:val="5A6310DA"/>
    <w:rsid w:val="5A6E4EEC"/>
    <w:rsid w:val="5A8B6673"/>
    <w:rsid w:val="5A93545B"/>
    <w:rsid w:val="5A9A023F"/>
    <w:rsid w:val="5AB3021C"/>
    <w:rsid w:val="5ACE6A69"/>
    <w:rsid w:val="5AE45748"/>
    <w:rsid w:val="5AFC0F7F"/>
    <w:rsid w:val="5B5B3870"/>
    <w:rsid w:val="5B5F2152"/>
    <w:rsid w:val="5B607CF8"/>
    <w:rsid w:val="5B730F17"/>
    <w:rsid w:val="5B884084"/>
    <w:rsid w:val="5B887BB7"/>
    <w:rsid w:val="5B8A042A"/>
    <w:rsid w:val="5B900847"/>
    <w:rsid w:val="5B973484"/>
    <w:rsid w:val="5BA3429A"/>
    <w:rsid w:val="5BA5225B"/>
    <w:rsid w:val="5BB10BFF"/>
    <w:rsid w:val="5BD83A12"/>
    <w:rsid w:val="5BDC50C3"/>
    <w:rsid w:val="5BE34A4E"/>
    <w:rsid w:val="5BEE27B5"/>
    <w:rsid w:val="5C0E1115"/>
    <w:rsid w:val="5C3B0F83"/>
    <w:rsid w:val="5C537F09"/>
    <w:rsid w:val="5C563555"/>
    <w:rsid w:val="5C5E2199"/>
    <w:rsid w:val="5C6204C3"/>
    <w:rsid w:val="5C677226"/>
    <w:rsid w:val="5C745223"/>
    <w:rsid w:val="5C8835A3"/>
    <w:rsid w:val="5C8A5083"/>
    <w:rsid w:val="5C997ECC"/>
    <w:rsid w:val="5CB83619"/>
    <w:rsid w:val="5CCE758F"/>
    <w:rsid w:val="5CF35248"/>
    <w:rsid w:val="5CFB4EAD"/>
    <w:rsid w:val="5D1D62C3"/>
    <w:rsid w:val="5D2E7C24"/>
    <w:rsid w:val="5D413CF7"/>
    <w:rsid w:val="5D467A9E"/>
    <w:rsid w:val="5D49561A"/>
    <w:rsid w:val="5D9E2C70"/>
    <w:rsid w:val="5DB858CE"/>
    <w:rsid w:val="5DCF0D76"/>
    <w:rsid w:val="5DDA6435"/>
    <w:rsid w:val="5DDD390F"/>
    <w:rsid w:val="5DE25438"/>
    <w:rsid w:val="5DE51EC6"/>
    <w:rsid w:val="5DFD1BC3"/>
    <w:rsid w:val="5E075446"/>
    <w:rsid w:val="5E155522"/>
    <w:rsid w:val="5E203E1A"/>
    <w:rsid w:val="5E3929A4"/>
    <w:rsid w:val="5E415870"/>
    <w:rsid w:val="5E4B3F43"/>
    <w:rsid w:val="5E5E18DF"/>
    <w:rsid w:val="5E6B3CD4"/>
    <w:rsid w:val="5E72551F"/>
    <w:rsid w:val="5E810B9A"/>
    <w:rsid w:val="5E8F45A3"/>
    <w:rsid w:val="5EA23196"/>
    <w:rsid w:val="5F044B81"/>
    <w:rsid w:val="5F0A6827"/>
    <w:rsid w:val="5F2839CB"/>
    <w:rsid w:val="5F47185C"/>
    <w:rsid w:val="5F545A7C"/>
    <w:rsid w:val="5F7C5664"/>
    <w:rsid w:val="5F7F34EB"/>
    <w:rsid w:val="5FE252DE"/>
    <w:rsid w:val="5FF22ABD"/>
    <w:rsid w:val="60121E89"/>
    <w:rsid w:val="60235E44"/>
    <w:rsid w:val="603154C1"/>
    <w:rsid w:val="60432042"/>
    <w:rsid w:val="606E70C0"/>
    <w:rsid w:val="607C0FE5"/>
    <w:rsid w:val="60852569"/>
    <w:rsid w:val="609561DC"/>
    <w:rsid w:val="60C27AD9"/>
    <w:rsid w:val="60DC6F0C"/>
    <w:rsid w:val="60E320D0"/>
    <w:rsid w:val="60F715A3"/>
    <w:rsid w:val="610E4B69"/>
    <w:rsid w:val="61335628"/>
    <w:rsid w:val="61484B8A"/>
    <w:rsid w:val="61495B2A"/>
    <w:rsid w:val="614F1C31"/>
    <w:rsid w:val="619F2CB5"/>
    <w:rsid w:val="61A56906"/>
    <w:rsid w:val="61B81661"/>
    <w:rsid w:val="61BA2AB5"/>
    <w:rsid w:val="61CF0A40"/>
    <w:rsid w:val="61F01D9D"/>
    <w:rsid w:val="61F40A0D"/>
    <w:rsid w:val="61FB33CF"/>
    <w:rsid w:val="622003DE"/>
    <w:rsid w:val="6220088D"/>
    <w:rsid w:val="6237500A"/>
    <w:rsid w:val="62642A4C"/>
    <w:rsid w:val="62680DB7"/>
    <w:rsid w:val="62704140"/>
    <w:rsid w:val="627A35A1"/>
    <w:rsid w:val="62907837"/>
    <w:rsid w:val="62996751"/>
    <w:rsid w:val="62AF08F4"/>
    <w:rsid w:val="62FC74AA"/>
    <w:rsid w:val="630A358C"/>
    <w:rsid w:val="63822E9C"/>
    <w:rsid w:val="63F01D3E"/>
    <w:rsid w:val="64212885"/>
    <w:rsid w:val="642301C1"/>
    <w:rsid w:val="643364F2"/>
    <w:rsid w:val="64480350"/>
    <w:rsid w:val="64564CFA"/>
    <w:rsid w:val="645B63B1"/>
    <w:rsid w:val="646F08D5"/>
    <w:rsid w:val="64942E6C"/>
    <w:rsid w:val="64A66831"/>
    <w:rsid w:val="64AC4EB7"/>
    <w:rsid w:val="64CB61F8"/>
    <w:rsid w:val="64E536C8"/>
    <w:rsid w:val="64F64031"/>
    <w:rsid w:val="651061B6"/>
    <w:rsid w:val="651D4188"/>
    <w:rsid w:val="655D6EB5"/>
    <w:rsid w:val="6560355A"/>
    <w:rsid w:val="656256ED"/>
    <w:rsid w:val="659D27E5"/>
    <w:rsid w:val="65A044CA"/>
    <w:rsid w:val="65A83DAC"/>
    <w:rsid w:val="65AD6914"/>
    <w:rsid w:val="65E329B5"/>
    <w:rsid w:val="65FC2771"/>
    <w:rsid w:val="66012783"/>
    <w:rsid w:val="6603361E"/>
    <w:rsid w:val="66127C81"/>
    <w:rsid w:val="66344D3E"/>
    <w:rsid w:val="665C267F"/>
    <w:rsid w:val="66624588"/>
    <w:rsid w:val="66745FFD"/>
    <w:rsid w:val="66A01E6F"/>
    <w:rsid w:val="66A22C57"/>
    <w:rsid w:val="66C83F2C"/>
    <w:rsid w:val="66EC2F44"/>
    <w:rsid w:val="6701538B"/>
    <w:rsid w:val="67110EA9"/>
    <w:rsid w:val="6730455B"/>
    <w:rsid w:val="67387A63"/>
    <w:rsid w:val="673F51C7"/>
    <w:rsid w:val="676818B7"/>
    <w:rsid w:val="678F02D7"/>
    <w:rsid w:val="67B36C0C"/>
    <w:rsid w:val="67BE526A"/>
    <w:rsid w:val="67C1041C"/>
    <w:rsid w:val="67C63C85"/>
    <w:rsid w:val="67D15A64"/>
    <w:rsid w:val="67E04B62"/>
    <w:rsid w:val="67F01298"/>
    <w:rsid w:val="67FB08EB"/>
    <w:rsid w:val="67FB3025"/>
    <w:rsid w:val="67FC3E1A"/>
    <w:rsid w:val="68017E89"/>
    <w:rsid w:val="68112FCA"/>
    <w:rsid w:val="68195E58"/>
    <w:rsid w:val="683E3E9A"/>
    <w:rsid w:val="686A7F84"/>
    <w:rsid w:val="687B1001"/>
    <w:rsid w:val="68907DEF"/>
    <w:rsid w:val="68DA0494"/>
    <w:rsid w:val="68E258A1"/>
    <w:rsid w:val="68E542A7"/>
    <w:rsid w:val="68FA376A"/>
    <w:rsid w:val="691B3B5C"/>
    <w:rsid w:val="6925180D"/>
    <w:rsid w:val="692C1515"/>
    <w:rsid w:val="692C4A1B"/>
    <w:rsid w:val="69367529"/>
    <w:rsid w:val="693D6EB4"/>
    <w:rsid w:val="696164DE"/>
    <w:rsid w:val="69811A86"/>
    <w:rsid w:val="6983762F"/>
    <w:rsid w:val="69A955F8"/>
    <w:rsid w:val="69B61E25"/>
    <w:rsid w:val="69BB191B"/>
    <w:rsid w:val="69DF7D42"/>
    <w:rsid w:val="69E441CA"/>
    <w:rsid w:val="6A19339F"/>
    <w:rsid w:val="6A1A0E21"/>
    <w:rsid w:val="6A1C0805"/>
    <w:rsid w:val="6A2677F7"/>
    <w:rsid w:val="6A68311E"/>
    <w:rsid w:val="6A6C7862"/>
    <w:rsid w:val="6A6F0AC9"/>
    <w:rsid w:val="6A703DAE"/>
    <w:rsid w:val="6A7D6CAF"/>
    <w:rsid w:val="6A8739D3"/>
    <w:rsid w:val="6A9042E2"/>
    <w:rsid w:val="6A973C6D"/>
    <w:rsid w:val="6AA47B81"/>
    <w:rsid w:val="6AC10822"/>
    <w:rsid w:val="6ACE0F9D"/>
    <w:rsid w:val="6AFA3FDD"/>
    <w:rsid w:val="6B1846A8"/>
    <w:rsid w:val="6B1C3093"/>
    <w:rsid w:val="6B317B72"/>
    <w:rsid w:val="6B3320C3"/>
    <w:rsid w:val="6B344DF0"/>
    <w:rsid w:val="6B3967AC"/>
    <w:rsid w:val="6B3A3476"/>
    <w:rsid w:val="6B4F341C"/>
    <w:rsid w:val="6B6D0974"/>
    <w:rsid w:val="6B726E54"/>
    <w:rsid w:val="6B8204BE"/>
    <w:rsid w:val="6B924428"/>
    <w:rsid w:val="6BA72B78"/>
    <w:rsid w:val="6BBA67F4"/>
    <w:rsid w:val="6BD63A05"/>
    <w:rsid w:val="6BDA0E02"/>
    <w:rsid w:val="6BDB0A81"/>
    <w:rsid w:val="6BEA091C"/>
    <w:rsid w:val="6C045989"/>
    <w:rsid w:val="6C134FBF"/>
    <w:rsid w:val="6C1B622C"/>
    <w:rsid w:val="6C2446F9"/>
    <w:rsid w:val="6C316D02"/>
    <w:rsid w:val="6C321490"/>
    <w:rsid w:val="6C321699"/>
    <w:rsid w:val="6C336F12"/>
    <w:rsid w:val="6C3B4144"/>
    <w:rsid w:val="6C670C97"/>
    <w:rsid w:val="6C693B68"/>
    <w:rsid w:val="6C796D9F"/>
    <w:rsid w:val="6C856BF4"/>
    <w:rsid w:val="6C8A7920"/>
    <w:rsid w:val="6C953733"/>
    <w:rsid w:val="6C9B41FB"/>
    <w:rsid w:val="6CA639CD"/>
    <w:rsid w:val="6CAF42DD"/>
    <w:rsid w:val="6CB56076"/>
    <w:rsid w:val="6CB807AD"/>
    <w:rsid w:val="6CCB618B"/>
    <w:rsid w:val="6CE547B7"/>
    <w:rsid w:val="6D056989"/>
    <w:rsid w:val="6D205895"/>
    <w:rsid w:val="6D216B9A"/>
    <w:rsid w:val="6D4312CD"/>
    <w:rsid w:val="6D5B21F7"/>
    <w:rsid w:val="6D85303B"/>
    <w:rsid w:val="6DAA54AF"/>
    <w:rsid w:val="6DAB327B"/>
    <w:rsid w:val="6DD2313B"/>
    <w:rsid w:val="6DD92177"/>
    <w:rsid w:val="6DFA0C7A"/>
    <w:rsid w:val="6DFA2445"/>
    <w:rsid w:val="6DFC1022"/>
    <w:rsid w:val="6E18621E"/>
    <w:rsid w:val="6E1A7569"/>
    <w:rsid w:val="6E2B704C"/>
    <w:rsid w:val="6E7946DB"/>
    <w:rsid w:val="6E7E6481"/>
    <w:rsid w:val="6E803BE8"/>
    <w:rsid w:val="6E8A28E9"/>
    <w:rsid w:val="6EA41295"/>
    <w:rsid w:val="6EA43493"/>
    <w:rsid w:val="6EB84E89"/>
    <w:rsid w:val="6F0219AD"/>
    <w:rsid w:val="6F101C89"/>
    <w:rsid w:val="6F2A51A0"/>
    <w:rsid w:val="6F5558EE"/>
    <w:rsid w:val="6F615376"/>
    <w:rsid w:val="6F786CEE"/>
    <w:rsid w:val="6F8C3791"/>
    <w:rsid w:val="6F993A2D"/>
    <w:rsid w:val="6FAF14A2"/>
    <w:rsid w:val="6FE55C0C"/>
    <w:rsid w:val="700167C8"/>
    <w:rsid w:val="7012146B"/>
    <w:rsid w:val="704B4AC8"/>
    <w:rsid w:val="705477C3"/>
    <w:rsid w:val="70613C5D"/>
    <w:rsid w:val="7063074E"/>
    <w:rsid w:val="70666977"/>
    <w:rsid w:val="70792114"/>
    <w:rsid w:val="7086142A"/>
    <w:rsid w:val="70A17A56"/>
    <w:rsid w:val="70CE7706"/>
    <w:rsid w:val="70E33D42"/>
    <w:rsid w:val="71041CF8"/>
    <w:rsid w:val="711A294B"/>
    <w:rsid w:val="71211CA2"/>
    <w:rsid w:val="71270FB3"/>
    <w:rsid w:val="712D47EA"/>
    <w:rsid w:val="71351C2D"/>
    <w:rsid w:val="71823031"/>
    <w:rsid w:val="7185134D"/>
    <w:rsid w:val="718C304E"/>
    <w:rsid w:val="718F49FD"/>
    <w:rsid w:val="71AB378B"/>
    <w:rsid w:val="71B316DD"/>
    <w:rsid w:val="71CB25AA"/>
    <w:rsid w:val="71D83356"/>
    <w:rsid w:val="71E05943"/>
    <w:rsid w:val="71F35EB5"/>
    <w:rsid w:val="71F907B3"/>
    <w:rsid w:val="71F92EA9"/>
    <w:rsid w:val="720C4C93"/>
    <w:rsid w:val="72113D47"/>
    <w:rsid w:val="72131EB6"/>
    <w:rsid w:val="72216C4D"/>
    <w:rsid w:val="72361171"/>
    <w:rsid w:val="72495B34"/>
    <w:rsid w:val="725331AC"/>
    <w:rsid w:val="72712474"/>
    <w:rsid w:val="72766AE8"/>
    <w:rsid w:val="727950DD"/>
    <w:rsid w:val="72912784"/>
    <w:rsid w:val="729B3093"/>
    <w:rsid w:val="72AC0DAF"/>
    <w:rsid w:val="72BD6ACB"/>
    <w:rsid w:val="72C154D1"/>
    <w:rsid w:val="72C33CEF"/>
    <w:rsid w:val="72DC3AFD"/>
    <w:rsid w:val="730D7B4F"/>
    <w:rsid w:val="730F0E54"/>
    <w:rsid w:val="732706F9"/>
    <w:rsid w:val="732A14E7"/>
    <w:rsid w:val="73454032"/>
    <w:rsid w:val="7346211D"/>
    <w:rsid w:val="734737A0"/>
    <w:rsid w:val="735B0B61"/>
    <w:rsid w:val="73707BF4"/>
    <w:rsid w:val="73941263"/>
    <w:rsid w:val="73D36613"/>
    <w:rsid w:val="747B5DF7"/>
    <w:rsid w:val="74864D7B"/>
    <w:rsid w:val="74974023"/>
    <w:rsid w:val="74A05D67"/>
    <w:rsid w:val="74C47221"/>
    <w:rsid w:val="74EF5AE6"/>
    <w:rsid w:val="74F769B5"/>
    <w:rsid w:val="751956F6"/>
    <w:rsid w:val="755B649A"/>
    <w:rsid w:val="75787FC9"/>
    <w:rsid w:val="758827E2"/>
    <w:rsid w:val="75943A9C"/>
    <w:rsid w:val="75A51ECF"/>
    <w:rsid w:val="75A90798"/>
    <w:rsid w:val="75B545AA"/>
    <w:rsid w:val="75C73909"/>
    <w:rsid w:val="75D97FCA"/>
    <w:rsid w:val="75EB18CD"/>
    <w:rsid w:val="75EB6C83"/>
    <w:rsid w:val="763C747E"/>
    <w:rsid w:val="76524935"/>
    <w:rsid w:val="765C1C80"/>
    <w:rsid w:val="76665F34"/>
    <w:rsid w:val="7685754C"/>
    <w:rsid w:val="76A46917"/>
    <w:rsid w:val="76C96D94"/>
    <w:rsid w:val="76D12653"/>
    <w:rsid w:val="76E840FC"/>
    <w:rsid w:val="76EB32F5"/>
    <w:rsid w:val="76EC6B38"/>
    <w:rsid w:val="76EF03D6"/>
    <w:rsid w:val="771459A6"/>
    <w:rsid w:val="771769F1"/>
    <w:rsid w:val="772A2051"/>
    <w:rsid w:val="773E0AC2"/>
    <w:rsid w:val="77607E69"/>
    <w:rsid w:val="77715B85"/>
    <w:rsid w:val="77767741"/>
    <w:rsid w:val="777D3B96"/>
    <w:rsid w:val="779F437F"/>
    <w:rsid w:val="77A41857"/>
    <w:rsid w:val="77C96214"/>
    <w:rsid w:val="77DF1E38"/>
    <w:rsid w:val="77DF61B9"/>
    <w:rsid w:val="77E912C9"/>
    <w:rsid w:val="781A75D7"/>
    <w:rsid w:val="781E72DE"/>
    <w:rsid w:val="783F076E"/>
    <w:rsid w:val="785E6707"/>
    <w:rsid w:val="786A5D9D"/>
    <w:rsid w:val="78746F41"/>
    <w:rsid w:val="789631FF"/>
    <w:rsid w:val="789B4F81"/>
    <w:rsid w:val="789D2ED2"/>
    <w:rsid w:val="78D53773"/>
    <w:rsid w:val="78E950F0"/>
    <w:rsid w:val="78FD502C"/>
    <w:rsid w:val="791A372E"/>
    <w:rsid w:val="791B013F"/>
    <w:rsid w:val="791D69FF"/>
    <w:rsid w:val="792E135E"/>
    <w:rsid w:val="79381B96"/>
    <w:rsid w:val="794B7CCC"/>
    <w:rsid w:val="79612E69"/>
    <w:rsid w:val="797C365C"/>
    <w:rsid w:val="798F00FE"/>
    <w:rsid w:val="799F2917"/>
    <w:rsid w:val="79AD1484"/>
    <w:rsid w:val="79DC2E94"/>
    <w:rsid w:val="79DF58FF"/>
    <w:rsid w:val="79EF399B"/>
    <w:rsid w:val="79F30EFF"/>
    <w:rsid w:val="79FB5AE0"/>
    <w:rsid w:val="7A092E01"/>
    <w:rsid w:val="7A1109A0"/>
    <w:rsid w:val="7A1545F8"/>
    <w:rsid w:val="7A195E96"/>
    <w:rsid w:val="7A3800E6"/>
    <w:rsid w:val="7A567350"/>
    <w:rsid w:val="7A905722"/>
    <w:rsid w:val="7A9E4A38"/>
    <w:rsid w:val="7AAE27F4"/>
    <w:rsid w:val="7ABD0F17"/>
    <w:rsid w:val="7AC00390"/>
    <w:rsid w:val="7ACD1D04"/>
    <w:rsid w:val="7AD75E97"/>
    <w:rsid w:val="7ADB231E"/>
    <w:rsid w:val="7AF379C5"/>
    <w:rsid w:val="7AF71029"/>
    <w:rsid w:val="7B0F1874"/>
    <w:rsid w:val="7B13027A"/>
    <w:rsid w:val="7B186900"/>
    <w:rsid w:val="7B207590"/>
    <w:rsid w:val="7B256ABC"/>
    <w:rsid w:val="7B273A10"/>
    <w:rsid w:val="7B2B5921"/>
    <w:rsid w:val="7B2C39A7"/>
    <w:rsid w:val="7B42141C"/>
    <w:rsid w:val="7B4F4CA9"/>
    <w:rsid w:val="7B5D73F5"/>
    <w:rsid w:val="7B615DFB"/>
    <w:rsid w:val="7B66335D"/>
    <w:rsid w:val="7B723B17"/>
    <w:rsid w:val="7B821819"/>
    <w:rsid w:val="7BA97F26"/>
    <w:rsid w:val="7BCC2E2B"/>
    <w:rsid w:val="7BDC1EC1"/>
    <w:rsid w:val="7BDD144D"/>
    <w:rsid w:val="7BE86FD9"/>
    <w:rsid w:val="7BEB7F5D"/>
    <w:rsid w:val="7BEC6B42"/>
    <w:rsid w:val="7C312C50"/>
    <w:rsid w:val="7C3456F4"/>
    <w:rsid w:val="7C5A3831"/>
    <w:rsid w:val="7C6A2A2A"/>
    <w:rsid w:val="7C715C38"/>
    <w:rsid w:val="7C7A4BE6"/>
    <w:rsid w:val="7C7F737F"/>
    <w:rsid w:val="7CA5738C"/>
    <w:rsid w:val="7CAE3135"/>
    <w:rsid w:val="7CC46939"/>
    <w:rsid w:val="7D060703"/>
    <w:rsid w:val="7D073BAD"/>
    <w:rsid w:val="7D115DE1"/>
    <w:rsid w:val="7D2E66FA"/>
    <w:rsid w:val="7D3B05D1"/>
    <w:rsid w:val="7D511DEB"/>
    <w:rsid w:val="7D5207A9"/>
    <w:rsid w:val="7D647E4E"/>
    <w:rsid w:val="7D857221"/>
    <w:rsid w:val="7D91151E"/>
    <w:rsid w:val="7D9E6463"/>
    <w:rsid w:val="7DAA52A9"/>
    <w:rsid w:val="7DAF7BC0"/>
    <w:rsid w:val="7DB61C4E"/>
    <w:rsid w:val="7DB85FB8"/>
    <w:rsid w:val="7DD264DC"/>
    <w:rsid w:val="7DDD7A8F"/>
    <w:rsid w:val="7DE22616"/>
    <w:rsid w:val="7DE440B0"/>
    <w:rsid w:val="7E000B16"/>
    <w:rsid w:val="7E1772DE"/>
    <w:rsid w:val="7E194CEF"/>
    <w:rsid w:val="7E327526"/>
    <w:rsid w:val="7E436010"/>
    <w:rsid w:val="7E65736C"/>
    <w:rsid w:val="7E684A6E"/>
    <w:rsid w:val="7E793A93"/>
    <w:rsid w:val="7EBB22FA"/>
    <w:rsid w:val="7EFD4068"/>
    <w:rsid w:val="7F02088F"/>
    <w:rsid w:val="7F0810F9"/>
    <w:rsid w:val="7F2870AA"/>
    <w:rsid w:val="7F2F5FE4"/>
    <w:rsid w:val="7F35093E"/>
    <w:rsid w:val="7F360E03"/>
    <w:rsid w:val="7F391B5B"/>
    <w:rsid w:val="7F730B31"/>
    <w:rsid w:val="7F9F6E3D"/>
    <w:rsid w:val="7FBC4F26"/>
    <w:rsid w:val="7FCD4B69"/>
    <w:rsid w:val="7FDA2751"/>
    <w:rsid w:val="7FFA7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bCs/>
      <w:sz w:val="32"/>
      <w:szCs w:val="32"/>
      <w:lang w:val="zh-CN"/>
    </w:rPr>
  </w:style>
  <w:style w:type="paragraph" w:styleId="3">
    <w:name w:val="heading 3"/>
    <w:basedOn w:val="1"/>
    <w:next w:val="1"/>
    <w:qFormat/>
    <w:uiPriority w:val="0"/>
    <w:pPr>
      <w:keepNext/>
      <w:keepLines/>
      <w:spacing w:before="260" w:after="260" w:line="416" w:lineRule="auto"/>
      <w:outlineLvl w:val="2"/>
    </w:pPr>
    <w:rPr>
      <w:b/>
      <w:bCs/>
      <w:sz w:val="32"/>
      <w:szCs w:val="32"/>
      <w:lang w:val="zh-CN"/>
    </w:rPr>
  </w:style>
  <w:style w:type="paragraph" w:styleId="4">
    <w:name w:val="heading 4"/>
    <w:basedOn w:val="1"/>
    <w:next w:val="1"/>
    <w:unhideWhenUsed/>
    <w:qFormat/>
    <w:uiPriority w:val="0"/>
    <w:pPr>
      <w:keepNext/>
      <w:keepLines/>
      <w:numPr>
        <w:ilvl w:val="0"/>
        <w:numId w:val="1"/>
      </w:numPr>
      <w:spacing w:before="280" w:after="290" w:line="372" w:lineRule="auto"/>
      <w:outlineLvl w:val="3"/>
    </w:pPr>
    <w:rPr>
      <w:rFonts w:ascii="Arial" w:hAnsi="Arial" w:eastAsia="黑体"/>
      <w:b/>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unhideWhenUsed/>
    <w:qFormat/>
    <w:uiPriority w:val="99"/>
    <w:pPr>
      <w:spacing w:after="200" w:line="276" w:lineRule="auto"/>
      <w:ind w:left="720"/>
    </w:pPr>
    <w:rPr>
      <w:rFonts w:ascii="Calibri" w:hAnsi="Calibri" w:eastAsia="Calibri" w:cs="Times New Roman"/>
      <w:sz w:val="22"/>
      <w:szCs w:val="22"/>
      <w:lang w:val="en-US" w:eastAsia="en-US" w:bidi="ar-SA"/>
    </w:rPr>
  </w:style>
  <w:style w:type="paragraph" w:styleId="6">
    <w:name w:val="annotation text"/>
    <w:basedOn w:val="1"/>
    <w:link w:val="35"/>
    <w:semiHidden/>
    <w:unhideWhenUsed/>
    <w:qFormat/>
    <w:uiPriority w:val="99"/>
    <w:pPr>
      <w:jc w:val="left"/>
    </w:pPr>
  </w:style>
  <w:style w:type="paragraph" w:styleId="7">
    <w:name w:val="Body Text"/>
    <w:basedOn w:val="1"/>
    <w:link w:val="31"/>
    <w:qFormat/>
    <w:uiPriority w:val="0"/>
    <w:rPr>
      <w:rFonts w:ascii="仿宋_GB2312" w:eastAsia="仿宋_GB2312"/>
      <w:sz w:val="32"/>
    </w:rPr>
  </w:style>
  <w:style w:type="paragraph" w:styleId="8">
    <w:name w:val="Body Text Indent"/>
    <w:basedOn w:val="1"/>
    <w:link w:val="32"/>
    <w:qFormat/>
    <w:uiPriority w:val="0"/>
    <w:pPr>
      <w:spacing w:after="120"/>
      <w:ind w:left="420" w:leftChars="200"/>
    </w:pPr>
  </w:style>
  <w:style w:type="paragraph" w:styleId="9">
    <w:name w:val="toc 3"/>
    <w:basedOn w:val="1"/>
    <w:next w:val="1"/>
    <w:semiHidden/>
    <w:unhideWhenUsed/>
    <w:qFormat/>
    <w:uiPriority w:val="39"/>
    <w:pPr>
      <w:ind w:left="840" w:leftChars="400"/>
    </w:pPr>
  </w:style>
  <w:style w:type="paragraph" w:styleId="10">
    <w:name w:val="Plain Text"/>
    <w:basedOn w:val="1"/>
    <w:link w:val="29"/>
    <w:qFormat/>
    <w:uiPriority w:val="0"/>
    <w:rPr>
      <w:rFonts w:ascii="宋体" w:hAnsi="Courier New" w:cstheme="minorBidi"/>
      <w:szCs w:val="22"/>
    </w:rPr>
  </w:style>
  <w:style w:type="paragraph" w:styleId="11">
    <w:name w:val="Date"/>
    <w:basedOn w:val="1"/>
    <w:next w:val="1"/>
    <w:link w:val="30"/>
    <w:unhideWhenUsed/>
    <w:qFormat/>
    <w:uiPriority w:val="0"/>
    <w:pPr>
      <w:ind w:left="100" w:leftChars="2500"/>
    </w:pPr>
  </w:style>
  <w:style w:type="paragraph" w:styleId="12">
    <w:name w:val="Balloon Text"/>
    <w:basedOn w:val="1"/>
    <w:link w:val="34"/>
    <w:semiHidden/>
    <w:unhideWhenUsed/>
    <w:qFormat/>
    <w:uiPriority w:val="99"/>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toc 1"/>
    <w:basedOn w:val="1"/>
    <w:next w:val="1"/>
    <w:semiHidden/>
    <w:unhideWhenUsed/>
    <w:qFormat/>
    <w:uiPriority w:val="39"/>
  </w:style>
  <w:style w:type="paragraph" w:styleId="16">
    <w:name w:val="List"/>
    <w:basedOn w:val="1"/>
    <w:qFormat/>
    <w:uiPriority w:val="0"/>
    <w:pPr>
      <w:ind w:left="200" w:hanging="200" w:hangingChars="200"/>
    </w:pPr>
    <w:rPr>
      <w:szCs w:val="21"/>
    </w:rPr>
  </w:style>
  <w:style w:type="paragraph" w:styleId="17">
    <w:name w:val="toc 2"/>
    <w:basedOn w:val="1"/>
    <w:next w:val="1"/>
    <w:semiHidden/>
    <w:unhideWhenUsed/>
    <w:qFormat/>
    <w:uiPriority w:val="39"/>
    <w:pPr>
      <w:ind w:left="420" w:leftChars="200"/>
    </w:pPr>
  </w:style>
  <w:style w:type="paragraph" w:styleId="1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9">
    <w:name w:val="annotation subject"/>
    <w:basedOn w:val="6"/>
    <w:next w:val="6"/>
    <w:link w:val="36"/>
    <w:semiHidden/>
    <w:unhideWhenUsed/>
    <w:qFormat/>
    <w:uiPriority w:val="99"/>
    <w:rPr>
      <w:b/>
      <w:bCs/>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rPr>
  </w:style>
  <w:style w:type="character" w:styleId="24">
    <w:name w:val="page number"/>
    <w:basedOn w:val="22"/>
    <w:semiHidden/>
    <w:qFormat/>
    <w:uiPriority w:val="0"/>
  </w:style>
  <w:style w:type="character" w:styleId="25">
    <w:name w:val="Hyperlink"/>
    <w:basedOn w:val="22"/>
    <w:unhideWhenUsed/>
    <w:qFormat/>
    <w:uiPriority w:val="99"/>
    <w:rPr>
      <w:color w:val="0563C1" w:themeColor="hyperlink"/>
      <w:u w:val="single"/>
      <w14:textFill>
        <w14:solidFill>
          <w14:schemeClr w14:val="hlink"/>
        </w14:solidFill>
      </w14:textFill>
    </w:rPr>
  </w:style>
  <w:style w:type="character" w:styleId="26">
    <w:name w:val="annotation reference"/>
    <w:basedOn w:val="22"/>
    <w:semiHidden/>
    <w:unhideWhenUsed/>
    <w:qFormat/>
    <w:uiPriority w:val="99"/>
    <w:rPr>
      <w:sz w:val="21"/>
      <w:szCs w:val="21"/>
    </w:rPr>
  </w:style>
  <w:style w:type="character" w:customStyle="1" w:styleId="27">
    <w:name w:val="页眉 字符"/>
    <w:basedOn w:val="22"/>
    <w:link w:val="14"/>
    <w:qFormat/>
    <w:uiPriority w:val="99"/>
    <w:rPr>
      <w:sz w:val="18"/>
      <w:szCs w:val="18"/>
    </w:rPr>
  </w:style>
  <w:style w:type="character" w:customStyle="1" w:styleId="28">
    <w:name w:val="页脚 字符"/>
    <w:basedOn w:val="22"/>
    <w:link w:val="13"/>
    <w:qFormat/>
    <w:uiPriority w:val="99"/>
    <w:rPr>
      <w:sz w:val="18"/>
      <w:szCs w:val="18"/>
    </w:rPr>
  </w:style>
  <w:style w:type="character" w:customStyle="1" w:styleId="29">
    <w:name w:val="纯文本 字符"/>
    <w:basedOn w:val="22"/>
    <w:link w:val="10"/>
    <w:qFormat/>
    <w:uiPriority w:val="0"/>
    <w:rPr>
      <w:rFonts w:ascii="宋体" w:hAnsi="Courier New" w:eastAsia="宋体"/>
    </w:rPr>
  </w:style>
  <w:style w:type="character" w:customStyle="1" w:styleId="30">
    <w:name w:val="日期 字符"/>
    <w:basedOn w:val="22"/>
    <w:link w:val="11"/>
    <w:qFormat/>
    <w:uiPriority w:val="99"/>
    <w:rPr>
      <w:rFonts w:ascii="Times New Roman" w:hAnsi="Times New Roman" w:eastAsia="宋体" w:cs="Times New Roman"/>
      <w:szCs w:val="20"/>
    </w:rPr>
  </w:style>
  <w:style w:type="character" w:customStyle="1" w:styleId="31">
    <w:name w:val="正文文本 字符"/>
    <w:basedOn w:val="22"/>
    <w:link w:val="7"/>
    <w:qFormat/>
    <w:uiPriority w:val="0"/>
    <w:rPr>
      <w:rFonts w:ascii="仿宋_GB2312" w:hAnsi="Times New Roman" w:eastAsia="仿宋_GB2312" w:cs="Times New Roman"/>
      <w:sz w:val="32"/>
      <w:szCs w:val="20"/>
    </w:rPr>
  </w:style>
  <w:style w:type="character" w:customStyle="1" w:styleId="32">
    <w:name w:val="正文文本缩进 字符"/>
    <w:basedOn w:val="22"/>
    <w:link w:val="8"/>
    <w:qFormat/>
    <w:uiPriority w:val="0"/>
    <w:rPr>
      <w:rFonts w:ascii="Times New Roman" w:hAnsi="Times New Roman" w:eastAsia="宋体" w:cs="Times New Roman"/>
      <w:szCs w:val="20"/>
    </w:rPr>
  </w:style>
  <w:style w:type="character" w:customStyle="1" w:styleId="33">
    <w:name w:val="未处理的提及1"/>
    <w:basedOn w:val="22"/>
    <w:semiHidden/>
    <w:unhideWhenUsed/>
    <w:qFormat/>
    <w:uiPriority w:val="99"/>
    <w:rPr>
      <w:color w:val="605E5C"/>
      <w:shd w:val="clear" w:color="auto" w:fill="E1DFDD"/>
    </w:rPr>
  </w:style>
  <w:style w:type="character" w:customStyle="1" w:styleId="34">
    <w:name w:val="批注框文本 字符"/>
    <w:basedOn w:val="22"/>
    <w:link w:val="12"/>
    <w:semiHidden/>
    <w:qFormat/>
    <w:uiPriority w:val="99"/>
    <w:rPr>
      <w:rFonts w:ascii="Times New Roman" w:hAnsi="Times New Roman" w:eastAsia="宋体" w:cs="Times New Roman"/>
      <w:sz w:val="18"/>
      <w:szCs w:val="18"/>
    </w:rPr>
  </w:style>
  <w:style w:type="character" w:customStyle="1" w:styleId="35">
    <w:name w:val="批注文字 字符"/>
    <w:basedOn w:val="22"/>
    <w:link w:val="6"/>
    <w:semiHidden/>
    <w:qFormat/>
    <w:uiPriority w:val="99"/>
    <w:rPr>
      <w:rFonts w:ascii="Times New Roman" w:hAnsi="Times New Roman" w:eastAsia="宋体" w:cs="Times New Roman"/>
      <w:szCs w:val="20"/>
    </w:rPr>
  </w:style>
  <w:style w:type="character" w:customStyle="1" w:styleId="36">
    <w:name w:val="批注主题 字符"/>
    <w:basedOn w:val="35"/>
    <w:link w:val="19"/>
    <w:semiHidden/>
    <w:qFormat/>
    <w:uiPriority w:val="99"/>
    <w:rPr>
      <w:rFonts w:ascii="Times New Roman" w:hAnsi="Times New Roman" w:eastAsia="宋体" w:cs="Times New Roman"/>
      <w:b/>
      <w:bCs/>
      <w:szCs w:val="20"/>
    </w:rPr>
  </w:style>
  <w:style w:type="paragraph" w:customStyle="1" w:styleId="37">
    <w:name w:val="修订1"/>
    <w:hidden/>
    <w:semiHidden/>
    <w:qFormat/>
    <w:uiPriority w:val="99"/>
    <w:rPr>
      <w:rFonts w:ascii="Times New Roman" w:hAnsi="Times New Roman" w:eastAsia="宋体" w:cs="Times New Roman"/>
      <w:kern w:val="2"/>
      <w:sz w:val="21"/>
      <w:lang w:val="en-US" w:eastAsia="zh-CN" w:bidi="ar-SA"/>
    </w:rPr>
  </w:style>
  <w:style w:type="character" w:customStyle="1" w:styleId="38">
    <w:name w:val="未处理的提及2"/>
    <w:basedOn w:val="22"/>
    <w:semiHidden/>
    <w:unhideWhenUsed/>
    <w:qFormat/>
    <w:uiPriority w:val="99"/>
    <w:rPr>
      <w:color w:val="605E5C"/>
      <w:shd w:val="clear" w:color="auto" w:fill="E1DFDD"/>
    </w:rPr>
  </w:style>
  <w:style w:type="paragraph" w:customStyle="1" w:styleId="39">
    <w:name w:val="修订2"/>
    <w:hidden/>
    <w:semiHidden/>
    <w:qFormat/>
    <w:uiPriority w:val="99"/>
    <w:rPr>
      <w:rFonts w:ascii="Times New Roman" w:hAnsi="Times New Roman" w:eastAsia="宋体" w:cs="Times New Roman"/>
      <w:kern w:val="2"/>
      <w:sz w:val="21"/>
      <w:lang w:val="en-US" w:eastAsia="zh-CN" w:bidi="ar-SA"/>
    </w:rPr>
  </w:style>
  <w:style w:type="paragraph" w:customStyle="1" w:styleId="40">
    <w:name w:val="标三级标题"/>
    <w:basedOn w:val="41"/>
    <w:qFormat/>
    <w:uiPriority w:val="0"/>
  </w:style>
  <w:style w:type="paragraph" w:customStyle="1" w:styleId="41">
    <w:name w:val="标书三级标题"/>
    <w:basedOn w:val="3"/>
    <w:next w:val="42"/>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rPr>
  </w:style>
  <w:style w:type="paragraph" w:customStyle="1" w:styleId="42">
    <w:name w:val="标书正文格式"/>
    <w:basedOn w:val="10"/>
    <w:qFormat/>
    <w:uiPriority w:val="0"/>
    <w:pPr>
      <w:spacing w:line="360" w:lineRule="auto"/>
      <w:ind w:firstLine="200" w:firstLineChars="200"/>
    </w:pPr>
    <w:rPr>
      <w:rFonts w:hAnsi="宋体" w:eastAsiaTheme="minorEastAsia"/>
      <w:color w:val="000000"/>
      <w:sz w:val="24"/>
      <w:szCs w:val="24"/>
    </w:rPr>
  </w:style>
  <w:style w:type="paragraph" w:customStyle="1" w:styleId="43">
    <w:name w:val="WPSOffice手动目录 1"/>
    <w:qFormat/>
    <w:uiPriority w:val="0"/>
    <w:rPr>
      <w:rFonts w:ascii="Times New Roman" w:hAnsi="Times New Roman" w:eastAsia="宋体" w:cs="Times New Roman"/>
      <w:lang w:val="en-US" w:eastAsia="zh-CN" w:bidi="ar-SA"/>
    </w:rPr>
  </w:style>
  <w:style w:type="paragraph" w:styleId="44">
    <w:name w:val="List Paragraph"/>
    <w:basedOn w:val="1"/>
    <w:qFormat/>
    <w:uiPriority w:val="99"/>
    <w:pPr>
      <w:ind w:firstLine="420" w:firstLineChars="200"/>
    </w:pPr>
  </w:style>
  <w:style w:type="paragraph" w:customStyle="1" w:styleId="4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4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7">
    <w:name w:val="（二）级标题"/>
    <w:basedOn w:val="10"/>
    <w:qFormat/>
    <w:uiPriority w:val="2"/>
    <w:pPr>
      <w:numPr>
        <w:ilvl w:val="0"/>
        <w:numId w:val="2"/>
      </w:numPr>
      <w:spacing w:line="360" w:lineRule="auto"/>
      <w:outlineLvl w:val="2"/>
    </w:pPr>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a820ad45-3785-46b8-b2fc-0138aa48d93b</errorID>
      <errorWord>。</errorWord>
      <group>L1_Format</group>
      <groupName>格式问题</groupName>
      <ability>L2_HalfPunc_CN</ability>
      <abilityName>全半角检查</abilityName>
      <candidateList>
        <item>.</item>
      </candidateList>
      <explain>文本全半角错误。</explain>
      <paraID>6FBD272B</paraID>
      <start>5</start>
      <end>6</end>
      <status>modified</status>
      <modifiedWord>.</modifiedWord>
      <trackRevisions>false</trackRevisions>
    </reviewItem>
    <reviewItem>
      <errorID>4fe214ad-cbaf-4b9b-9025-25eafcfd8184</errorID>
      <errorWord>；</errorWord>
      <group>L1_Word</group>
      <groupName>字词问题</groupName>
      <ability>L2_Typo</ability>
      <abilityName>字词错误</abilityName>
      <candidateList>
        <item>；在</item>
      </candidateList>
      <explain/>
      <paraID>6F25FE64</paraID>
      <start>92</start>
      <end>94</end>
      <status>modified</status>
      <modifiedWord>；在</modifiedWord>
      <trackRevisions>false</trackRevisions>
    </reviewItem>
    <reviewItem>
      <errorID>a5245360-c554-4647-a972-a3f6d6b93f4f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B12F38C</paraID>
      <start>75</start>
      <end>77</end>
      <status>modified</status>
      <modifiedWord>”“</modifiedWord>
      <trackRevisions>false</trackRevisions>
    </reviewItem>
    <reviewItem>
      <errorID>8bc9c638-f3b8-4e88-afe6-6351f61f7251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B12F38C</paraID>
      <start>86</start>
      <end>88</end>
      <status>modified</status>
      <modifiedWord>”“</modifiedWord>
      <trackRevisions>false</trackRevisions>
    </reviewItem>
    <reviewItem>
      <errorID>c07526a7-47a1-4e89-af90-dcb76e0a9bd2</errorID>
      <errorWord>中国”、“天眼</errorWord>
      <group>L1_Political</group>
      <groupName>政治性问题</groupName>
      <ability>L2_Keyword</ability>
      <abilityName>固定表述</abilityName>
      <candidateList>
        <item>“中国天眼”</item>
      </candidateList>
      <explain>注意检查当前固定表述标点是否使用规范。</explain>
      <paraID> B12F38C</paraID>
      <start>90</start>
      <end>97</end>
      <status>unmodified</status>
      <modifiedWord/>
      <trackRevisions>false</trackRevisions>
    </reviewItem>
    <reviewItem>
      <errorID>9cdeaac6-b5df-43e9-b787-6d1118b72bac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B12F38C</paraID>
      <start>98</start>
      <end>100</end>
      <status>modified</status>
      <modifiedWord>”“</modifiedWord>
      <trackRevisions>false</trackRevisions>
    </reviewItem>
    <reviewItem>
      <errorID>2ddac016-0c6b-446c-8569-07c541269921</errorID>
      <errorWord>;</errorWord>
      <group>L1_Format</group>
      <groupName>格式问题</groupName>
      <ability>L2_HalfPunc_CN</ability>
      <abilityName>全半角检查</abilityName>
      <candidateList>
        <item>；</item>
      </candidateList>
      <explain>文本全半角错误。</explain>
      <paraID>54CD0739</paraID>
      <start>37</start>
      <end>38</end>
      <status>modified</status>
      <modifiedWord>；</modifiedWord>
      <trackRevisions>false</trackRevisions>
    </reviewItem>
    <reviewItem>
      <errorID>4d9e8498-a80d-4576-af41-d399eaec008a</errorID>
      <errorWord>考查</errorWord>
      <group>L1_Word</group>
      <groupName>字词问题</groupName>
      <ability>L2_Typo</ability>
      <abilityName>字词错误</abilityName>
      <candidateList>
        <item>考察</item>
      </candidateList>
      <explain/>
      <paraID>2C58F3E1</paraID>
      <start>166</start>
      <end>168</end>
      <status>modified</status>
      <modifiedWord>考察</modifiedWord>
      <trackRevisions>false</trackRevisions>
    </reviewItem>
    <reviewItem>
      <errorID>329a6905-e32f-46f5-a89a-1354e33ea881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3E9F83A0</paraID>
      <start>31</start>
      <end>32</end>
      <status>unmodified</status>
      <modifiedWord/>
      <trackRevisions>false</trackRevisions>
    </reviewItem>
    <reviewItem>
      <errorID>09e8c53f-ca73-4fb0-a80f-d3c8e364bca8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4C304E01</paraID>
      <start>57</start>
      <end>58</end>
      <status>unmodified</status>
      <modifiedWord/>
      <trackRevisions>false</trackRevisions>
    </reviewItem>
    <reviewItem>
      <errorID>6b488319-8692-4e51-b81a-42943f05be6e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E531D67</paraID>
      <start>67</start>
      <end>68</end>
      <status>unmodified</status>
      <modifiedWord/>
      <trackRevisions>false</trackRevisions>
    </reviewItem>
    <reviewItem>
      <errorID>25678005-abaf-41c9-84ab-f56645f04309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67281494</paraID>
      <start>70</start>
      <end>71</end>
      <status>unmodified</status>
      <modifiedWord/>
      <trackRevisions>false</trackRevisions>
    </reviewItem>
    <reviewItem>
      <errorID>7ffdb7aa-e5c5-46c0-bb8f-38d146dc4ce8</errorID>
      <errorWord>法律、法规</errorWord>
      <group>L1_Word</group>
      <groupName>字词问题</groupName>
      <ability>L2_Typo</ability>
      <abilityName>字词错误</abilityName>
      <candidateList>
        <item>法律法规</item>
      </candidateList>
      <explain/>
      <paraID>4DB27520</paraID>
      <start>89</start>
      <end>94</end>
      <status>unmodified</status>
      <modifiedWord/>
      <trackRevisions>false</trackRevisions>
    </reviewItem>
    <reviewItem>
      <errorID>199e0387-0c03-49ee-9aa3-1cd9740ffcc7</errorID>
      <errorWord>法律、法规</errorWord>
      <group>L1_Word</group>
      <groupName>字词问题</groupName>
      <ability>L2_Typo</ability>
      <abilityName>字词错误</abilityName>
      <candidateList>
        <item>法律法规</item>
      </candidateList>
      <explain/>
      <paraID>6F7D57AD</paraID>
      <start>3</start>
      <end>8</end>
      <status>unmodified</status>
      <modifiedWord/>
      <trackRevisions>false</trackRevisions>
    </reviewItem>
    <reviewItem>
      <errorID>71dd62d0-67a4-4e73-91c9-72853ee5e917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C3E13BE</paraID>
      <start>0</start>
      <end>2</end>
      <status>unmodified</status>
      <modifiedWord/>
      <trackRevisions>false</trackRevisions>
    </reviewItem>
    <reviewItem>
      <errorID>41294f49-9462-46f8-8cae-8e30083f4fb1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3D3922AB</paraID>
      <start>0</start>
      <end>2</end>
      <status>unmodified</status>
      <modifiedWord/>
      <trackRevisions>false</trackRevisions>
    </reviewItem>
    <reviewItem>
      <errorID>64c442f1-db21-4005-9c00-59d552989d75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2DA705A0</paraID>
      <start>0</start>
      <end>2</end>
      <status>unmodified</status>
      <modifiedWord/>
      <trackRevisions>false</trackRevisions>
    </reviewItem>
    <reviewItem>
      <errorID>1be1b5ba-1e4a-4c7e-951b-d0579a426182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28D48C52</paraID>
      <start>0</start>
      <end>2</end>
      <status>unmodified</status>
      <modifiedWord/>
      <trackRevisions>false</trackRevisions>
    </reviewItem>
    <reviewItem>
      <errorID>43f712ed-a0af-44c5-83b4-ca20aef73036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2E73BBFE</paraID>
      <start>0</start>
      <end>2</end>
      <status>unmodified</status>
      <modifiedWord/>
      <trackRevisions>false</trackRevisions>
    </reviewItem>
    <reviewItem>
      <errorID>cecee2a5-710e-44aa-8ed5-d7615d212a4d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55664991</paraID>
      <start>0</start>
      <end>2</end>
      <status>unmodified</status>
      <modifiedWord/>
      <trackRevisions>false</trackRevisions>
    </reviewItem>
    <reviewItem>
      <errorID>bf3d7058-4719-40a6-86c9-edcbb43e33f2</errorID>
      <errorWord>需具备</errorWord>
      <group>L1_Word</group>
      <groupName>字词问题</groupName>
      <ability>L2_Typo</ability>
      <abilityName>字词错误</abilityName>
      <candidateList>
        <item>须具备</item>
      </candidateList>
      <explain/>
      <paraID>5D8A1334</paraID>
      <start>39</start>
      <end>42</end>
      <status>modified</status>
      <modifiedWord>须具备</modifiedWord>
      <trackRevisions>false</trackRevisions>
    </reviewItem>
    <reviewItem>
      <errorID>94acb45f-44eb-445a-bab1-064c40dfe64d</errorID>
      <errorWord>详实</errorWord>
      <group>L1_Word</group>
      <groupName>字词问题</groupName>
      <ability>L2_Typo</ability>
      <abilityName>字词错误</abilityName>
      <candidateList>
        <item>翔实</item>
      </candidateList>
      <explain/>
      <paraID>72FDFE91</paraID>
      <start>5</start>
      <end>7</end>
      <status>modified</status>
      <modifiedWord>翔实</modifiedWord>
      <trackRevisions>false</trackRevisions>
    </reviewItem>
    <reviewItem>
      <errorID>7e8d3d4f-c2cd-4e73-a055-d5e5cf30b771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7D20BF57</paraID>
      <start>0</start>
      <end>2</end>
      <status>unmodified</status>
      <modifiedWord/>
      <trackRevisions>false</trackRevisions>
    </reviewItem>
    <reviewItem>
      <errorID>4b940dee-7c37-4efb-9002-440a0130f7fa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2AFF6A6D</paraID>
      <start>0</start>
      <end>2</end>
      <status>unmodified</status>
      <modifiedWord/>
      <trackRevisions>false</trackRevisions>
    </reviewItem>
    <reviewItem>
      <errorID>bd35e7e9-d041-4336-a106-fc10bab1786e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748AB869</paraID>
      <start>0</start>
      <end>2</end>
      <status>unmodified</status>
      <modifiedWord/>
      <trackRevisions>false</trackRevisions>
    </reviewItem>
    <reviewItem>
      <errorID>9c0fda14-f8c2-4485-859d-3ba02cee8516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42DF0C62</paraID>
      <start>0</start>
      <end>2</end>
      <status>unmodified</status>
      <modifiedWord/>
      <trackRevisions>false</trackRevisions>
    </reviewItem>
    <reviewItem>
      <errorID>52148746-7d48-4ea5-a63a-998914e58914</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6CA0A73C</paraID>
      <start>0</start>
      <end>2</end>
      <status>unmodified</status>
      <modifiedWord/>
      <trackRevisions>false</trackRevisions>
    </reviewItem>
    <reviewItem>
      <errorID>7a5628c9-dc4c-4bce-8e10-350d7a9bbe38</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65342DFD</paraID>
      <start>0</start>
      <end>2</end>
      <status>unmodified</status>
      <modifiedWord/>
      <trackRevisions>false</trackRevisions>
    </reviewItem>
    <reviewItem>
      <errorID>1629a0f3-695d-4eea-8202-3ec8cd44bae2</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66E7C560</paraID>
      <start>0</start>
      <end>2</end>
      <status>unmodified</status>
      <modifiedWord/>
      <trackRevisions>false</trackRevisions>
    </reviewItem>
    <reviewItem>
      <errorID>f580f456-2683-4926-a596-ddd2904669fc</errorID>
      <errorWord>的</errorWord>
      <group>L1_Word</group>
      <groupName>字词问题</groupName>
      <ability>L2_DDD</ability>
      <abilityName>的地得用法</abilityName>
      <candidateList>
        <item>地</item>
      </candidateList>
      <explain/>
      <paraID>66E7C560</paraID>
      <start>17</start>
      <end>18</end>
      <status>unmodified</status>
      <modifiedWord/>
      <trackRevisions>false</trackRevisions>
    </reviewItem>
    <reviewItem>
      <errorID>0c4bd412-636e-436c-b431-3ff257f79c2b</errorID>
      <errorWord>决不</errorWord>
      <group>L1_Word</group>
      <groupName>字词问题</groupName>
      <ability>L2_Typo</ability>
      <abilityName>字词错误</abilityName>
      <candidateList>
        <item>绝不</item>
      </candidateList>
      <explain>存在发音相同字词的误用。</explain>
      <paraID>68C1E158</paraID>
      <start>19</start>
      <end>21</end>
      <status>unmodified</status>
      <modifiedWord/>
      <trackRevisions>false</trackRevisions>
    </reviewItem>
    <reviewItem>
      <errorID>60b6139b-f72f-4c6d-a28f-4d6c187ed52c</errorID>
      <errorWord>决不</errorWord>
      <group>L1_Word</group>
      <groupName>字词问题</groupName>
      <ability>L2_Typo</ability>
      <abilityName>字词错误</abilityName>
      <candidateList>
        <item>绝不</item>
      </candidateList>
      <explain>存在发音相同字词的误用。</explain>
      <paraID>68C1E158</paraID>
      <start>87</start>
      <end>89</end>
      <status>unmodified</status>
      <modifiedWord/>
      <trackRevisions>false</trackRevisions>
    </reviewItem>
    <reviewItem>
      <errorID>b6aa3fcb-582a-4fe0-a166-e28c97b4a280</errorID>
      <errorWord>其它</errorWord>
      <group>L1_Word</group>
      <groupName>字词问题</groupName>
      <ability>L2_Alias</ability>
      <abilityName>也作/曾用词</abilityName>
      <candidateList>
        <item>其他</item>
      </candidateList>
      <explain>词汇[其它]为不规范表述或旧称，其规范书面表述为[其他]。</explain>
      <paraID>4D7F9BB1</paraID>
      <start>7</start>
      <end>9</end>
      <status>unmodified</status>
      <modifiedWord/>
      <trackRevisions>false</trackRevisions>
    </reviewItem>
    <reviewItem>
      <errorID>d05fc7f5-aa0c-4e5d-a0a9-f551047d0943</errorID>
      <errorWord>一式二份，双方</errorWord>
      <group>L1_Word</group>
      <groupName>字词问题</groupName>
      <ability>L2_Typo</ability>
      <abilityName>字词错误</abilityName>
      <candidateList>
        <item>一式两份，双方</item>
      </candidateList>
      <explain/>
      <paraID>  7FA713</paraID>
      <start>6</start>
      <end>13</end>
      <status>unmodified</status>
      <modifiedWord/>
      <trackRevisions>false</trackRevisions>
    </reviewItem>
    <reviewItem>
      <errorID>138880a5-60af-4c58-a8b5-771a4cec2164</errorID>
      <errorWord>:</errorWord>
      <group>L1_Format</group>
      <groupName>格式问题</groupName>
      <ability>L2_HalfPunc_CN</ability>
      <abilityName>全半角检查</abilityName>
      <candidateList>
        <item>：</item>
      </candidateList>
      <explain>文本全半角错误。</explain>
      <paraID>7E5CE49B</paraID>
      <start>3</start>
      <end>4</end>
      <status>unmodified</status>
      <modifiedWord/>
      <trackRevisions>false</trackRevisions>
    </reviewItem>
    <reviewItem>
      <errorID>774f00ef-58af-47a1-a35d-5a3287fbd838</errorID>
      <errorWord>:</errorWord>
      <group>L1_Format</group>
      <groupName>格式问题</groupName>
      <ability>L2_HalfPunc_CN</ability>
      <abilityName>全半角检查</abilityName>
      <candidateList>
        <item>：</item>
      </candidateList>
      <explain>文本全半角错误。</explain>
      <paraID>7E5CE49B</paraID>
      <start>8</start>
      <end>9</end>
      <status>unmodified</status>
      <modifiedWord/>
      <trackRevisions>false</trackRevisions>
    </reviewItem>
    <reviewItem>
      <errorID>f23c05a6-e18f-47e8-b819-728a62eb30ad</errorID>
      <errorWord>;</errorWord>
      <group>L1_Format</group>
      <groupName>格式问题</groupName>
      <ability>L2_HalfPunc_CN</ability>
      <abilityName>全半角检查</abilityName>
      <candidateList>
        <item>；</item>
      </candidateList>
      <explain>文本全半角错误。</explain>
      <paraID>26E8979A</paraID>
      <start>8</start>
      <end>9</end>
      <status>unmodified</status>
      <modifiedWord/>
      <trackRevisions>false</trackRevisions>
    </reviewItem>
    <reviewItem>
      <errorID>8eaa4c67-dc01-467d-b0fa-ba13f9d3cb97</errorID>
      <errorWord>-</errorWord>
      <group>L1_Format</group>
      <groupName>格式问题</groupName>
      <ability>L2_HalfPunc_CN</ability>
      <abilityName>全半角检查</abilityName>
      <candidateList>
        <item>－</item>
      </candidateList>
      <explain>文本全半角错误。</explain>
      <paraID>5739BDB5</paraID>
      <start>8</start>
      <end>9</end>
      <status>unmodified</status>
      <modifiedWord/>
      <trackRevisions>false</trackRevisions>
    </reviewItem>
    <reviewItem>
      <errorID>4c9b8964-8272-4e2a-8492-611fe68ef862</errorID>
      <errorWord>-</errorWord>
      <group>L1_Format</group>
      <groupName>格式问题</groupName>
      <ability>L2_HalfPunc_CN</ability>
      <abilityName>全半角检查</abilityName>
      <candidateList>
        <item>－</item>
      </candidateList>
      <explain>文本全半角错误。</explain>
      <paraID>5739BDB5</paraID>
      <start>16</start>
      <end>17</end>
      <status>unmodified</status>
      <modifiedWord/>
      <trackRevisions>false</trackRevisions>
    </reviewItem>
    <reviewItem>
      <errorID>6659ba42-817a-432d-bb5c-19f0c207ff47</errorID>
      <errorWord>-</errorWord>
      <group>L1_Format</group>
      <groupName>格式问题</groupName>
      <ability>L2_HalfPunc_CN</ability>
      <abilityName>全半角检查</abilityName>
      <candidateList>
        <item>－</item>
      </candidateList>
      <explain>文本全半角错误。</explain>
      <paraID>128FAABC</paraID>
      <start>8</start>
      <end>9</end>
      <status>unmodified</status>
      <modifiedWord/>
      <trackRevisions>false</trackRevisions>
    </reviewItem>
    <reviewItem>
      <errorID>e8db62ea-09ce-484a-98ed-dfb817bba9dc</errorID>
      <errorWord>-</errorWord>
      <group>L1_Format</group>
      <groupName>格式问题</groupName>
      <ability>L2_HalfPunc_CN</ability>
      <abilityName>全半角检查</abilityName>
      <candidateList>
        <item>－</item>
      </candidateList>
      <explain>文本全半角错误。</explain>
      <paraID>128FAABC</paraID>
      <start>16</start>
      <end>17</end>
      <status>unmodified</status>
      <modifiedWord/>
      <trackRevisions>false</trackRevisions>
    </reviewItem>
    <reviewItem>
      <errorID>b61db2ed-d731-44e8-93d5-407ee8f7862d</errorID>
      <errorWord>-</errorWord>
      <group>L1_Format</group>
      <groupName>格式问题</groupName>
      <ability>L2_HalfPunc_CN</ability>
      <abilityName>全半角检查</abilityName>
      <candidateList>
        <item>－</item>
      </candidateList>
      <explain>文本全半角错误。</explain>
      <paraID>2559FDBD</paraID>
      <start>8</start>
      <end>9</end>
      <status>unmodified</status>
      <modifiedWord/>
      <trackRevisions>false</trackRevisions>
    </reviewItem>
    <reviewItem>
      <errorID>33326029-df93-429e-8bd5-20171ca14a74</errorID>
      <errorWord>-</errorWord>
      <group>L1_Format</group>
      <groupName>格式问题</groupName>
      <ability>L2_HalfPunc_CN</ability>
      <abilityName>全半角检查</abilityName>
      <candidateList>
        <item>－</item>
      </candidateList>
      <explain>文本全半角错误。</explain>
      <paraID>2559FDBD</paraID>
      <start>16</start>
      <end>17</end>
      <status>unmodified</status>
      <modifiedWord/>
      <trackRevisions>false</trackRevisions>
    </reviewItem>
    <reviewItem>
      <errorID>56ce8efb-eaf8-4bdc-814d-dc5606167172</errorID>
      <errorWord>-</errorWord>
      <group>L1_Format</group>
      <groupName>格式问题</groupName>
      <ability>L2_HalfPunc_CN</ability>
      <abilityName>全半角检查</abilityName>
      <candidateList>
        <item>－</item>
      </candidateList>
      <explain>文本全半角错误。</explain>
      <paraID>5FABB5E3</paraID>
      <start>8</start>
      <end>9</end>
      <status>unmodified</status>
      <modifiedWord/>
      <trackRevisions>false</trackRevisions>
    </reviewItem>
    <reviewItem>
      <errorID>6604a36b-f0b2-4f6c-a3ff-0c59c8a53ed3</errorID>
      <errorWord>-</errorWord>
      <group>L1_Format</group>
      <groupName>格式问题</groupName>
      <ability>L2_HalfPunc_CN</ability>
      <abilityName>全半角检查</abilityName>
      <candidateList>
        <item>－</item>
      </candidateList>
      <explain>文本全半角错误。</explain>
      <paraID>5FABB5E3</paraID>
      <start>16</start>
      <end>17</end>
      <status>unmodified</status>
      <modifiedWord/>
      <trackRevisions>false</trackRevisions>
    </reviewItem>
    <reviewItem>
      <errorID>83414e68-2c65-4c12-aabf-b3d6c0abf342</errorID>
      <errorWord>-</errorWord>
      <group>L1_Format</group>
      <groupName>格式问题</groupName>
      <ability>L2_HalfPunc_CN</ability>
      <abilityName>全半角检查</abilityName>
      <candidateList>
        <item>－</item>
      </candidateList>
      <explain>文本全半角错误。</explain>
      <paraID>747B75AB</paraID>
      <start>8</start>
      <end>9</end>
      <status>unmodified</status>
      <modifiedWord/>
      <trackRevisions>false</trackRevisions>
    </reviewItem>
    <reviewItem>
      <errorID>dac6d8fc-88d0-4b50-886c-e5a4d0d8a4b5</errorID>
      <errorWord>-</errorWord>
      <group>L1_Format</group>
      <groupName>格式问题</groupName>
      <ability>L2_HalfPunc_CN</ability>
      <abilityName>全半角检查</abilityName>
      <candidateList>
        <item>－</item>
      </candidateList>
      <explain>文本全半角错误。</explain>
      <paraID>747B75AB</paraID>
      <start>16</start>
      <end>17</end>
      <status>unmodified</status>
      <modifiedWord/>
      <trackRevisions>false</trackRevisions>
    </reviewItem>
    <reviewItem>
      <errorID>108d8b97-e27b-4dfc-b311-2bcb88fdd626</errorID>
      <errorWord>-</errorWord>
      <group>L1_Format</group>
      <groupName>格式问题</groupName>
      <ability>L2_HalfPunc_CN</ability>
      <abilityName>全半角检查</abilityName>
      <candidateList>
        <item>－</item>
      </candidateList>
      <explain>文本全半角错误。</explain>
      <paraID>6DBC83F2</paraID>
      <start>8</start>
      <end>9</end>
      <status>unmodified</status>
      <modifiedWord/>
      <trackRevisions>false</trackRevisions>
    </reviewItem>
    <reviewItem>
      <errorID>a30e08ed-d270-4933-b90c-5c2e8392849a</errorID>
      <errorWord>-</errorWord>
      <group>L1_Format</group>
      <groupName>格式问题</groupName>
      <ability>L2_HalfPunc_CN</ability>
      <abilityName>全半角检查</abilityName>
      <candidateList>
        <item>－</item>
      </candidateList>
      <explain>文本全半角错误。</explain>
      <paraID>6DBC83F2</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6f88f5-5c27-4dd1-84f3-79d59f992aed}">
  <ds:schemaRefs/>
</ds:datastoreItem>
</file>

<file path=docProps/app.xml><?xml version="1.0" encoding="utf-8"?>
<Properties xmlns="http://schemas.openxmlformats.org/officeDocument/2006/extended-properties" xmlns:vt="http://schemas.openxmlformats.org/officeDocument/2006/docPropsVTypes">
  <Template>Normal.dotm</Template>
  <Pages>35</Pages>
  <Words>4757</Words>
  <Characters>5043</Characters>
  <Lines>114</Lines>
  <Paragraphs>32</Paragraphs>
  <TotalTime>4</TotalTime>
  <ScaleCrop>false</ScaleCrop>
  <LinksUpToDate>false</LinksUpToDate>
  <CharactersWithSpaces>5073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2023-04-11T10:39:00Z</dcterms:created>
  <dc:creator>李保龙</dc:creator>
  <cp:lastModifiedBy>李帅威</cp:lastModifiedBy>
  <cp:lastPrinted>2026-08-27T01:12:00Z</cp:lastPrinted>
  <dcterms:modified xsi:type="dcterms:W3CDTF">2026-08-28T08:41:46Z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06619D68826B4A53AD5FB4BA0AFD4A95_13</vt:lpwstr>
  </property>
  <property fmtid="{D5CDD505-2E9C-101B-9397-08002B2CF9AE}" pid="4" name="KSOTemplateDocerSaveRecord">
    <vt:lpwstr>eyJoZGlkIjoiNDYxZmY1YWMwYWU1ODQzMmRjYmZhZmRiMjZiMWVjMzciLCJ1c2VySWQiOiIxNzY1NTM3NjAwIn0=</vt:lpwstr>
  </property>
</Properties>
</file>