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3"/>
        <w:widowControl/>
        <w:jc w:val="center"/>
        <w:rPr>
          <w:i w:val="0"/>
          <w:iCs/>
          <w:sz w:val="32"/>
          <w:szCs w:val="32"/>
          <w:lang w:val="en-US"/>
        </w:rPr>
      </w:pPr>
      <w:bookmarkStart w:id="0" w:name="_Toc12866"/>
      <w:r>
        <w:rPr>
          <w:rFonts w:hint="eastAsia" w:cs="宋体"/>
          <w:i w:val="0"/>
          <w:iCs/>
          <w:sz w:val="32"/>
          <w:szCs w:val="32"/>
          <w:lang w:val="en-US" w:eastAsia="zh-CN"/>
        </w:rPr>
        <w:t>中国重汽公务用车租赁项目招标公告</w:t>
      </w:r>
      <w:bookmarkEnd w:id="0"/>
    </w:p>
    <w:p w14:paraId="2538CB01">
      <w:pPr>
        <w:pStyle w:val="3"/>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ZBGL2026010004</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3"/>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2026-1-14 </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2026-1-18 </w:t>
            </w:r>
          </w:p>
        </w:tc>
      </w:tr>
    </w:tbl>
    <w:p w14:paraId="40D0D37B">
      <w:pPr>
        <w:rPr>
          <w:rFonts w:hint="eastAsia" w:asciiTheme="majorEastAsia" w:hAnsiTheme="majorEastAsia" w:eastAsiaTheme="majorEastAsia" w:cstheme="majorEastAsia"/>
          <w:b/>
          <w:bCs/>
          <w:sz w:val="24"/>
          <w:szCs w:val="24"/>
        </w:rPr>
      </w:pPr>
    </w:p>
    <w:p w14:paraId="3B47EF5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6E54CA63">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为满足中国重汽集团公务用车实际需要，确保集团公司重大活动用车需求，为营销生产提供更为优质的服务保障，开展本年度公务用车租赁项目的招标工作。</w:t>
      </w:r>
    </w:p>
    <w:p w14:paraId="7A1685D8">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0E642E8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w:t>
      </w:r>
      <w:r>
        <w:rPr>
          <w:rFonts w:hint="eastAsia" w:asciiTheme="majorEastAsia" w:hAnsiTheme="majorEastAsia" w:eastAsiaTheme="majorEastAsia" w:cstheme="majorEastAsia"/>
          <w:sz w:val="24"/>
          <w:szCs w:val="24"/>
          <w:lang w:val="en-US" w:eastAsia="zh-CN"/>
        </w:rPr>
        <w:t>中国重汽公务用车租赁项目</w:t>
      </w:r>
      <w:r>
        <w:rPr>
          <w:rFonts w:hint="eastAsia" w:asciiTheme="majorEastAsia" w:hAnsiTheme="majorEastAsia" w:eastAsiaTheme="majorEastAsia" w:cstheme="majorEastAsia"/>
          <w:sz w:val="24"/>
          <w:szCs w:val="24"/>
        </w:rPr>
        <w:t xml:space="preserve"> </w:t>
      </w:r>
    </w:p>
    <w:p w14:paraId="3B4F423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服务 / 公车业务</w:t>
      </w:r>
    </w:p>
    <w:p w14:paraId="56C59FD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3BC11B3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w:t>
      </w:r>
      <w:r>
        <w:rPr>
          <w:rFonts w:hint="eastAsia" w:asciiTheme="majorEastAsia" w:hAnsiTheme="majorEastAsia" w:eastAsiaTheme="majorEastAsia" w:cstheme="majorEastAsia"/>
          <w:sz w:val="24"/>
          <w:szCs w:val="24"/>
          <w:lang w:val="en-US" w:eastAsia="zh-CN"/>
        </w:rPr>
        <w:t>为满足中国重汽集团公务用车实际需要，确保集团公司重大活动用车需求，为营销生产提供更为优质的服务保障，开展本年度公务用车租赁项目的招标工作。</w:t>
      </w:r>
      <w:r>
        <w:rPr>
          <w:rFonts w:hint="eastAsia" w:asciiTheme="majorEastAsia" w:hAnsiTheme="majorEastAsia" w:eastAsiaTheme="majorEastAsia" w:cstheme="majorEastAsia"/>
          <w:sz w:val="24"/>
          <w:szCs w:val="24"/>
        </w:rPr>
        <w:t xml:space="preserve"> </w:t>
      </w:r>
    </w:p>
    <w:p w14:paraId="0F94CFE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0922F2C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投标人具备法人主体资格和完全民事行为能力，财务及经营状况良好，无失信记录。必须是注册独立法人机构，具有独立承担民事责任能力；公司成立叁年以上且经营范围能够满足招标人的需求，注册资本不少于500万；</w:t>
      </w:r>
    </w:p>
    <w:p w14:paraId="327031A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（2）投标人具备相应的运营资质及道路运输经营许可证，具有《营业执照》相应资质证明；</w:t>
      </w:r>
    </w:p>
    <w:p w14:paraId="47A38B0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（3）投标人应具有相同或类似项目业绩，且过去两年中不曾在任何合同中违约或任何原因而使合同被解除的；</w:t>
      </w:r>
    </w:p>
    <w:p w14:paraId="27D7FC6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4）投标人应提供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w:t>
      </w:r>
    </w:p>
    <w:p w14:paraId="6A8C876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（5）拟投标人在工商行政管理局的《国家企业信用信息公示系统（山东）》等系统中不存在与本标内容相关的不良记录；</w:t>
      </w:r>
    </w:p>
    <w:p w14:paraId="12863E1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（6）拟投标人不存在严重违规或被列入招标人“黑名单”的。</w:t>
      </w:r>
    </w:p>
    <w:p w14:paraId="15BC85D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（7）本项目不接受联合体投标。</w:t>
      </w:r>
    </w:p>
    <w:p w14:paraId="6608038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（8）企业最近半年完税证明、信用证明材料（征信报告）；</w:t>
      </w:r>
    </w:p>
    <w:p w14:paraId="07267F3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（9）年度纳税信用评价信息（可从电子税务局查询截图，需加盖公章）；</w:t>
      </w:r>
    </w:p>
    <w:p w14:paraId="064A106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（10）企业对外担保说明（写明贵单位对外有无对外担保和质押业务，需加盖公章）。</w:t>
      </w:r>
    </w:p>
    <w:p w14:paraId="1E77E59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（11）投标单位自有车辆或能够协调（别克商务、丰田海狮、丰田考斯特、大众帕萨特、迈腾、奥迪A6）总数不得少于50辆。</w:t>
      </w:r>
    </w:p>
    <w:p w14:paraId="3661D780">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463C8DE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01A8CB3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3710A1FE">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2026年1月18日17:00时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ascii="宋体" w:hAnsi="宋体" w:cs="宋体"/>
          <w:kern w:val="0"/>
          <w:sz w:val="24"/>
          <w:lang w:bidi="en-US"/>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2"/>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2359E723">
      <w:pPr>
        <w:pStyle w:val="26"/>
        <w:widowControl/>
        <w:numPr>
          <w:ilvl w:val="2"/>
          <w:numId w:val="1"/>
        </w:numPr>
        <w:adjustRightInd w:val="0"/>
        <w:snapToGrid w:val="0"/>
        <w:spacing w:line="360" w:lineRule="auto"/>
        <w:ind w:left="0" w:firstLine="397" w:firstLineChars="0"/>
        <w:jc w:val="left"/>
        <w:rPr>
          <w:rFonts w:ascii="宋体" w:hAnsi="宋体"/>
          <w:kern w:val="0"/>
          <w:sz w:val="24"/>
          <w:szCs w:val="21"/>
          <w:lang w:bidi="en-US"/>
        </w:rPr>
      </w:pPr>
      <w:r>
        <w:rPr>
          <w:rFonts w:hint="eastAsia" w:ascii="宋体" w:hAnsi="宋体"/>
          <w:kern w:val="0"/>
          <w:sz w:val="24"/>
          <w:szCs w:val="21"/>
          <w:lang w:bidi="en-US"/>
        </w:rPr>
        <w:t>营业执照；</w:t>
      </w:r>
    </w:p>
    <w:p w14:paraId="6E0CE843">
      <w:pPr>
        <w:pStyle w:val="26"/>
        <w:widowControl/>
        <w:numPr>
          <w:ilvl w:val="2"/>
          <w:numId w:val="1"/>
        </w:numPr>
        <w:adjustRightInd w:val="0"/>
        <w:snapToGrid w:val="0"/>
        <w:spacing w:line="360" w:lineRule="auto"/>
        <w:ind w:left="0" w:firstLine="397" w:firstLineChars="0"/>
        <w:jc w:val="left"/>
        <w:rPr>
          <w:rFonts w:ascii="宋体" w:hAnsi="宋体"/>
          <w:kern w:val="0"/>
          <w:sz w:val="24"/>
          <w:szCs w:val="21"/>
          <w:lang w:bidi="en-US"/>
        </w:rPr>
      </w:pPr>
      <w:r>
        <w:rPr>
          <w:rFonts w:hint="eastAsia" w:ascii="宋体" w:hAnsi="宋体"/>
          <w:kern w:val="0"/>
          <w:sz w:val="24"/>
          <w:szCs w:val="21"/>
          <w:lang w:val="en-US" w:eastAsia="zh-CN" w:bidi="en-US"/>
        </w:rPr>
        <w:t>资质证书；</w:t>
      </w:r>
    </w:p>
    <w:p w14:paraId="6C81E8D2">
      <w:pPr>
        <w:pStyle w:val="26"/>
        <w:widowControl/>
        <w:numPr>
          <w:ilvl w:val="2"/>
          <w:numId w:val="1"/>
        </w:numPr>
        <w:adjustRightInd w:val="0"/>
        <w:snapToGrid w:val="0"/>
        <w:spacing w:line="360" w:lineRule="auto"/>
        <w:ind w:left="0" w:firstLine="397" w:firstLineChars="0"/>
        <w:jc w:val="left"/>
        <w:rPr>
          <w:rFonts w:ascii="宋体" w:hAnsi="宋体"/>
          <w:kern w:val="0"/>
          <w:sz w:val="24"/>
          <w:szCs w:val="21"/>
          <w:lang w:bidi="en-US"/>
        </w:rPr>
      </w:pPr>
      <w:r>
        <w:rPr>
          <w:rFonts w:hint="eastAsia" w:ascii="宋体" w:hAnsi="宋体"/>
          <w:kern w:val="0"/>
          <w:sz w:val="24"/>
          <w:szCs w:val="21"/>
          <w:lang w:val="en-US" w:eastAsia="zh-CN" w:bidi="en-US"/>
        </w:rPr>
        <w:t>与本项目</w:t>
      </w:r>
      <w:r>
        <w:rPr>
          <w:rFonts w:hint="eastAsia" w:ascii="宋体" w:hAnsi="宋体"/>
          <w:kern w:val="0"/>
          <w:sz w:val="24"/>
          <w:szCs w:val="21"/>
          <w:lang w:bidi="en-US"/>
        </w:rPr>
        <w:t>相关类似项目业绩</w:t>
      </w:r>
      <w:r>
        <w:rPr>
          <w:rFonts w:hint="eastAsia" w:ascii="宋体" w:hAnsi="宋体"/>
          <w:kern w:val="0"/>
          <w:sz w:val="24"/>
          <w:szCs w:val="21"/>
          <w:lang w:eastAsia="zh-CN" w:bidi="en-US"/>
        </w:rPr>
        <w:t>；</w:t>
      </w:r>
    </w:p>
    <w:p w14:paraId="1EECE114">
      <w:pPr>
        <w:pStyle w:val="26"/>
        <w:widowControl/>
        <w:numPr>
          <w:ilvl w:val="2"/>
          <w:numId w:val="1"/>
        </w:numPr>
        <w:adjustRightInd w:val="0"/>
        <w:snapToGrid w:val="0"/>
        <w:spacing w:line="360" w:lineRule="auto"/>
        <w:ind w:left="0" w:firstLine="397" w:firstLineChars="0"/>
        <w:jc w:val="left"/>
        <w:rPr>
          <w:rFonts w:hint="eastAsia" w:asciiTheme="majorEastAsia" w:hAnsiTheme="majorEastAsia" w:eastAsiaTheme="majorEastAsia" w:cstheme="majorEastAsia"/>
          <w:sz w:val="24"/>
          <w:szCs w:val="24"/>
        </w:rPr>
      </w:pPr>
      <w:r>
        <w:rPr>
          <w:rFonts w:hint="eastAsia" w:ascii="宋体" w:hAnsi="宋体"/>
          <w:kern w:val="0"/>
          <w:sz w:val="24"/>
          <w:szCs w:val="21"/>
          <w:lang w:bidi="en-US"/>
        </w:rPr>
        <w:t>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w:t>
      </w:r>
    </w:p>
    <w:p w14:paraId="7F26E531">
      <w:pPr>
        <w:pStyle w:val="26"/>
        <w:widowControl/>
        <w:numPr>
          <w:ilvl w:val="2"/>
          <w:numId w:val="1"/>
        </w:numPr>
        <w:adjustRightInd w:val="0"/>
        <w:snapToGrid w:val="0"/>
        <w:spacing w:line="360" w:lineRule="auto"/>
        <w:ind w:left="0" w:firstLine="397" w:firstLineChars="0"/>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《国家企业信用信息公示系统（山东）》等系统中不存在与本标内容相关的不良记录</w:t>
      </w:r>
      <w:r>
        <w:rPr>
          <w:rFonts w:hint="eastAsia" w:asciiTheme="majorEastAsia" w:hAnsiTheme="majorEastAsia" w:eastAsiaTheme="majorEastAsia" w:cstheme="majorEastAsia"/>
          <w:sz w:val="24"/>
          <w:szCs w:val="24"/>
          <w:lang w:val="en-US" w:eastAsia="zh-CN"/>
        </w:rPr>
        <w:t>的截图</w:t>
      </w:r>
      <w:r>
        <w:rPr>
          <w:rFonts w:hint="eastAsia" w:asciiTheme="majorEastAsia" w:hAnsiTheme="majorEastAsia" w:eastAsiaTheme="majorEastAsia" w:cstheme="majorEastAsia"/>
          <w:sz w:val="24"/>
          <w:szCs w:val="24"/>
        </w:rPr>
        <w:t>；</w:t>
      </w:r>
    </w:p>
    <w:p w14:paraId="67DE740D">
      <w:pPr>
        <w:pStyle w:val="26"/>
        <w:widowControl/>
        <w:numPr>
          <w:ilvl w:val="2"/>
          <w:numId w:val="1"/>
        </w:numPr>
        <w:adjustRightInd w:val="0"/>
        <w:snapToGrid w:val="0"/>
        <w:spacing w:line="360" w:lineRule="auto"/>
        <w:ind w:left="0" w:firstLine="397" w:firstLineChars="0"/>
        <w:jc w:val="left"/>
        <w:rPr>
          <w:rFonts w:hint="eastAsia" w:asciiTheme="majorEastAsia" w:hAnsiTheme="majorEastAsia" w:eastAsiaTheme="majorEastAsia" w:cstheme="majorEastAsia"/>
          <w:sz w:val="24"/>
          <w:szCs w:val="24"/>
        </w:rPr>
      </w:pPr>
      <w:r>
        <w:rPr>
          <w:rFonts w:hint="eastAsia" w:ascii="宋体" w:hAnsi="宋体"/>
          <w:kern w:val="0"/>
          <w:sz w:val="24"/>
          <w:szCs w:val="21"/>
          <w:lang w:bidi="en-US"/>
        </w:rPr>
        <w:t>企业最近半年完税证明、信用证明材料（中国人民银行企业征信报告）</w:t>
      </w:r>
      <w:r>
        <w:rPr>
          <w:rFonts w:hint="eastAsia" w:ascii="宋体" w:hAnsi="宋体"/>
          <w:kern w:val="0"/>
          <w:sz w:val="24"/>
          <w:szCs w:val="21"/>
          <w:lang w:eastAsia="zh-CN" w:bidi="en-US"/>
        </w:rPr>
        <w:t>；</w:t>
      </w:r>
    </w:p>
    <w:p w14:paraId="6B7FFBF1">
      <w:pPr>
        <w:pStyle w:val="26"/>
        <w:widowControl/>
        <w:numPr>
          <w:ilvl w:val="2"/>
          <w:numId w:val="1"/>
        </w:numPr>
        <w:adjustRightInd w:val="0"/>
        <w:snapToGrid w:val="0"/>
        <w:spacing w:line="360" w:lineRule="auto"/>
        <w:ind w:left="0" w:firstLine="397" w:firstLineChars="0"/>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年度纳税信用评价信息（可从电子税务局查询截图，需加盖公章）；</w:t>
      </w:r>
    </w:p>
    <w:p w14:paraId="1812BA17">
      <w:pPr>
        <w:pStyle w:val="26"/>
        <w:widowControl/>
        <w:numPr>
          <w:ilvl w:val="2"/>
          <w:numId w:val="1"/>
        </w:numPr>
        <w:adjustRightInd w:val="0"/>
        <w:snapToGrid w:val="0"/>
        <w:spacing w:line="360" w:lineRule="auto"/>
        <w:ind w:left="0" w:firstLine="397" w:firstLineChars="0"/>
        <w:jc w:val="left"/>
        <w:rPr>
          <w:rFonts w:hint="eastAsia" w:ascii="宋体" w:hAnsi="宋体" w:cs="宋体"/>
          <w:b/>
          <w:bCs/>
          <w:kern w:val="0"/>
          <w:sz w:val="24"/>
          <w:lang w:bidi="en-US"/>
        </w:rPr>
      </w:pPr>
      <w:r>
        <w:rPr>
          <w:rFonts w:hint="eastAsia" w:asciiTheme="majorEastAsia" w:hAnsiTheme="majorEastAsia" w:eastAsiaTheme="majorEastAsia" w:cstheme="majorEastAsia"/>
          <w:sz w:val="24"/>
          <w:szCs w:val="24"/>
        </w:rPr>
        <w:t>企业对外担保说明（写明贵单位对外有无对外担保和质押业务，需加盖公章）</w:t>
      </w:r>
    </w:p>
    <w:p w14:paraId="1DA149C0">
      <w:pPr>
        <w:pStyle w:val="26"/>
        <w:widowControl/>
        <w:numPr>
          <w:ilvl w:val="2"/>
          <w:numId w:val="1"/>
        </w:numPr>
        <w:adjustRightInd w:val="0"/>
        <w:snapToGrid w:val="0"/>
        <w:spacing w:line="360" w:lineRule="auto"/>
        <w:ind w:left="0" w:firstLine="397" w:firstLineChars="0"/>
        <w:jc w:val="left"/>
        <w:rPr>
          <w:rFonts w:hint="eastAsia" w:ascii="宋体" w:hAnsi="宋体" w:cs="宋体"/>
          <w:b/>
          <w:bCs/>
          <w:kern w:val="0"/>
          <w:sz w:val="24"/>
          <w:lang w:bidi="en-US"/>
        </w:rPr>
      </w:pPr>
      <w:r>
        <w:rPr>
          <w:rFonts w:hint="eastAsia" w:asciiTheme="majorEastAsia" w:hAnsiTheme="majorEastAsia" w:eastAsiaTheme="majorEastAsia" w:cstheme="majorEastAsia"/>
          <w:sz w:val="24"/>
          <w:szCs w:val="24"/>
        </w:rPr>
        <w:t>投标单位自有车辆或能够协调（别克商务、丰田海狮、丰田考斯特、大众帕萨特、迈腾、奥迪A6）总数不得少于50辆</w:t>
      </w:r>
      <w:r>
        <w:rPr>
          <w:rFonts w:hint="eastAsia" w:asciiTheme="majorEastAsia" w:hAnsiTheme="majorEastAsia" w:eastAsiaTheme="majorEastAsia" w:cstheme="majorEastAsia"/>
          <w:sz w:val="24"/>
          <w:szCs w:val="24"/>
          <w:lang w:val="en-US" w:eastAsia="zh-CN"/>
        </w:rPr>
        <w:t>的相关证明材料。</w:t>
      </w:r>
    </w:p>
    <w:p w14:paraId="5985089D">
      <w:pPr>
        <w:pStyle w:val="26"/>
        <w:widowControl/>
        <w:numPr>
          <w:ilvl w:val="2"/>
          <w:numId w:val="1"/>
        </w:numPr>
        <w:adjustRightInd w:val="0"/>
        <w:snapToGrid w:val="0"/>
        <w:spacing w:line="360" w:lineRule="auto"/>
        <w:ind w:left="0" w:firstLine="397" w:firstLineChars="0"/>
        <w:jc w:val="left"/>
        <w:rPr>
          <w:rFonts w:hint="eastAsia" w:ascii="宋体" w:hAnsi="宋体" w:cs="宋体"/>
          <w:b/>
          <w:bCs/>
          <w:kern w:val="0"/>
          <w:sz w:val="24"/>
          <w:lang w:bidi="en-US"/>
        </w:rPr>
      </w:pPr>
      <w:r>
        <w:rPr>
          <w:rFonts w:hint="eastAsia" w:ascii="宋体" w:hAnsi="宋体"/>
          <w:kern w:val="0"/>
          <w:sz w:val="24"/>
          <w:szCs w:val="21"/>
          <w:lang w:bidi="en-US"/>
        </w:rPr>
        <w:t>公司简单介绍（包括但不限于公司规模和实力、办公地点、济南有无办事机构、企业荣誉及认证等，尽量简洁），附公司内部办公环境照片</w:t>
      </w:r>
      <w:r>
        <w:rPr>
          <w:rFonts w:hint="eastAsia" w:ascii="宋体" w:hAnsi="宋体"/>
          <w:kern w:val="0"/>
          <w:sz w:val="24"/>
          <w:szCs w:val="21"/>
          <w:lang w:eastAsia="zh-CN" w:bidi="en-US"/>
        </w:rPr>
        <w:t>。</w:t>
      </w:r>
    </w:p>
    <w:p w14:paraId="66D3EAC6">
      <w:pPr>
        <w:pStyle w:val="26"/>
        <w:widowControl/>
        <w:numPr>
          <w:ilvl w:val="2"/>
          <w:numId w:val="1"/>
        </w:numPr>
        <w:adjustRightInd w:val="0"/>
        <w:snapToGrid w:val="0"/>
        <w:spacing w:line="360" w:lineRule="auto"/>
        <w:ind w:left="0" w:firstLine="397" w:firstLineChars="0"/>
        <w:jc w:val="left"/>
        <w:rPr>
          <w:rFonts w:hint="eastAsia" w:ascii="宋体" w:hAnsi="宋体" w:cs="宋体"/>
          <w:b/>
          <w:bCs/>
          <w:kern w:val="0"/>
          <w:sz w:val="24"/>
          <w:lang w:bidi="en-US"/>
        </w:rPr>
      </w:pPr>
      <w:r>
        <w:rPr>
          <w:rFonts w:hint="eastAsia" w:ascii="宋体" w:hAnsi="宋体"/>
          <w:kern w:val="0"/>
          <w:sz w:val="24"/>
          <w:szCs w:val="21"/>
          <w:lang w:bidi="en-US"/>
        </w:rPr>
        <w:t>唯一的法人授权委托书</w:t>
      </w:r>
    </w:p>
    <w:p w14:paraId="6EF81E17">
      <w:pPr>
        <w:pStyle w:val="26"/>
        <w:widowControl/>
        <w:numPr>
          <w:ilvl w:val="2"/>
          <w:numId w:val="1"/>
        </w:numPr>
        <w:adjustRightInd w:val="0"/>
        <w:snapToGrid w:val="0"/>
        <w:spacing w:line="360" w:lineRule="auto"/>
        <w:ind w:left="0" w:firstLine="397" w:firstLineChars="0"/>
        <w:jc w:val="left"/>
        <w:rPr>
          <w:rFonts w:hint="eastAsia" w:ascii="宋体" w:hAnsi="宋体" w:cs="宋体"/>
          <w:b/>
          <w:bCs/>
          <w:kern w:val="0"/>
          <w:sz w:val="24"/>
          <w:lang w:bidi="en-US"/>
        </w:rPr>
      </w:pPr>
      <w:r>
        <w:rPr>
          <w:rFonts w:hint="eastAsia" w:ascii="宋体" w:hAnsi="宋体"/>
          <w:bCs/>
          <w:kern w:val="0"/>
          <w:sz w:val="24"/>
          <w:szCs w:val="21"/>
          <w:lang w:bidi="en-US"/>
        </w:rPr>
        <w:t>联系</w:t>
      </w:r>
      <w:r>
        <w:rPr>
          <w:rFonts w:hint="eastAsia" w:ascii="宋体" w:hAnsi="宋体"/>
          <w:kern w:val="0"/>
          <w:sz w:val="24"/>
          <w:szCs w:val="21"/>
          <w:lang w:bidi="en-US"/>
        </w:rPr>
        <w:t>人、联系方式、电子邮箱。</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7A00C32E">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1677482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1BF7EE7E">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2026年1月26日 9 时 </w:t>
      </w:r>
    </w:p>
    <w:p w14:paraId="1D0C1D3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sz w:val="24"/>
          <w:szCs w:val="24"/>
        </w:rPr>
        <w:t xml:space="preserve">山东省济南市历城区华奥路777号重汽科技大厦 </w:t>
      </w:r>
    </w:p>
    <w:p w14:paraId="77F2C3AC">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42BE8D2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bookmarkStart w:id="2" w:name="_GoBack"/>
      <w:bookmarkEnd w:id="2"/>
      <w:r>
        <w:rPr>
          <w:rFonts w:hint="eastAsia" w:asciiTheme="majorEastAsia" w:hAnsiTheme="majorEastAsia" w:eastAsiaTheme="majorEastAsia" w:cstheme="majorEastAsia"/>
          <w:b/>
          <w:bCs/>
          <w:sz w:val="24"/>
          <w:szCs w:val="24"/>
          <w:lang w:val="en-US" w:eastAsia="zh-CN"/>
        </w:rPr>
        <w:t>2026年1月26日 9 时</w:t>
      </w:r>
      <w:r>
        <w:rPr>
          <w:rFonts w:hint="eastAsia" w:asciiTheme="majorEastAsia" w:hAnsiTheme="majorEastAsia" w:eastAsiaTheme="majorEastAsia" w:cstheme="majorEastAsia"/>
          <w:sz w:val="24"/>
          <w:szCs w:val="24"/>
        </w:rPr>
        <w:t xml:space="preserve"> </w:t>
      </w:r>
    </w:p>
    <w:p w14:paraId="59D58E4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rPr>
        <w:t xml:space="preserve">山东省济南市历城区华奥路777号重汽科技大厦 </w:t>
      </w:r>
    </w:p>
    <w:p w14:paraId="263E755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737E60EC">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353AB26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30D1D38F">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13AB6E4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名称：中国重汽集团济南动力有限公司 </w:t>
      </w:r>
    </w:p>
    <w:p w14:paraId="04D7726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2426AF4E">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50184336">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6986140B">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7F352A2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5CBCB798">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46950E4A">
      <w:pPr>
        <w:pStyle w:val="2"/>
        <w:rPr>
          <w:rFonts w:hint="eastAsia"/>
        </w:rPr>
      </w:pPr>
    </w:p>
    <w:p w14:paraId="6CFC776E">
      <w:pPr>
        <w:ind w:firstLine="480"/>
        <w:rPr>
          <w:rFonts w:hint="eastAsia" w:asciiTheme="majorEastAsia" w:hAnsiTheme="majorEastAsia" w:eastAsiaTheme="majorEastAsia" w:cstheme="majorEastAsia"/>
          <w:sz w:val="24"/>
          <w:szCs w:val="24"/>
        </w:rPr>
      </w:pPr>
    </w:p>
    <w:p w14:paraId="3BB268CE">
      <w:pPr>
        <w:ind w:firstLine="480"/>
        <w:rPr>
          <w:rFonts w:hint="eastAsia" w:asciiTheme="majorEastAsia" w:hAnsiTheme="majorEastAsia" w:eastAsiaTheme="majorEastAsia" w:cstheme="majorEastAsia"/>
          <w:sz w:val="24"/>
          <w:szCs w:val="24"/>
        </w:rPr>
      </w:pPr>
    </w:p>
    <w:p w14:paraId="233C8080">
      <w:pPr>
        <w:ind w:firstLine="480"/>
        <w:rPr>
          <w:rFonts w:hint="eastAsia" w:asciiTheme="majorEastAsia" w:hAnsiTheme="majorEastAsia" w:eastAsiaTheme="majorEastAsia" w:cstheme="majorEastAsia"/>
          <w:sz w:val="24"/>
          <w:szCs w:val="24"/>
        </w:rPr>
      </w:pPr>
    </w:p>
    <w:p w14:paraId="1431A22C">
      <w:pPr>
        <w:ind w:firstLine="480"/>
        <w:rPr>
          <w:rFonts w:hint="eastAsia" w:asciiTheme="majorEastAsia" w:hAnsiTheme="majorEastAsia" w:eastAsiaTheme="majorEastAsia" w:cstheme="majorEastAsia"/>
          <w:sz w:val="24"/>
          <w:szCs w:val="24"/>
        </w:rPr>
      </w:pPr>
    </w:p>
    <w:p w14:paraId="167DB504">
      <w:pPr>
        <w:ind w:firstLine="480"/>
        <w:rPr>
          <w:rFonts w:hint="eastAsia" w:asciiTheme="majorEastAsia" w:hAnsiTheme="majorEastAsia" w:eastAsiaTheme="majorEastAsia" w:cstheme="majorEastAsia"/>
          <w:sz w:val="24"/>
          <w:szCs w:val="24"/>
        </w:rPr>
      </w:pPr>
    </w:p>
    <w:p w14:paraId="369D886B">
      <w:pPr>
        <w:ind w:firstLine="480"/>
        <w:rPr>
          <w:rFonts w:hint="eastAsia" w:asciiTheme="majorEastAsia" w:hAnsiTheme="majorEastAsia" w:eastAsiaTheme="majorEastAsia" w:cstheme="majorEastAsia"/>
          <w:sz w:val="24"/>
          <w:szCs w:val="24"/>
        </w:rPr>
      </w:pPr>
    </w:p>
    <w:p w14:paraId="70239CEE">
      <w:pPr>
        <w:ind w:firstLine="480"/>
        <w:rPr>
          <w:rFonts w:hint="eastAsia" w:asciiTheme="majorEastAsia" w:hAnsiTheme="majorEastAsia" w:eastAsiaTheme="majorEastAsia" w:cstheme="majorEastAsia"/>
          <w:sz w:val="24"/>
          <w:szCs w:val="24"/>
        </w:rPr>
      </w:pPr>
    </w:p>
    <w:p w14:paraId="4AB6CD88">
      <w:pPr>
        <w:ind w:firstLine="480"/>
        <w:rPr>
          <w:rFonts w:hint="eastAsia" w:asciiTheme="majorEastAsia" w:hAnsiTheme="majorEastAsia" w:eastAsiaTheme="majorEastAsia" w:cstheme="majorEastAsia"/>
          <w:sz w:val="24"/>
          <w:szCs w:val="24"/>
        </w:rPr>
      </w:pPr>
    </w:p>
    <w:p w14:paraId="139FF02C">
      <w:pPr>
        <w:ind w:firstLine="480"/>
        <w:rPr>
          <w:rFonts w:hint="eastAsia" w:asciiTheme="majorEastAsia" w:hAnsiTheme="majorEastAsia" w:eastAsiaTheme="majorEastAsia" w:cstheme="majorEastAsia"/>
          <w:sz w:val="24"/>
          <w:szCs w:val="24"/>
        </w:rPr>
      </w:pPr>
    </w:p>
    <w:p w14:paraId="686E2AD7">
      <w:pPr>
        <w:ind w:firstLine="480"/>
        <w:rPr>
          <w:rFonts w:hint="eastAsia" w:asciiTheme="majorEastAsia" w:hAnsiTheme="majorEastAsia" w:eastAsiaTheme="majorEastAsia" w:cstheme="majorEastAsia"/>
          <w:sz w:val="24"/>
          <w:szCs w:val="24"/>
        </w:rPr>
      </w:pPr>
    </w:p>
    <w:p w14:paraId="13C6245B">
      <w:pPr>
        <w:ind w:firstLine="480"/>
        <w:rPr>
          <w:rFonts w:hint="eastAsia" w:asciiTheme="majorEastAsia" w:hAnsiTheme="majorEastAsia" w:eastAsiaTheme="majorEastAsia" w:cstheme="majorEastAsia"/>
          <w:sz w:val="24"/>
          <w:szCs w:val="24"/>
        </w:rPr>
      </w:pPr>
    </w:p>
    <w:p w14:paraId="0602F87A">
      <w:pPr>
        <w:ind w:firstLine="480"/>
        <w:rPr>
          <w:rFonts w:hint="eastAsia" w:asciiTheme="majorEastAsia" w:hAnsiTheme="majorEastAsia" w:eastAsiaTheme="majorEastAsia" w:cstheme="majorEastAsia"/>
          <w:sz w:val="24"/>
          <w:szCs w:val="24"/>
        </w:rPr>
      </w:pPr>
    </w:p>
    <w:p w14:paraId="5E350EDD">
      <w:pPr>
        <w:ind w:firstLine="480"/>
        <w:rPr>
          <w:rFonts w:hint="eastAsia" w:asciiTheme="majorEastAsia" w:hAnsiTheme="majorEastAsia" w:eastAsiaTheme="majorEastAsia" w:cstheme="majorEastAsia"/>
          <w:sz w:val="24"/>
          <w:szCs w:val="24"/>
        </w:rPr>
      </w:pPr>
    </w:p>
    <w:p w14:paraId="653807F5">
      <w:pPr>
        <w:ind w:firstLine="480"/>
        <w:rPr>
          <w:rFonts w:hint="eastAsia" w:asciiTheme="majorEastAsia" w:hAnsiTheme="majorEastAsia" w:eastAsiaTheme="majorEastAsia" w:cstheme="majorEastAsia"/>
          <w:sz w:val="24"/>
          <w:szCs w:val="24"/>
        </w:rPr>
      </w:pPr>
    </w:p>
    <w:p w14:paraId="6E8F62EE">
      <w:pPr>
        <w:ind w:firstLine="480"/>
        <w:rPr>
          <w:rFonts w:hint="eastAsia" w:asciiTheme="majorEastAsia" w:hAnsiTheme="majorEastAsia" w:eastAsiaTheme="majorEastAsia" w:cstheme="majorEastAsia"/>
          <w:sz w:val="24"/>
          <w:szCs w:val="24"/>
        </w:rPr>
      </w:pPr>
    </w:p>
    <w:p w14:paraId="2784BD04">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9"/>
        <w:rPr>
          <w:rFonts w:hint="eastAsia" w:hAnsi="宋体"/>
          <w:szCs w:val="21"/>
          <w:highlight w:val="none"/>
        </w:rPr>
      </w:pPr>
      <w:r>
        <w:rPr>
          <w:rFonts w:hint="eastAsia" w:hAnsi="宋体"/>
          <w:szCs w:val="21"/>
          <w:highlight w:val="none"/>
        </w:rPr>
        <w:t>日期：  年   月   日</w:t>
      </w:r>
    </w:p>
    <w:p w14:paraId="614D5D11">
      <w:pPr>
        <w:pStyle w:val="9"/>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中国重汽集团济南动力有限公司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328"/>
                <wp:lineTo x="21426" y="21328"/>
                <wp:lineTo x="21426"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348"/>
                <wp:lineTo x="21494" y="21348"/>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348"/>
                <wp:lineTo x="21494" y="21348"/>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9"/>
        <w:jc w:val="center"/>
        <w:rPr>
          <w:rFonts w:hAnsi="宋体"/>
          <w:b/>
          <w:sz w:val="24"/>
          <w:szCs w:val="24"/>
          <w:highlight w:val="none"/>
        </w:rPr>
      </w:pPr>
    </w:p>
    <w:p w14:paraId="415BED03">
      <w:pPr>
        <w:pStyle w:val="9"/>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328"/>
                <wp:lineTo x="21426" y="21328"/>
                <wp:lineTo x="21426"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2"/>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ZBGL2026010004</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中国重汽公务用车租赁项目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rPr>
        <w:t>直管单位非生产招标 / 服务 / 公车业务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1"/>
        </w:rPr>
        <w:t>http</w:t>
      </w:r>
      <w:r>
        <w:rPr>
          <w:rStyle w:val="21"/>
          <w:rFonts w:hint="eastAsia"/>
        </w:rPr>
        <w:t>s</w:t>
      </w:r>
      <w:r>
        <w:rPr>
          <w:rStyle w:val="21"/>
        </w:rPr>
        <w:t>://ecaitong.sinotruk.com:8012/#/login</w:t>
      </w:r>
      <w:r>
        <w:rPr>
          <w:rStyle w:val="21"/>
        </w:rPr>
        <w:fldChar w:fldCharType="end"/>
      </w:r>
    </w:p>
    <w:p w14:paraId="563022AE">
      <w:pPr>
        <w:numPr>
          <w:ilvl w:val="0"/>
          <w:numId w:val="2"/>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4"/>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3"/>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8"/>
        <w:ind w:firstLine="420"/>
      </w:pPr>
      <w:r>
        <w:t>3</w:t>
      </w:r>
      <w:r>
        <w:rPr>
          <w:rFonts w:hint="eastAsia"/>
        </w:rPr>
        <w:t>）页面规则</w:t>
      </w:r>
    </w:p>
    <w:p w14:paraId="1D44299D">
      <w:pPr>
        <w:pStyle w:val="28"/>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4"/>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8"/>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8"/>
        <w:ind w:firstLine="420"/>
      </w:pPr>
      <w:r>
        <w:rPr>
          <w:rFonts w:hint="eastAsia"/>
        </w:rPr>
        <w:t>3）页面规则</w:t>
      </w:r>
    </w:p>
    <w:p w14:paraId="39858A03">
      <w:pPr>
        <w:pStyle w:val="28"/>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4"/>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4"/>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4"/>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4"/>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5"/>
        <w:widowControl/>
        <w:numPr>
          <w:ilvl w:val="0"/>
          <w:numId w:val="4"/>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5"/>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5"/>
        <w:widowControl/>
        <w:tabs>
          <w:tab w:val="left" w:pos="312"/>
        </w:tabs>
        <w:spacing w:line="360" w:lineRule="auto"/>
        <w:ind w:firstLine="0"/>
        <w:jc w:val="left"/>
        <w:rPr>
          <w:rFonts w:ascii="宋体" w:cs="宋体"/>
        </w:rPr>
      </w:pPr>
    </w:p>
    <w:p w14:paraId="2DD224D8">
      <w:pPr>
        <w:pStyle w:val="4"/>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5"/>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9"/>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9"/>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1"/>
          <w:rFonts w:hint="eastAsia" w:ascii="宋体" w:hAnsi="宋体" w:eastAsia="宋体" w:cs="宋体"/>
          <w:sz w:val="24"/>
          <w:szCs w:val="24"/>
          <w:highlight w:val="none"/>
        </w:rPr>
        <w:fldChar w:fldCharType="begin"/>
      </w:r>
      <w:r>
        <w:rPr>
          <w:rStyle w:val="21"/>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1"/>
          <w:rFonts w:hint="eastAsia" w:ascii="宋体" w:hAnsi="宋体" w:eastAsia="宋体" w:cs="宋体"/>
          <w:sz w:val="24"/>
          <w:szCs w:val="24"/>
          <w:highlight w:val="none"/>
        </w:rPr>
        <w:fldChar w:fldCharType="separate"/>
      </w:r>
      <w:r>
        <w:rPr>
          <w:rStyle w:val="21"/>
          <w:rFonts w:hint="eastAsia" w:ascii="宋体" w:hAnsi="宋体" w:eastAsia="宋体" w:cs="宋体"/>
          <w:sz w:val="24"/>
          <w:szCs w:val="24"/>
          <w:highlight w:val="none"/>
        </w:rPr>
        <w:t>http</w:t>
      </w:r>
      <w:r>
        <w:rPr>
          <w:rStyle w:val="21"/>
          <w:rFonts w:hint="eastAsia" w:ascii="宋体" w:hAnsi="宋体" w:cs="宋体"/>
          <w:sz w:val="24"/>
          <w:szCs w:val="24"/>
          <w:highlight w:val="none"/>
          <w:lang w:val="en-US" w:eastAsia="zh-CN"/>
        </w:rPr>
        <w:t>s</w:t>
      </w:r>
      <w:r>
        <w:rPr>
          <w:rStyle w:val="21"/>
          <w:rFonts w:hint="eastAsia" w:ascii="宋体" w:hAnsi="宋体" w:eastAsia="宋体" w:cs="宋体"/>
          <w:sz w:val="24"/>
          <w:szCs w:val="24"/>
          <w:highlight w:val="none"/>
        </w:rPr>
        <w:t>://ecaitong.sinotruk.com:8012/</w:t>
      </w:r>
      <w:r>
        <w:rPr>
          <w:rStyle w:val="21"/>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6"/>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2"/>
        <w:rPr>
          <w:rFonts w:hint="eastAsia"/>
        </w:rPr>
      </w:pPr>
    </w:p>
    <w:p w14:paraId="7EFA4C3D">
      <w:pPr>
        <w:rPr>
          <w:rFonts w:hint="eastAsia"/>
        </w:rPr>
      </w:pPr>
    </w:p>
    <w:p w14:paraId="061D9007">
      <w:pPr>
        <w:pStyle w:val="2"/>
        <w:rPr>
          <w:rFonts w:hint="eastAsia"/>
        </w:rPr>
      </w:pPr>
    </w:p>
    <w:p w14:paraId="5B5F13DD">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2"/>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10"/>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10"/>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10"/>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10"/>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10"/>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10"/>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1">
    <w:nsid w:val="374C2951"/>
    <w:multiLevelType w:val="multilevel"/>
    <w:tmpl w:val="374C2951"/>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decimal"/>
      <w:suff w:val="nothing"/>
      <w:lvlText w:val="（%3）"/>
      <w:lvlJc w:val="left"/>
      <w:pPr>
        <w:ind w:left="1260" w:hanging="420"/>
      </w:pPr>
      <w:rPr>
        <w:rFonts w:hint="eastAsia"/>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3">
    <w:nsid w:val="7446C7A1"/>
    <w:multiLevelType w:val="singleLevel"/>
    <w:tmpl w:val="7446C7A1"/>
    <w:lvl w:ilvl="0" w:tentative="0">
      <w:start w:val="1"/>
      <w:numFmt w:val="decimal"/>
      <w:lvlText w:val="%1."/>
      <w:lvlJc w:val="left"/>
      <w:pPr>
        <w:tabs>
          <w:tab w:val="left" w:pos="312"/>
        </w:tabs>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8BF5A03"/>
    <w:rsid w:val="44907102"/>
    <w:rsid w:val="4837410C"/>
    <w:rsid w:val="48EF075C"/>
    <w:rsid w:val="5F3A7914"/>
    <w:rsid w:val="69E17BC6"/>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qFormat/>
    <w:uiPriority w:val="9"/>
    <w:pPr>
      <w:keepNext/>
      <w:spacing w:before="240" w:after="60"/>
      <w:outlineLvl w:val="1"/>
    </w:pPr>
    <w:rPr>
      <w:rFonts w:ascii="Cambria" w:hAnsi="Cambria"/>
      <w:b/>
      <w:bCs/>
      <w:i/>
      <w:iCs/>
      <w:sz w:val="28"/>
      <w:szCs w:val="28"/>
    </w:rPr>
  </w:style>
  <w:style w:type="paragraph" w:styleId="4">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5">
    <w:name w:val="Normal Indent"/>
    <w:basedOn w:val="1"/>
    <w:qFormat/>
    <w:uiPriority w:val="0"/>
    <w:pPr>
      <w:ind w:firstLine="420"/>
    </w:pPr>
    <w:rPr>
      <w:sz w:val="14"/>
    </w:rPr>
  </w:style>
  <w:style w:type="paragraph" w:styleId="6">
    <w:name w:val="Body Text"/>
    <w:basedOn w:val="1"/>
    <w:next w:val="7"/>
    <w:qFormat/>
    <w:uiPriority w:val="0"/>
    <w:pPr>
      <w:spacing w:after="120"/>
    </w:pPr>
    <w:rPr>
      <w:kern w:val="0"/>
      <w:szCs w:val="21"/>
    </w:rPr>
  </w:style>
  <w:style w:type="paragraph" w:customStyle="1" w:styleId="7">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8">
    <w:name w:val="index 4"/>
    <w:basedOn w:val="1"/>
    <w:next w:val="1"/>
    <w:unhideWhenUsed/>
    <w:qFormat/>
    <w:uiPriority w:val="0"/>
    <w:pPr>
      <w:ind w:left="600" w:leftChars="600"/>
    </w:pPr>
  </w:style>
  <w:style w:type="paragraph" w:styleId="9">
    <w:name w:val="Plain Text"/>
    <w:basedOn w:val="1"/>
    <w:qFormat/>
    <w:uiPriority w:val="0"/>
    <w:rPr>
      <w:rFonts w:ascii="宋体"/>
      <w:szCs w:val="20"/>
    </w:rPr>
  </w:style>
  <w:style w:type="paragraph" w:styleId="10">
    <w:name w:val="footer"/>
    <w:basedOn w:val="1"/>
    <w:unhideWhenUsed/>
    <w:qFormat/>
    <w:uiPriority w:val="99"/>
    <w:pPr>
      <w:tabs>
        <w:tab w:val="center" w:pos="4153"/>
        <w:tab w:val="right" w:pos="8306"/>
      </w:tabs>
      <w:snapToGrid w:val="0"/>
      <w:jc w:val="left"/>
    </w:pPr>
    <w:rPr>
      <w:sz w:val="18"/>
      <w:szCs w:val="18"/>
    </w:rPr>
  </w:style>
  <w:style w:type="paragraph" w:styleId="11">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5">
    <w:name w:val="Strong"/>
    <w:basedOn w:val="14"/>
    <w:qFormat/>
    <w:uiPriority w:val="0"/>
    <w:rPr>
      <w:b/>
    </w:rPr>
  </w:style>
  <w:style w:type="character" w:styleId="16">
    <w:name w:val="FollowedHyperlink"/>
    <w:basedOn w:val="14"/>
    <w:qFormat/>
    <w:uiPriority w:val="0"/>
    <w:rPr>
      <w:color w:val="800080"/>
      <w:u w:val="none"/>
    </w:rPr>
  </w:style>
  <w:style w:type="character" w:styleId="17">
    <w:name w:val="HTML Definition"/>
    <w:basedOn w:val="14"/>
    <w:qFormat/>
    <w:uiPriority w:val="0"/>
  </w:style>
  <w:style w:type="character" w:styleId="18">
    <w:name w:val="HTML Typewriter"/>
    <w:basedOn w:val="14"/>
    <w:qFormat/>
    <w:uiPriority w:val="0"/>
    <w:rPr>
      <w:rFonts w:hint="default" w:ascii="monospace" w:hAnsi="monospace" w:eastAsia="monospace" w:cs="monospace"/>
      <w:sz w:val="20"/>
    </w:rPr>
  </w:style>
  <w:style w:type="character" w:styleId="19">
    <w:name w:val="HTML Acronym"/>
    <w:basedOn w:val="14"/>
    <w:qFormat/>
    <w:uiPriority w:val="0"/>
  </w:style>
  <w:style w:type="character" w:styleId="20">
    <w:name w:val="HTML Variable"/>
    <w:basedOn w:val="14"/>
    <w:qFormat/>
    <w:uiPriority w:val="0"/>
  </w:style>
  <w:style w:type="character" w:styleId="21">
    <w:name w:val="Hyperlink"/>
    <w:basedOn w:val="14"/>
    <w:qFormat/>
    <w:uiPriority w:val="0"/>
    <w:rPr>
      <w:color w:val="0000FF"/>
      <w:u w:val="none"/>
    </w:rPr>
  </w:style>
  <w:style w:type="character" w:styleId="22">
    <w:name w:val="HTML Code"/>
    <w:basedOn w:val="14"/>
    <w:qFormat/>
    <w:uiPriority w:val="0"/>
    <w:rPr>
      <w:rFonts w:hint="default" w:ascii="monospace" w:hAnsi="monospace" w:eastAsia="monospace" w:cs="monospace"/>
      <w:sz w:val="20"/>
    </w:rPr>
  </w:style>
  <w:style w:type="character" w:styleId="23">
    <w:name w:val="HTML Cite"/>
    <w:basedOn w:val="14"/>
    <w:qFormat/>
    <w:uiPriority w:val="0"/>
  </w:style>
  <w:style w:type="character" w:styleId="24">
    <w:name w:val="HTML Keyboard"/>
    <w:basedOn w:val="14"/>
    <w:qFormat/>
    <w:uiPriority w:val="0"/>
    <w:rPr>
      <w:rFonts w:ascii="monospace" w:hAnsi="monospace" w:eastAsia="monospace" w:cs="monospace"/>
      <w:sz w:val="20"/>
    </w:rPr>
  </w:style>
  <w:style w:type="character" w:styleId="25">
    <w:name w:val="HTML Sample"/>
    <w:basedOn w:val="14"/>
    <w:qFormat/>
    <w:uiPriority w:val="0"/>
    <w:rPr>
      <w:rFonts w:hint="default" w:ascii="monospace" w:hAnsi="monospace" w:eastAsia="monospace" w:cs="monospace"/>
    </w:rPr>
  </w:style>
  <w:style w:type="paragraph" w:styleId="26">
    <w:name w:val="List Paragraph"/>
    <w:basedOn w:val="1"/>
    <w:qFormat/>
    <w:uiPriority w:val="34"/>
    <w:pPr>
      <w:ind w:firstLine="420" w:firstLineChars="200"/>
    </w:pPr>
  </w:style>
  <w:style w:type="character" w:customStyle="1" w:styleId="27">
    <w:name w:val="NormalCharacter"/>
    <w:qFormat/>
    <w:uiPriority w:val="0"/>
  </w:style>
  <w:style w:type="paragraph" w:customStyle="1" w:styleId="28">
    <w:name w:val="列表段落1"/>
    <w:basedOn w:val="1"/>
    <w:qFormat/>
    <w:uiPriority w:val="0"/>
    <w:pPr>
      <w:ind w:firstLine="200" w:firstLineChars="200"/>
    </w:pPr>
    <w:rPr>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5177</Words>
  <Characters>5428</Characters>
  <Lines>0</Lines>
  <Paragraphs>0</Paragraphs>
  <TotalTime>31</TotalTime>
  <ScaleCrop>false</ScaleCrop>
  <LinksUpToDate>false</LinksUpToDate>
  <CharactersWithSpaces>5795</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许世金</cp:lastModifiedBy>
  <dcterms:modified xsi:type="dcterms:W3CDTF">2026-01-14T06:28:28Z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36BA767B9B1647D78DB7367FAC05A487_13</vt:lpwstr>
  </property>
</Properties>
</file>