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07CDE389">
      <w:pPr>
        <w:ind w:right="280"/>
        <w:jc w:val="both"/>
        <w:rPr>
          <w:rFonts w:ascii="楷体_GB2312" w:hAnsi="宋体" w:eastAsia="楷体_GB2312"/>
          <w:sz w:val="52"/>
          <w:szCs w:val="52"/>
        </w:rPr>
      </w:pPr>
    </w:p>
    <w:p w14:paraId="009EA4D6">
      <w:pPr>
        <w:ind w:right="280"/>
        <w:jc w:val="center"/>
        <w:rPr>
          <w:rFonts w:ascii="楷体_GB2312" w:hAnsi="宋体" w:eastAsia="楷体_GB2312"/>
          <w:sz w:val="52"/>
          <w:szCs w:val="52"/>
          <w:highlight w:val="cyan"/>
        </w:rPr>
      </w:pPr>
      <w:r>
        <w:rPr>
          <w:rFonts w:hint="eastAsia" w:ascii="楷体_GB2312" w:hAnsi="宋体" w:eastAsia="楷体_GB2312"/>
          <w:sz w:val="52"/>
          <w:szCs w:val="52"/>
          <w:highlight w:val="none"/>
          <w:lang w:val="en-US" w:eastAsia="zh-CN"/>
        </w:rPr>
        <w:t>中国重汽集团2025年办公室宣传纪念品招标采购</w:t>
      </w:r>
      <w:r>
        <w:rPr>
          <w:rFonts w:hint="eastAsia" w:ascii="楷体_GB2312" w:hAnsi="宋体" w:eastAsia="楷体_GB2312"/>
          <w:sz w:val="52"/>
          <w:szCs w:val="52"/>
          <w:highlight w:val="none"/>
        </w:rPr>
        <w:t>项目</w:t>
      </w:r>
    </w:p>
    <w:p w14:paraId="612663B5">
      <w:pPr>
        <w:ind w:right="280"/>
        <w:jc w:val="center"/>
        <w:rPr>
          <w:sz w:val="28"/>
          <w:szCs w:val="28"/>
        </w:rPr>
      </w:pP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ascii="宋体" w:hAnsi="宋体" w:cs="宋体"/>
          <w:b/>
          <w:bCs/>
          <w:kern w:val="0"/>
          <w:sz w:val="32"/>
          <w:szCs w:val="32"/>
          <w:highlight w:val="none"/>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none"/>
          <w:u w:val="single"/>
        </w:rPr>
        <w:t>FSCZB2025110246</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人：中国重汽集团</w:t>
      </w:r>
      <w:r>
        <w:rPr>
          <w:rFonts w:hint="eastAsia" w:ascii="宋体" w:hAnsi="宋体"/>
          <w:sz w:val="28"/>
          <w:szCs w:val="28"/>
          <w:highlight w:val="none"/>
          <w:u w:val="none"/>
          <w:lang w:val="en-US" w:eastAsia="zh-CN"/>
        </w:rPr>
        <w:t>济南动力</w:t>
      </w:r>
      <w:r>
        <w:rPr>
          <w:rFonts w:hint="eastAsia" w:ascii="宋体" w:hAnsi="宋体"/>
          <w:sz w:val="28"/>
          <w:szCs w:val="28"/>
        </w:rPr>
        <w:t>有限公司</w:t>
      </w:r>
    </w:p>
    <w:p w14:paraId="0D8A0D9A">
      <w:pPr>
        <w:jc w:val="center"/>
        <w:rPr>
          <w:rFonts w:ascii="宋体" w:hAnsi="宋体"/>
          <w:sz w:val="28"/>
          <w:szCs w:val="28"/>
        </w:rPr>
      </w:pPr>
    </w:p>
    <w:p w14:paraId="09CB3C92">
      <w:pPr>
        <w:jc w:val="center"/>
        <w:rPr>
          <w:rFonts w:ascii="宋体" w:hAnsi="宋体"/>
          <w:b/>
          <w:bCs/>
          <w:sz w:val="48"/>
          <w:szCs w:val="48"/>
        </w:rPr>
      </w:pPr>
      <w:r>
        <w:rPr>
          <w:rFonts w:hint="eastAsia" w:ascii="宋体" w:hAnsi="宋体"/>
          <w:sz w:val="28"/>
          <w:szCs w:val="28"/>
          <w:u w:val="single"/>
        </w:rPr>
        <w:t>20</w:t>
      </w:r>
      <w:r>
        <w:rPr>
          <w:rFonts w:hint="eastAsia" w:ascii="宋体" w:hAnsi="宋体"/>
          <w:sz w:val="28"/>
          <w:szCs w:val="28"/>
          <w:u w:val="single"/>
          <w:lang w:val="en-US" w:eastAsia="zh-CN"/>
        </w:rPr>
        <w:t>25</w:t>
      </w:r>
      <w:r>
        <w:rPr>
          <w:rFonts w:hint="eastAsia" w:ascii="宋体" w:hAnsi="宋体"/>
          <w:sz w:val="28"/>
          <w:szCs w:val="28"/>
          <w:u w:val="single"/>
        </w:rPr>
        <w:t>年</w:t>
      </w:r>
      <w:r>
        <w:rPr>
          <w:rFonts w:hint="eastAsia" w:ascii="宋体" w:hAnsi="宋体"/>
          <w:sz w:val="28"/>
          <w:szCs w:val="28"/>
          <w:highlight w:val="none"/>
          <w:u w:val="single"/>
          <w:lang w:val="en-US" w:eastAsia="zh-CN"/>
        </w:rPr>
        <w:t>11</w:t>
      </w:r>
      <w:r>
        <w:rPr>
          <w:rFonts w:hint="eastAsia" w:ascii="宋体" w:hAnsi="宋体"/>
          <w:sz w:val="28"/>
          <w:szCs w:val="28"/>
          <w:u w:val="single"/>
        </w:rPr>
        <w:t>月</w:t>
      </w:r>
    </w:p>
    <w:p w14:paraId="3DA7AEB9">
      <w:pPr>
        <w:spacing w:line="480" w:lineRule="auto"/>
        <w:jc w:val="center"/>
        <w:rPr>
          <w:rFonts w:ascii="宋体" w:hAnsi="宋体"/>
          <w:b/>
          <w:bCs/>
          <w:sz w:val="48"/>
          <w:szCs w:val="48"/>
        </w:rPr>
        <w:sectPr>
          <w:footerReference r:id="rId5" w:type="first"/>
          <w:footerReference r:id="rId3" w:type="default"/>
          <w:footerReference r:id="rId4"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showingPlcHdr/>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6617A57C">
          <w:pPr>
            <w:pStyle w:val="20"/>
          </w:pPr>
          <w:r>
            <w:rPr>
              <w:rFonts w:hint="eastAsia" w:ascii="Times New Roman" w:hAnsi="Times New Roman" w:cs="Times New Roman"/>
              <w:color w:val="auto"/>
              <w:kern w:val="2"/>
              <w:sz w:val="21"/>
              <w:szCs w:val="20"/>
              <w:lang w:val="zh-CN"/>
            </w:rPr>
            <w:t xml:space="preserve">     </w:t>
          </w:r>
        </w:p>
      </w:sdtContent>
    </w:sdt>
    <w:p w14:paraId="582BF911">
      <w:pPr>
        <w:pStyle w:val="14"/>
        <w:tabs>
          <w:tab w:val="left" w:pos="2940"/>
        </w:tabs>
        <w:spacing w:line="360" w:lineRule="auto"/>
      </w:pPr>
      <w:r>
        <w:tab/>
      </w:r>
    </w:p>
    <w:p w14:paraId="29FEE1FC">
      <w:pPr>
        <w:pStyle w:val="14"/>
        <w:spacing w:line="360" w:lineRule="auto"/>
        <w:jc w:val="center"/>
      </w:pPr>
    </w:p>
    <w:p w14:paraId="11D11810">
      <w:pPr>
        <w:pStyle w:val="14"/>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0230EEDA">
      <w:pPr>
        <w:pStyle w:val="71"/>
      </w:pPr>
      <w:bookmarkStart w:id="0" w:name="_Toc7104"/>
      <w:bookmarkStart w:id="1" w:name="_Toc47976587"/>
      <w:r>
        <w:rPr>
          <w:rFonts w:hint="eastAsia"/>
        </w:rPr>
        <w:t>招标公告</w:t>
      </w:r>
      <w:bookmarkEnd w:id="0"/>
      <w:bookmarkEnd w:id="1"/>
    </w:p>
    <w:p w14:paraId="5953C7BF">
      <w:pPr>
        <w:pStyle w:val="71"/>
        <w:rPr>
          <w:rFonts w:hint="eastAsia"/>
          <w:sz w:val="28"/>
        </w:rPr>
      </w:pPr>
      <w:bookmarkStart w:id="2" w:name="_Toc32474"/>
      <w:r>
        <w:rPr>
          <w:rFonts w:hint="eastAsia"/>
          <w:sz w:val="28"/>
          <w:highlight w:val="none"/>
          <w:u w:val="single"/>
          <w:lang w:val="en-US" w:eastAsia="zh-CN"/>
        </w:rPr>
        <w:t>中国重汽集团2025年办公室宣传纪念品招标采购项目</w:t>
      </w:r>
      <w:r>
        <w:rPr>
          <w:rFonts w:hint="eastAsia"/>
          <w:sz w:val="28"/>
        </w:rPr>
        <w:t>招标公告</w:t>
      </w:r>
      <w:bookmarkEnd w:id="2"/>
    </w:p>
    <w:p w14:paraId="3B867C39">
      <w:pPr>
        <w:pStyle w:val="71"/>
        <w:rPr>
          <w:rFonts w:hint="eastAsia"/>
        </w:rPr>
      </w:pPr>
    </w:p>
    <w:p w14:paraId="2A47C58A">
      <w:pPr>
        <w:pStyle w:val="72"/>
      </w:pPr>
      <w:bookmarkStart w:id="3" w:name="_Toc47976588"/>
      <w:r>
        <w:rPr>
          <w:rFonts w:hint="eastAsia"/>
        </w:rPr>
        <w:t>项目名称及项目编号</w:t>
      </w:r>
      <w:bookmarkEnd w:id="3"/>
    </w:p>
    <w:p w14:paraId="1E71F649">
      <w:pPr>
        <w:pStyle w:val="73"/>
        <w:rPr>
          <w:highlight w:val="none"/>
        </w:rPr>
      </w:pPr>
      <w:r>
        <w:rPr>
          <w:rFonts w:hint="eastAsia"/>
          <w:highlight w:val="none"/>
        </w:rPr>
        <w:t>项目名称：</w:t>
      </w:r>
      <w:r>
        <w:rPr>
          <w:rFonts w:hint="eastAsia"/>
          <w:highlight w:val="none"/>
          <w:lang w:val="en-US" w:eastAsia="zh-CN"/>
        </w:rPr>
        <w:t>中国重汽集团2025年办公室宣传纪念品招标采购项目</w:t>
      </w:r>
    </w:p>
    <w:p w14:paraId="15020D03">
      <w:pPr>
        <w:pStyle w:val="73"/>
        <w:rPr>
          <w:highlight w:val="none"/>
        </w:rPr>
      </w:pPr>
      <w:r>
        <w:rPr>
          <w:rFonts w:hint="eastAsia"/>
          <w:highlight w:val="none"/>
        </w:rPr>
        <w:t>项目编号：</w:t>
      </w:r>
      <w:r>
        <w:rPr>
          <w:rFonts w:hint="eastAsia"/>
          <w:highlight w:val="none"/>
          <w:lang w:val="en-US" w:eastAsia="zh-CN"/>
        </w:rPr>
        <w:t>FSCZB2025110246</w:t>
      </w:r>
    </w:p>
    <w:p w14:paraId="0AB9F24D">
      <w:pPr>
        <w:pStyle w:val="72"/>
      </w:pPr>
      <w:bookmarkStart w:id="4" w:name="_Toc47976589"/>
      <w:r>
        <w:rPr>
          <w:rFonts w:hint="eastAsia"/>
          <w:lang w:val="en-US" w:eastAsia="zh-CN"/>
        </w:rPr>
        <w:t>项目概况</w:t>
      </w:r>
      <w:r>
        <w:rPr>
          <w:rFonts w:hint="eastAsia"/>
        </w:rPr>
        <w:t>及招标形式</w:t>
      </w:r>
      <w:bookmarkEnd w:id="4"/>
    </w:p>
    <w:p w14:paraId="1A912F05">
      <w:pPr>
        <w:pStyle w:val="73"/>
        <w:numPr>
          <w:ilvl w:val="0"/>
          <w:numId w:val="9"/>
        </w:numPr>
      </w:pPr>
      <w:r>
        <w:rPr>
          <w:rFonts w:hint="eastAsia"/>
        </w:rPr>
        <w:t>招标内容：</w:t>
      </w:r>
    </w:p>
    <w:p w14:paraId="02C6AD9E">
      <w:pPr>
        <w:pStyle w:val="14"/>
        <w:spacing w:line="360" w:lineRule="auto"/>
        <w:ind w:firstLine="632" w:firstLineChars="300"/>
        <w:rPr>
          <w:rFonts w:hint="eastAsia" w:hAnsi="宋体" w:eastAsia="宋体" w:cs="Times New Roman"/>
          <w:b/>
          <w:bCs/>
          <w:kern w:val="0"/>
          <w:szCs w:val="21"/>
          <w:lang w:val="en-US" w:eastAsia="zh-CN"/>
        </w:rPr>
      </w:pPr>
      <w:r>
        <w:rPr>
          <w:rFonts w:hint="eastAsia" w:hAnsi="宋体"/>
          <w:b/>
          <w:bCs/>
          <w:kern w:val="0"/>
          <w:szCs w:val="21"/>
        </w:rPr>
        <w:t xml:space="preserve">A包 </w:t>
      </w:r>
      <w:r>
        <w:rPr>
          <w:rFonts w:hint="eastAsia" w:hAnsi="宋体"/>
          <w:b/>
          <w:bCs/>
          <w:kern w:val="0"/>
          <w:szCs w:val="21"/>
          <w:lang w:val="en-US" w:eastAsia="zh-CN"/>
        </w:rPr>
        <w:t xml:space="preserve"> </w:t>
      </w:r>
      <w:r>
        <w:rPr>
          <w:rFonts w:hint="eastAsia" w:hAnsi="宋体" w:eastAsia="宋体" w:cs="Times New Roman"/>
          <w:b/>
          <w:bCs/>
          <w:kern w:val="0"/>
          <w:szCs w:val="21"/>
          <w:lang w:val="en-US" w:eastAsia="zh-CN"/>
        </w:rPr>
        <w:t>Viken耳夹式蓝牙耳机</w:t>
      </w:r>
    </w:p>
    <w:p w14:paraId="48AF570A">
      <w:pPr>
        <w:pStyle w:val="14"/>
        <w:spacing w:line="360" w:lineRule="auto"/>
        <w:ind w:left="630"/>
        <w:rPr>
          <w:rFonts w:hint="eastAsia" w:hAnsi="宋体"/>
          <w:kern w:val="0"/>
          <w:szCs w:val="21"/>
          <w:lang w:val="en-US" w:eastAsia="zh-CN"/>
        </w:rPr>
      </w:pPr>
      <w:r>
        <w:rPr>
          <w:rFonts w:hint="eastAsia" w:hAnsi="宋体"/>
          <w:kern w:val="0"/>
          <w:szCs w:val="21"/>
          <w:lang w:val="en-US" w:eastAsia="zh-CN"/>
        </w:rPr>
        <w:t>型号：i113，Hi-Res Audio音质认证</w:t>
      </w:r>
      <w:r>
        <w:rPr>
          <w:rFonts w:hint="eastAsia" w:ascii="微软雅黑" w:hAnsi="微软雅黑" w:eastAsia="微软雅黑" w:cs="微软雅黑"/>
          <w:i w:val="0"/>
          <w:iCs w:val="0"/>
          <w:caps w:val="0"/>
          <w:color w:val="1A1A1A"/>
          <w:spacing w:val="0"/>
          <w:sz w:val="14"/>
          <w:szCs w:val="14"/>
          <w:shd w:val="clear" w:color="auto" w:fill="FFFFFF"/>
          <w:lang w:val="en-US" w:eastAsia="zh-CN"/>
        </w:rPr>
        <w:t>，</w:t>
      </w:r>
      <w:r>
        <w:rPr>
          <w:rFonts w:hint="eastAsia" w:hAnsi="宋体"/>
          <w:kern w:val="0"/>
          <w:szCs w:val="21"/>
          <w:lang w:val="en-US" w:eastAsia="zh-CN"/>
        </w:rPr>
        <w:t>礼盒装包装形式，维W-47主机机型，</w:t>
      </w:r>
    </w:p>
    <w:p w14:paraId="006A0B3B">
      <w:pPr>
        <w:pStyle w:val="14"/>
        <w:spacing w:line="360" w:lineRule="auto"/>
        <w:ind w:left="630"/>
        <w:rPr>
          <w:rFonts w:hint="default" w:hAnsi="宋体" w:eastAsia="宋体"/>
          <w:b/>
          <w:bCs/>
          <w:kern w:val="0"/>
          <w:szCs w:val="21"/>
          <w:lang w:val="en-US" w:eastAsia="zh-CN"/>
        </w:rPr>
      </w:pPr>
      <w:r>
        <w:rPr>
          <w:rFonts w:hint="eastAsia" w:hAnsi="宋体"/>
          <w:kern w:val="0"/>
          <w:szCs w:val="21"/>
          <w:lang w:val="en-US" w:eastAsia="zh-CN"/>
        </w:rPr>
        <w:t>IPX5防水等级，支持打印重汽logo，</w:t>
      </w:r>
      <w:r>
        <w:rPr>
          <w:rFonts w:hint="eastAsia" w:hAnsi="宋体"/>
          <w:kern w:val="0"/>
          <w:szCs w:val="21"/>
        </w:rPr>
        <w:t>支持：手机、平板电脑、笔记本等无线设备</w:t>
      </w:r>
      <w:r>
        <w:rPr>
          <w:rFonts w:hint="eastAsia" w:hAnsi="宋体"/>
          <w:kern w:val="0"/>
          <w:szCs w:val="21"/>
          <w:lang w:val="en-US" w:eastAsia="zh-CN"/>
        </w:rPr>
        <w:t>。</w:t>
      </w:r>
    </w:p>
    <w:p w14:paraId="6668219F">
      <w:pPr>
        <w:pStyle w:val="14"/>
        <w:spacing w:line="360" w:lineRule="auto"/>
        <w:ind w:left="632"/>
        <w:rPr>
          <w:rFonts w:hint="eastAsia" w:hAnsi="宋体" w:eastAsia="宋体"/>
          <w:b/>
          <w:bCs/>
          <w:kern w:val="0"/>
          <w:szCs w:val="21"/>
          <w:lang w:val="en-US" w:eastAsia="zh-CN"/>
        </w:rPr>
      </w:pPr>
      <w:r>
        <w:rPr>
          <w:rFonts w:hint="eastAsia" w:hAnsi="宋体"/>
          <w:b/>
          <w:bCs/>
          <w:kern w:val="0"/>
          <w:szCs w:val="21"/>
        </w:rPr>
        <w:t xml:space="preserve">B包 </w:t>
      </w:r>
      <w:r>
        <w:rPr>
          <w:rFonts w:hint="eastAsia" w:hAnsi="宋体"/>
          <w:b/>
          <w:bCs/>
          <w:kern w:val="0"/>
          <w:szCs w:val="21"/>
          <w:lang w:val="en-US" w:eastAsia="zh-CN"/>
        </w:rPr>
        <w:t xml:space="preserve"> </w:t>
      </w:r>
      <w:r>
        <w:rPr>
          <w:rFonts w:hint="eastAsia" w:hAnsi="宋体" w:eastAsia="宋体" w:cs="Times New Roman"/>
          <w:b/>
          <w:bCs/>
          <w:kern w:val="0"/>
          <w:szCs w:val="21"/>
          <w:lang w:val="en-US" w:eastAsia="zh-CN"/>
        </w:rPr>
        <w:t>PARKER钢笔XL威雅钢杆金夹墨水商务礼盒</w:t>
      </w:r>
    </w:p>
    <w:p w14:paraId="0ABF153D">
      <w:pPr>
        <w:ind w:left="0" w:leftChars="0" w:firstLine="638" w:firstLineChars="304"/>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笔身纹理：光面，笔尖材质：不锈钢，材质：铜质笔杆，PVD镀金笔夹，ABS笔基</w:t>
      </w:r>
    </w:p>
    <w:p w14:paraId="6517BE88">
      <w:pPr>
        <w:ind w:left="0" w:leftChars="0" w:firstLine="638" w:firstLineChars="304"/>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上墨方式：活塞上墨，墨囊，标配礼盒，支持刻印</w:t>
      </w:r>
      <w:r>
        <w:rPr>
          <w:rFonts w:hint="eastAsia" w:hAnsi="宋体"/>
          <w:kern w:val="0"/>
          <w:szCs w:val="21"/>
          <w:lang w:val="en-US" w:eastAsia="zh-CN"/>
        </w:rPr>
        <w:t>重</w:t>
      </w:r>
      <w:r>
        <w:rPr>
          <w:rFonts w:hint="eastAsia" w:ascii="宋体" w:hAnsi="宋体" w:eastAsia="宋体" w:cs="Times New Roman"/>
          <w:kern w:val="0"/>
          <w:sz w:val="21"/>
          <w:szCs w:val="21"/>
          <w:lang w:val="en-US" w:eastAsia="zh-CN" w:bidi="ar-SA"/>
        </w:rPr>
        <w:t>汽logo。</w:t>
      </w:r>
    </w:p>
    <w:p w14:paraId="7A0EE704">
      <w:pPr>
        <w:pStyle w:val="14"/>
        <w:spacing w:line="360" w:lineRule="auto"/>
        <w:ind w:firstLine="632" w:firstLineChars="300"/>
        <w:rPr>
          <w:rFonts w:hint="default" w:hAnsi="宋体" w:eastAsia="宋体"/>
          <w:b/>
          <w:bCs/>
          <w:kern w:val="0"/>
          <w:szCs w:val="21"/>
          <w:lang w:val="en-US" w:eastAsia="zh-CN"/>
        </w:rPr>
      </w:pPr>
      <w:r>
        <w:rPr>
          <w:rFonts w:hint="eastAsia" w:hAnsi="宋体"/>
          <w:b/>
          <w:bCs/>
          <w:kern w:val="0"/>
          <w:szCs w:val="21"/>
        </w:rPr>
        <w:t>C包</w:t>
      </w:r>
      <w:r>
        <w:rPr>
          <w:rFonts w:hint="eastAsia" w:hAnsi="宋体"/>
          <w:b/>
          <w:bCs/>
          <w:kern w:val="0"/>
          <w:szCs w:val="21"/>
          <w:lang w:val="en-US" w:eastAsia="zh-CN"/>
        </w:rPr>
        <w:t xml:space="preserve"> </w:t>
      </w:r>
      <w:r>
        <w:rPr>
          <w:rFonts w:hint="eastAsia" w:hAnsi="宋体"/>
          <w:b/>
          <w:bCs/>
          <w:kern w:val="0"/>
          <w:szCs w:val="21"/>
        </w:rPr>
        <w:t xml:space="preserve"> </w:t>
      </w:r>
      <w:r>
        <w:rPr>
          <w:rFonts w:hint="eastAsia" w:hAnsi="宋体" w:eastAsia="宋体" w:cs="Times New Roman"/>
          <w:b/>
          <w:bCs/>
          <w:kern w:val="0"/>
          <w:szCs w:val="21"/>
          <w:lang w:val="en-US" w:eastAsia="zh-CN"/>
        </w:rPr>
        <w:t>倍思三合一充电宝</w:t>
      </w:r>
    </w:p>
    <w:p w14:paraId="0D1A6CFD">
      <w:pPr>
        <w:pStyle w:val="14"/>
        <w:spacing w:line="360" w:lineRule="auto"/>
        <w:ind w:left="630" w:leftChars="300" w:firstLine="0" w:firstLineChars="0"/>
        <w:rPr>
          <w:rFonts w:hint="eastAsia" w:hAnsi="宋体"/>
          <w:kern w:val="0"/>
          <w:szCs w:val="21"/>
          <w:lang w:val="en-US" w:eastAsia="zh-CN"/>
        </w:rPr>
      </w:pPr>
      <w:r>
        <w:rPr>
          <w:rFonts w:hint="eastAsia" w:hAnsi="宋体"/>
          <w:kern w:val="0"/>
          <w:szCs w:val="21"/>
        </w:rPr>
        <w:t xml:space="preserve">CN-倍思 Nomos NT11 </w:t>
      </w:r>
      <w:r>
        <w:rPr>
          <w:rFonts w:hint="eastAsia" w:ascii="宋体" w:hAnsi="宋体" w:eastAsia="宋体" w:cs="Times New Roman"/>
          <w:kern w:val="0"/>
          <w:sz w:val="21"/>
          <w:szCs w:val="21"/>
          <w:lang w:val="en-US" w:eastAsia="zh-CN" w:bidi="ar-SA"/>
        </w:rPr>
        <w:t>自带线，可上飞机，带插头</w:t>
      </w:r>
      <w:r>
        <w:rPr>
          <w:rFonts w:hint="eastAsia" w:hAnsi="宋体"/>
          <w:kern w:val="0"/>
          <w:szCs w:val="21"/>
        </w:rPr>
        <w:t>超能充数显移动电源 10000mAh 67W</w:t>
      </w:r>
      <w:r>
        <w:rPr>
          <w:rFonts w:hint="eastAsia" w:hAnsi="宋体"/>
          <w:kern w:val="0"/>
          <w:szCs w:val="21"/>
          <w:lang w:eastAsia="zh-CN"/>
        </w:rPr>
        <w:t>，</w:t>
      </w:r>
      <w:r>
        <w:rPr>
          <w:rFonts w:hint="eastAsia" w:hAnsi="宋体"/>
          <w:kern w:val="0"/>
          <w:szCs w:val="21"/>
        </w:rPr>
        <w:t>3C认证</w:t>
      </w:r>
      <w:r>
        <w:rPr>
          <w:rFonts w:hint="eastAsia" w:hAnsi="宋体"/>
          <w:kern w:val="0"/>
          <w:szCs w:val="21"/>
          <w:lang w:eastAsia="zh-CN"/>
        </w:rPr>
        <w:t>，</w:t>
      </w:r>
      <w:r>
        <w:rPr>
          <w:rFonts w:hint="eastAsia" w:hAnsi="宋体"/>
          <w:kern w:val="0"/>
          <w:szCs w:val="21"/>
          <w:lang w:val="en-US" w:eastAsia="zh-CN"/>
        </w:rPr>
        <w:t>可以充笔记本电脑，礼盒装包装形式，支持打印重汽logo。</w:t>
      </w:r>
    </w:p>
    <w:p w14:paraId="0975A1AB">
      <w:pPr>
        <w:pStyle w:val="14"/>
        <w:spacing w:line="360" w:lineRule="auto"/>
        <w:ind w:left="630" w:leftChars="300" w:firstLine="0" w:firstLineChars="0"/>
        <w:rPr>
          <w:rFonts w:hint="eastAsia" w:hAnsi="宋体" w:eastAsia="宋体" w:cs="Times New Roman"/>
          <w:b/>
          <w:bCs/>
          <w:kern w:val="0"/>
          <w:szCs w:val="21"/>
          <w:lang w:val="en-US" w:eastAsia="zh-CN"/>
        </w:rPr>
      </w:pPr>
      <w:r>
        <w:rPr>
          <w:rFonts w:hint="eastAsia" w:hAnsi="宋体"/>
          <w:b/>
          <w:bCs/>
          <w:kern w:val="0"/>
          <w:szCs w:val="21"/>
        </w:rPr>
        <w:t xml:space="preserve">D包 </w:t>
      </w:r>
      <w:r>
        <w:rPr>
          <w:rFonts w:hint="eastAsia" w:hAnsi="宋体"/>
          <w:b/>
          <w:bCs/>
          <w:kern w:val="0"/>
          <w:szCs w:val="21"/>
          <w:lang w:val="en-US" w:eastAsia="zh-CN"/>
        </w:rPr>
        <w:t xml:space="preserve"> </w:t>
      </w:r>
      <w:r>
        <w:rPr>
          <w:rFonts w:hint="eastAsia" w:hAnsi="宋体" w:eastAsia="宋体" w:cs="Times New Roman"/>
          <w:b/>
          <w:bCs/>
          <w:kern w:val="0"/>
          <w:szCs w:val="21"/>
          <w:lang w:val="en-US" w:eastAsia="zh-CN"/>
        </w:rPr>
        <w:t xml:space="preserve">黑陶手绘看盘 </w:t>
      </w:r>
    </w:p>
    <w:p w14:paraId="2C79E22E">
      <w:pPr>
        <w:pStyle w:val="14"/>
        <w:spacing w:line="360" w:lineRule="auto"/>
        <w:ind w:firstLine="630" w:firstLineChars="300"/>
        <w:rPr>
          <w:rFonts w:hint="eastAsia" w:hAnsi="宋体"/>
          <w:kern w:val="0"/>
          <w:szCs w:val="21"/>
        </w:rPr>
      </w:pPr>
      <w:r>
        <w:rPr>
          <w:rFonts w:hint="eastAsia" w:hAnsi="宋体"/>
          <w:kern w:val="0"/>
          <w:szCs w:val="21"/>
        </w:rPr>
        <w:t>材质：黑陶</w:t>
      </w:r>
      <w:r>
        <w:rPr>
          <w:rFonts w:hint="eastAsia" w:hAnsi="宋体"/>
          <w:kern w:val="0"/>
          <w:szCs w:val="21"/>
          <w:lang w:eastAsia="zh-CN"/>
        </w:rPr>
        <w:t>，</w:t>
      </w:r>
      <w:r>
        <w:rPr>
          <w:rFonts w:hint="eastAsia" w:hAnsi="宋体"/>
          <w:kern w:val="0"/>
          <w:szCs w:val="21"/>
          <w:lang w:val="en-US" w:eastAsia="zh-CN"/>
        </w:rPr>
        <w:t>看盘内容：提现济南地区特色，</w:t>
      </w:r>
      <w:r>
        <w:rPr>
          <w:rFonts w:hint="eastAsia" w:hAnsi="宋体"/>
          <w:kern w:val="0"/>
          <w:szCs w:val="21"/>
        </w:rPr>
        <w:t>看盘直径：27.5cm</w:t>
      </w:r>
      <w:r>
        <w:rPr>
          <w:rFonts w:hint="eastAsia" w:hAnsi="宋体"/>
          <w:kern w:val="0"/>
          <w:szCs w:val="21"/>
          <w:lang w:eastAsia="zh-CN"/>
        </w:rPr>
        <w:t>，</w:t>
      </w:r>
      <w:r>
        <w:rPr>
          <w:rFonts w:hint="eastAsia" w:hAnsi="宋体"/>
          <w:kern w:val="0"/>
          <w:szCs w:val="21"/>
        </w:rPr>
        <w:t>包装盒：31*30.6*6.6cm</w:t>
      </w:r>
    </w:p>
    <w:p w14:paraId="4A0D8536">
      <w:pPr>
        <w:pStyle w:val="14"/>
        <w:spacing w:line="360" w:lineRule="auto"/>
        <w:ind w:firstLine="630" w:firstLineChars="300"/>
        <w:rPr>
          <w:rFonts w:hint="eastAsia" w:hAnsi="宋体"/>
          <w:kern w:val="0"/>
          <w:szCs w:val="21"/>
        </w:rPr>
      </w:pPr>
      <w:r>
        <w:rPr>
          <w:rFonts w:hint="eastAsia" w:hAnsi="宋体"/>
          <w:kern w:val="0"/>
          <w:szCs w:val="21"/>
          <w:lang w:val="en-US" w:eastAsia="zh-CN"/>
        </w:rPr>
        <w:t>礼盒装包装形式，支持打印重汽logo。</w:t>
      </w:r>
      <w:r>
        <w:rPr>
          <w:rFonts w:hint="eastAsia" w:hAnsi="宋体"/>
          <w:kern w:val="0"/>
          <w:szCs w:val="21"/>
        </w:rPr>
        <w:t xml:space="preserve">    </w:t>
      </w:r>
    </w:p>
    <w:p w14:paraId="5AA83314">
      <w:pPr>
        <w:pStyle w:val="14"/>
        <w:spacing w:line="360" w:lineRule="auto"/>
        <w:ind w:firstLine="422" w:firstLineChars="200"/>
      </w:pPr>
      <w:r>
        <w:rPr>
          <w:rFonts w:hint="eastAsia" w:hAnsi="宋体"/>
          <w:b/>
          <w:bCs/>
          <w:color w:val="FF0000"/>
          <w:kern w:val="0"/>
          <w:szCs w:val="21"/>
        </w:rPr>
        <w:t>本项目分为A、B、C、D四个包进行招标，</w:t>
      </w:r>
      <w:r>
        <w:rPr>
          <w:rFonts w:hint="eastAsia" w:hAnsi="宋体"/>
          <w:b/>
          <w:bCs/>
          <w:color w:val="FF0000"/>
          <w:kern w:val="0"/>
          <w:szCs w:val="21"/>
          <w:highlight w:val="none"/>
        </w:rPr>
        <w:t>采购数量按照实际需求确定</w:t>
      </w:r>
      <w:r>
        <w:rPr>
          <w:rFonts w:hint="eastAsia" w:hAnsi="宋体"/>
          <w:b/>
          <w:bCs/>
          <w:color w:val="FF0000"/>
          <w:kern w:val="0"/>
          <w:szCs w:val="21"/>
        </w:rPr>
        <w:t>，每家供应商可选择投标1-4个包，且每个包仅有一家供应商中标。</w:t>
      </w:r>
    </w:p>
    <w:p w14:paraId="4EC58B63">
      <w:pPr>
        <w:pStyle w:val="73"/>
      </w:pPr>
      <w:r>
        <w:rPr>
          <w:rFonts w:hint="eastAsia"/>
        </w:rPr>
        <w:t>招标形式</w:t>
      </w:r>
      <w:r>
        <w:rPr>
          <w:rFonts w:hint="eastAsia"/>
          <w:highlight w:val="none"/>
        </w:rPr>
        <w:t>：</w:t>
      </w:r>
      <w:r>
        <w:rPr>
          <w:rFonts w:hint="eastAsia"/>
          <w:highlight w:val="none"/>
          <w:lang w:val="en-US" w:eastAsia="zh-CN"/>
        </w:rPr>
        <w:t>公开招标</w:t>
      </w:r>
    </w:p>
    <w:p w14:paraId="0B813421">
      <w:pPr>
        <w:pStyle w:val="72"/>
        <w:rPr>
          <w:highlight w:val="none"/>
        </w:rPr>
      </w:pPr>
      <w:bookmarkStart w:id="5" w:name="_Toc47976590"/>
      <w:r>
        <w:rPr>
          <w:rFonts w:hint="eastAsia"/>
          <w:highlight w:val="none"/>
        </w:rPr>
        <w:t>投标人资格要求</w:t>
      </w:r>
      <w:bookmarkEnd w:id="5"/>
    </w:p>
    <w:p w14:paraId="41703A27">
      <w:pPr>
        <w:pStyle w:val="73"/>
        <w:numPr>
          <w:ilvl w:val="0"/>
          <w:numId w:val="10"/>
        </w:numPr>
        <w:bidi w:val="0"/>
        <w:rPr>
          <w:rFonts w:hint="eastAsia"/>
          <w:highlight w:val="none"/>
          <w:lang w:val="en-US" w:eastAsia="zh-CN"/>
        </w:rPr>
      </w:pPr>
      <w:r>
        <w:rPr>
          <w:rFonts w:hint="eastAsia"/>
          <w:highlight w:val="none"/>
          <w:lang w:val="en-US" w:eastAsia="zh-CN"/>
        </w:rPr>
        <w:t>投标人条件</w:t>
      </w:r>
    </w:p>
    <w:p w14:paraId="3EF55599">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投标人须遵守《中华人民共和国招标投标法》、《中华人民共和国民法典》及其它有关的法律和法规；为中华人民共和国境内注册的独立法人机构，具有独立承担民事责任能力。公司成立三年以上（以营业执照成立日期到开标当日满三年为准）；公司需为一般纳税人资格，经营范围满足招标项目需求；投标人须提供具有统一社会信用代码的三证合一的营业执照副本原件及复印件（加盖公章）。</w:t>
      </w:r>
    </w:p>
    <w:p w14:paraId="3273580D">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1.2投标人须提供法人授权委托书原件（在投标文件副本中可用复印件）及投标单位的法定代表人或授权代表的身份证原件及复印件（加盖公章），法人到场的，出具法定代表人资格证明文件。</w:t>
      </w:r>
    </w:p>
    <w:p w14:paraId="67A9413C">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1.3具有健全的财务会计制度，财务状况和市场行为良好，投标人三年内无违法及重大违规情况。没有处于被有权机关吊销营业执照、吊销资质、停业整顿、取消投标资格以及财产被接管、冻结或进入破产程序等。</w:t>
      </w:r>
    </w:p>
    <w:p w14:paraId="2D345E07">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1.4投标人没有被列入招标人处《黑名单》（《黑名单》指投标人与招标人在以往或正在进行的合作中，存在招标人认为的违反合同约定或违反法律法规等的失信行为）的证明原件。</w:t>
      </w:r>
    </w:p>
    <w:p w14:paraId="0AB98262">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1.5投标人资格：注册资本300万及以上。</w:t>
      </w:r>
    </w:p>
    <w:p w14:paraId="50FE364B">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1.6投标人近三年的公司财务报表（资产负债表、损益表、现金流量表）未显示异常的证明原件。</w:t>
      </w:r>
    </w:p>
    <w:p w14:paraId="0B40F06B">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1.7投标人须对纪念品进行投标报价、提供样品、样品包装。</w:t>
      </w:r>
    </w:p>
    <w:p w14:paraId="04A59BD3">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1.8投标人一旦参与投标，无论是否中标、是否签署合同，对获得的招标人商业信息（包括但不限于文字、图形、logo、商标、技术、图纸等所有信息资料）均不会用于本次投标项目以外事项，否则自愿承担一切责任。</w:t>
      </w:r>
    </w:p>
    <w:p w14:paraId="30D36D0A">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1.9中标的投标人严禁弃标，弃标单位将进入中国重汽集团《违约单位名录》,禁止其参加中国重汽集团系统内所有单位招标。</w:t>
      </w:r>
    </w:p>
    <w:p w14:paraId="1FAF842C">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1.10投标人须认可招标人的工作指令，包括节、假日能正常开展工作的要求。</w:t>
      </w:r>
    </w:p>
    <w:p w14:paraId="649462C0">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1.11逾期的投标文件招标人不予受理。</w:t>
      </w:r>
    </w:p>
    <w:p w14:paraId="7E44814D">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default"/>
          <w:lang w:val="en-US" w:eastAsia="zh-CN"/>
        </w:rPr>
      </w:pPr>
      <w:r>
        <w:rPr>
          <w:rFonts w:hint="eastAsia"/>
          <w:lang w:val="en-US" w:eastAsia="zh-CN"/>
        </w:rPr>
        <w:t>1.12投标人的直接或间接股东、法定代表人、董事、监事、高管非重汽员工及其亲属。</w:t>
      </w:r>
    </w:p>
    <w:p w14:paraId="7A940CFE">
      <w:pPr>
        <w:pStyle w:val="73"/>
        <w:numPr>
          <w:ilvl w:val="0"/>
          <w:numId w:val="10"/>
        </w:numPr>
        <w:bidi w:val="0"/>
        <w:rPr>
          <w:rFonts w:hint="eastAsia"/>
          <w:highlight w:val="none"/>
          <w:lang w:val="en-US" w:eastAsia="zh-CN"/>
        </w:rPr>
      </w:pPr>
      <w:r>
        <w:rPr>
          <w:rFonts w:hint="eastAsia"/>
          <w:highlight w:val="none"/>
          <w:lang w:val="en-US" w:eastAsia="zh-CN"/>
        </w:rPr>
        <w:t>资质文件组成</w:t>
      </w:r>
    </w:p>
    <w:p w14:paraId="1E498BED">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2.1投标书（格式1）加盖公章</w:t>
      </w:r>
    </w:p>
    <w:p w14:paraId="0ABDD1FF">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2.2法人授权委托书（格式2）加盖公章</w:t>
      </w:r>
    </w:p>
    <w:p w14:paraId="3B0791BC">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2.3企业情况、从业经历一览表及企业荣誉（格式3）</w:t>
      </w:r>
    </w:p>
    <w:p w14:paraId="3432853F">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2.4投标人近三年为大型企业提供物料业绩证明材料。</w:t>
      </w:r>
    </w:p>
    <w:p w14:paraId="5FBC7262">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2.5响应承诺书：包含服务承诺、响应承诺、售后及质保期承诺、交付期承诺等四项内容，均需说明，格式自拟，加盖公章。</w:t>
      </w:r>
    </w:p>
    <w:p w14:paraId="1ECFADC8">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2.6投标人近三年的公司财务报表复印件加盖公章。</w:t>
      </w:r>
    </w:p>
    <w:p w14:paraId="7FEAE420">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2.7具有统一社会信用代码的三证合一的营业执照原件复印件加盖公章。</w:t>
      </w:r>
    </w:p>
    <w:p w14:paraId="2870FF7A">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2.8信用证明，包含银行资信证明、国家企业信用信息公示系统或信用中国等官方网站提供的无违反合同约定或违反法律法规等的失信行为的证明原件及复印件并加盖公章；企业最近半年完税证明、信用证明材料（征信报告）；年度纳税信用评价信息（可从电子税务局查询截图，需加盖公章）；企业对外担保说明（写明贵单位对外有无对外担保和质押业务，需加盖公章）。</w:t>
      </w:r>
    </w:p>
    <w:p w14:paraId="0BD16EBF">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2.9投标人可以证明企业实力的其他证明材料（可根据实际自行增加）。</w:t>
      </w:r>
    </w:p>
    <w:p w14:paraId="7A818F3B">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highlight w:val="yellow"/>
          <w:lang w:val="en-US" w:eastAsia="zh-CN"/>
        </w:rPr>
      </w:pPr>
      <w:r>
        <w:rPr>
          <w:rFonts w:hint="eastAsia"/>
          <w:lang w:val="en-US" w:eastAsia="zh-CN"/>
        </w:rPr>
        <w:t>2.10投标保证金缴纳凭证。</w:t>
      </w:r>
    </w:p>
    <w:p w14:paraId="76B97D53">
      <w:pPr>
        <w:pStyle w:val="72"/>
        <w:rPr>
          <w:highlight w:val="none"/>
        </w:rPr>
      </w:pPr>
      <w:bookmarkStart w:id="6" w:name="_Toc47976591"/>
      <w:r>
        <w:rPr>
          <w:rFonts w:hint="eastAsia"/>
          <w:highlight w:val="none"/>
        </w:rPr>
        <w:t>报名及招标文件的获取</w:t>
      </w:r>
      <w:bookmarkEnd w:id="6"/>
    </w:p>
    <w:p w14:paraId="485CA7D6">
      <w:pPr>
        <w:pStyle w:val="73"/>
        <w:numPr>
          <w:ilvl w:val="0"/>
          <w:numId w:val="11"/>
        </w:numPr>
        <w:bidi w:val="0"/>
        <w:rPr>
          <w:rFonts w:hint="eastAsia"/>
          <w:lang w:val="en-US" w:eastAsia="zh-CN"/>
        </w:rPr>
      </w:pPr>
      <w:r>
        <w:rPr>
          <w:rFonts w:hint="eastAsia"/>
          <w:lang w:val="en-US" w:eastAsia="zh-CN"/>
        </w:rPr>
        <w:t>应标报名截止时间：</w:t>
      </w:r>
      <w:r>
        <w:rPr>
          <w:rFonts w:hint="eastAsia"/>
          <w:highlight w:val="none"/>
          <w:lang w:val="en-US" w:eastAsia="zh-CN"/>
        </w:rPr>
        <w:t>2025年12月1日17:00</w:t>
      </w:r>
    </w:p>
    <w:p w14:paraId="40DCF92F">
      <w:pPr>
        <w:pStyle w:val="73"/>
        <w:bidi w:val="0"/>
        <w:rPr>
          <w:rFonts w:hint="eastAsia"/>
          <w:highlight w:val="none"/>
          <w:lang w:val="en-US" w:eastAsia="zh-CN"/>
        </w:rPr>
      </w:pPr>
      <w:r>
        <w:rPr>
          <w:rFonts w:hint="eastAsia"/>
          <w:highlight w:val="none"/>
          <w:lang w:val="en-US" w:eastAsia="zh-CN"/>
        </w:rPr>
        <w:t>招标文件获取方式：投标人应标报名成功后，在中国重汽e采通平台上获取招标文件。</w:t>
      </w:r>
    </w:p>
    <w:p w14:paraId="04DB969B">
      <w:pPr>
        <w:pStyle w:val="73"/>
        <w:bidi w:val="0"/>
        <w:rPr>
          <w:rFonts w:hint="default"/>
          <w:lang w:val="en-US" w:eastAsia="zh-CN"/>
        </w:rPr>
      </w:pPr>
      <w:r>
        <w:rPr>
          <w:rFonts w:hint="eastAsia"/>
          <w:lang w:val="en-US" w:eastAsia="zh-CN"/>
        </w:rPr>
        <w:t>报名方式：拟投标人根据招标人在中国重汽官网等公开媒体上发布的招标信息，在“中国重汽e采通”平台报名。按照中国重汽e采通“SRM非生产供应商注册手册”</w:t>
      </w:r>
      <w:r>
        <w:rPr>
          <w:rFonts w:hint="eastAsia"/>
          <w:highlight w:val="none"/>
          <w:lang w:val="en-US" w:eastAsia="zh-CN"/>
        </w:rPr>
        <w:t>（附件）</w:t>
      </w:r>
      <w:r>
        <w:rPr>
          <w:rFonts w:hint="eastAsia"/>
          <w:lang w:val="en-US" w:eastAsia="zh-CN"/>
        </w:rPr>
        <w:t>进行注册，注册完毕后按照“SRM系统供应商用户手册”</w:t>
      </w:r>
      <w:r>
        <w:rPr>
          <w:rFonts w:hint="eastAsia"/>
          <w:highlight w:val="none"/>
          <w:lang w:val="en-US" w:eastAsia="zh-CN"/>
        </w:rPr>
        <w:t>（附件），</w:t>
      </w:r>
      <w:r>
        <w:rPr>
          <w:rFonts w:hint="eastAsia"/>
          <w:lang w:val="en-US" w:eastAsia="zh-CN"/>
        </w:rPr>
        <w:t>登录重汽e采通平台后进入“供应商应标”，选择对应的项目，点击“应标”后按照招标公告中“投标人资格要求-资质文件”中</w:t>
      </w:r>
      <w:r>
        <w:rPr>
          <w:rFonts w:hint="eastAsia"/>
          <w:highlight w:val="none"/>
          <w:lang w:val="en-US" w:eastAsia="zh-CN"/>
        </w:rPr>
        <w:t>的2.1-2.9准</w:t>
      </w:r>
      <w:r>
        <w:rPr>
          <w:rFonts w:hint="eastAsia"/>
          <w:lang w:val="en-US" w:eastAsia="zh-CN"/>
        </w:rPr>
        <w:t>备资料并上传，资质审查通过即为报名成功；公示期间请尽快报名。</w:t>
      </w:r>
    </w:p>
    <w:p w14:paraId="4713B400">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lang w:val="en-US" w:eastAsia="zh-CN"/>
        </w:rPr>
      </w:pPr>
      <w:r>
        <w:rPr>
          <w:rFonts w:hint="eastAsia"/>
          <w:b/>
          <w:bCs/>
          <w:lang w:val="en-US" w:eastAsia="zh-CN"/>
        </w:rPr>
        <w:t>注：请务必在应标截止时间前完成注册、</w:t>
      </w:r>
      <w:r>
        <w:rPr>
          <w:rFonts w:hint="eastAsia"/>
          <w:b/>
          <w:bCs/>
          <w:highlight w:val="yellow"/>
          <w:lang w:val="en-US" w:eastAsia="zh-CN"/>
        </w:rPr>
        <w:t>重汽E采通系统近三年财务数据更新</w:t>
      </w:r>
      <w:r>
        <w:rPr>
          <w:rFonts w:hint="eastAsia"/>
          <w:b/>
          <w:bCs/>
          <w:lang w:val="en-US" w:eastAsia="zh-CN"/>
        </w:rPr>
        <w:t>及应标操作，注册审核需2-4日，应标截止时间精确到秒，逾期将无法应标。请自行掌握时间，避免无法应标。</w:t>
      </w:r>
    </w:p>
    <w:p w14:paraId="4509C0DA">
      <w:pPr>
        <w:pStyle w:val="72"/>
        <w:rPr>
          <w:highlight w:val="none"/>
        </w:rPr>
      </w:pPr>
      <w:bookmarkStart w:id="7" w:name="_Toc47976592"/>
      <w:r>
        <w:rPr>
          <w:rFonts w:hint="eastAsia"/>
          <w:highlight w:val="none"/>
        </w:rPr>
        <w:t>投标文件的递交</w:t>
      </w:r>
      <w:bookmarkEnd w:id="7"/>
    </w:p>
    <w:p w14:paraId="7FBD455B">
      <w:pPr>
        <w:pStyle w:val="73"/>
        <w:numPr>
          <w:ilvl w:val="0"/>
          <w:numId w:val="12"/>
        </w:numPr>
        <w:bidi w:val="0"/>
        <w:rPr>
          <w:rFonts w:hint="eastAsia"/>
          <w:lang w:val="en-US" w:eastAsia="zh-CN"/>
        </w:rPr>
      </w:pPr>
      <w:r>
        <w:rPr>
          <w:rFonts w:hint="eastAsia"/>
          <w:lang w:val="en-US" w:eastAsia="zh-CN"/>
        </w:rPr>
        <w:t>投标截止时间：</w:t>
      </w:r>
      <w:r>
        <w:rPr>
          <w:rFonts w:hint="eastAsia"/>
          <w:highlight w:val="none"/>
          <w:lang w:val="en-US" w:eastAsia="zh-CN"/>
        </w:rPr>
        <w:t>2025年12月6日9:00（北京时间）</w:t>
      </w:r>
    </w:p>
    <w:p w14:paraId="0BAC6D46">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b/>
          <w:bCs/>
          <w:lang w:val="en-US" w:eastAsia="zh-CN"/>
        </w:rPr>
      </w:pPr>
      <w:r>
        <w:rPr>
          <w:rFonts w:hint="default"/>
          <w:b/>
          <w:bCs/>
          <w:lang w:val="en-US" w:eastAsia="zh-CN"/>
        </w:rPr>
        <w:t>注：请务必在投标文件递交截止时间前完成投标操作，截止时间精确到秒，逾期将无法投标。请自行掌握时间，避免无法投标。</w:t>
      </w:r>
    </w:p>
    <w:p w14:paraId="787E4E9B">
      <w:pPr>
        <w:pStyle w:val="73"/>
        <w:bidi w:val="0"/>
        <w:rPr>
          <w:rFonts w:hint="eastAsia"/>
          <w:lang w:val="en-US" w:eastAsia="zh-CN"/>
        </w:rPr>
      </w:pPr>
      <w:r>
        <w:rPr>
          <w:rFonts w:hint="eastAsia"/>
          <w:lang w:val="en-US" w:eastAsia="zh-CN"/>
        </w:rPr>
        <w:t>投标文件的组成：项目投标文件为电子版投标文件（电子版为纸质盖章版的扫描件或加盖电子章，不盖章无效），由</w:t>
      </w:r>
      <w:r>
        <w:rPr>
          <w:rFonts w:hint="eastAsia"/>
          <w:highlight w:val="none"/>
          <w:lang w:val="en-US" w:eastAsia="zh-CN"/>
        </w:rPr>
        <w:t>《投标文件（资质标）》、《投标文件（技术标）》、《投标文件（商务标）》（开标一览表）文件</w:t>
      </w:r>
      <w:r>
        <w:rPr>
          <w:rFonts w:hint="eastAsia"/>
          <w:lang w:val="en-US" w:eastAsia="zh-CN"/>
        </w:rPr>
        <w:t>组成，共计3个文件。</w:t>
      </w:r>
    </w:p>
    <w:p w14:paraId="47E13133">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b/>
          <w:bCs/>
          <w:highlight w:val="none"/>
          <w:lang w:val="en-US" w:eastAsia="zh-CN"/>
        </w:rPr>
      </w:pPr>
      <w:r>
        <w:rPr>
          <w:rFonts w:hint="default"/>
          <w:b/>
          <w:bCs/>
          <w:highlight w:val="none"/>
          <w:lang w:val="en-US" w:eastAsia="zh-CN"/>
        </w:rPr>
        <w:t>《投标文件（资质标）》一个文件（里面是全部资质投标书），投标文件（技术标）》一个文件（里面是全部技术投标书）</w:t>
      </w:r>
      <w:r>
        <w:rPr>
          <w:rFonts w:hint="eastAsia"/>
          <w:b/>
          <w:bCs/>
          <w:highlight w:val="none"/>
          <w:lang w:val="en-US" w:eastAsia="zh-CN"/>
        </w:rPr>
        <w:t>，</w:t>
      </w:r>
      <w:r>
        <w:rPr>
          <w:rFonts w:hint="default"/>
          <w:b/>
          <w:bCs/>
          <w:highlight w:val="none"/>
          <w:lang w:val="en-US" w:eastAsia="zh-CN"/>
        </w:rPr>
        <w:t>《投标文件（商务标）》（开标一览表）一个文件（里面是全部商务投标书），</w:t>
      </w:r>
      <w:r>
        <w:rPr>
          <w:rFonts w:hint="default"/>
          <w:b/>
          <w:bCs/>
          <w:lang w:val="en-US" w:eastAsia="zh-CN"/>
        </w:rPr>
        <w:t>具体组成等详细要求见招标文件</w:t>
      </w:r>
      <w:r>
        <w:rPr>
          <w:rFonts w:hint="default"/>
          <w:b/>
          <w:bCs/>
          <w:highlight w:val="none"/>
          <w:lang w:val="en-US" w:eastAsia="zh-CN"/>
        </w:rPr>
        <w:t>“第一部分投标人须知-投标说明-投标文件的组成”。</w:t>
      </w:r>
    </w:p>
    <w:p w14:paraId="763F14AB">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b/>
          <w:bCs/>
          <w:lang w:val="en-US" w:eastAsia="zh-CN"/>
        </w:rPr>
      </w:pPr>
      <w:r>
        <w:rPr>
          <w:rFonts w:hint="default"/>
          <w:b/>
          <w:bCs/>
          <w:lang w:val="en-US" w:eastAsia="zh-CN"/>
        </w:rPr>
        <w:t>注意不按此要求提供投标文件的，投标文件做无效标处理。以中国重汽e采通系统提交的材料为准。</w:t>
      </w:r>
    </w:p>
    <w:p w14:paraId="4B64074D">
      <w:pPr>
        <w:pStyle w:val="73"/>
        <w:bidi w:val="0"/>
        <w:rPr>
          <w:rFonts w:hint="default"/>
          <w:lang w:val="en-US" w:eastAsia="zh-CN"/>
        </w:rPr>
      </w:pPr>
      <w:r>
        <w:rPr>
          <w:rFonts w:hint="eastAsia"/>
          <w:lang w:val="en-US" w:eastAsia="zh-CN"/>
        </w:rPr>
        <w:t>投标方式：在中国重汽e采通平台应标成功后，进入“供应商投标”环节，投递盖章扫描版电子</w:t>
      </w:r>
      <w:r>
        <w:rPr>
          <w:rFonts w:hint="eastAsia"/>
          <w:highlight w:val="none"/>
          <w:lang w:val="en-US" w:eastAsia="zh-CN"/>
        </w:rPr>
        <w:t>标书（包含资质标书、技术标书、商务标书），</w:t>
      </w:r>
      <w:r>
        <w:rPr>
          <w:rFonts w:hint="eastAsia"/>
          <w:lang w:val="en-US" w:eastAsia="zh-CN"/>
        </w:rPr>
        <w:t>若逾期未在中国重汽e采通平台上传电子标书，一律视为无效投标。</w:t>
      </w:r>
    </w:p>
    <w:p w14:paraId="27B65ABD">
      <w:pPr>
        <w:pStyle w:val="72"/>
        <w:rPr>
          <w:highlight w:val="none"/>
        </w:rPr>
      </w:pPr>
      <w:r>
        <w:rPr>
          <w:rFonts w:hint="eastAsia"/>
          <w:highlight w:val="none"/>
          <w:lang w:val="en-US" w:eastAsia="zh-CN"/>
        </w:rPr>
        <w:t>开标时间和地点</w:t>
      </w:r>
    </w:p>
    <w:p w14:paraId="114306E8">
      <w:pPr>
        <w:pStyle w:val="73"/>
        <w:numPr>
          <w:ilvl w:val="0"/>
          <w:numId w:val="13"/>
        </w:numPr>
        <w:bidi w:val="0"/>
        <w:rPr>
          <w:rFonts w:hint="default"/>
          <w:highlight w:val="none"/>
          <w:lang w:val="en-US" w:eastAsia="zh-CN"/>
        </w:rPr>
      </w:pPr>
      <w:r>
        <w:rPr>
          <w:rFonts w:hint="eastAsia"/>
          <w:highlight w:val="none"/>
          <w:lang w:val="en-US" w:eastAsia="zh-CN"/>
        </w:rPr>
        <w:t>开标时间：2025年12月6日9:00（北京时间）（若有变动，另行通知）</w:t>
      </w:r>
    </w:p>
    <w:p w14:paraId="1EEA171A">
      <w:pPr>
        <w:pStyle w:val="73"/>
        <w:bidi w:val="0"/>
        <w:rPr>
          <w:rFonts w:hint="default"/>
          <w:highlight w:val="none"/>
          <w:lang w:val="en-US" w:eastAsia="zh-CN"/>
        </w:rPr>
      </w:pPr>
      <w:r>
        <w:rPr>
          <w:rFonts w:hint="eastAsia"/>
          <w:highlight w:val="none"/>
          <w:lang w:val="en-US" w:eastAsia="zh-CN"/>
        </w:rPr>
        <w:t>开标地点：重汽科技大厦</w:t>
      </w:r>
    </w:p>
    <w:p w14:paraId="22385406">
      <w:pPr>
        <w:pStyle w:val="72"/>
      </w:pPr>
      <w:bookmarkStart w:id="8" w:name="_Toc47976593"/>
      <w:r>
        <w:rPr>
          <w:rFonts w:hint="eastAsia"/>
        </w:rPr>
        <w:t>招标公告发布媒介</w:t>
      </w:r>
      <w:bookmarkEnd w:id="8"/>
    </w:p>
    <w:p w14:paraId="15C59335">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b/>
          <w:bCs/>
        </w:rPr>
      </w:pPr>
      <w:r>
        <w:rPr>
          <w:rFonts w:hint="eastAsia"/>
          <w:b/>
          <w:bCs/>
        </w:rPr>
        <w:t>本次招标公告同时在</w:t>
      </w:r>
      <w:r>
        <w:rPr>
          <w:rFonts w:hint="eastAsia"/>
          <w:b/>
          <w:bCs/>
          <w:highlight w:val="none"/>
        </w:rPr>
        <w:t>中国重汽官网等</w:t>
      </w:r>
      <w:r>
        <w:rPr>
          <w:rFonts w:hint="eastAsia"/>
          <w:b/>
          <w:bCs/>
        </w:rPr>
        <w:t>公开媒体上发布。</w:t>
      </w:r>
    </w:p>
    <w:p w14:paraId="65FC2213">
      <w:pPr>
        <w:pStyle w:val="72"/>
        <w:rPr>
          <w:highlight w:val="none"/>
        </w:rPr>
      </w:pPr>
      <w:bookmarkStart w:id="9" w:name="_Toc47976594"/>
      <w:r>
        <w:rPr>
          <w:rFonts w:hint="eastAsia"/>
          <w:highlight w:val="none"/>
        </w:rPr>
        <w:t>联系方式</w:t>
      </w:r>
      <w:bookmarkEnd w:id="9"/>
    </w:p>
    <w:p w14:paraId="42E108E9">
      <w:pPr>
        <w:pStyle w:val="73"/>
        <w:numPr>
          <w:ilvl w:val="0"/>
          <w:numId w:val="14"/>
        </w:numPr>
        <w:bidi w:val="0"/>
        <w:rPr>
          <w:rFonts w:hint="default"/>
          <w:lang w:val="en-US" w:eastAsia="zh-CN"/>
        </w:rPr>
      </w:pPr>
      <w:r>
        <w:rPr>
          <w:rFonts w:hint="eastAsia"/>
          <w:lang w:val="en-US" w:eastAsia="zh-CN"/>
        </w:rPr>
        <w:t>招标人名称：中国重汽集团济南动力有限公司</w:t>
      </w:r>
    </w:p>
    <w:p w14:paraId="6C22F13D">
      <w:pPr>
        <w:pStyle w:val="73"/>
        <w:numPr>
          <w:ilvl w:val="0"/>
          <w:numId w:val="14"/>
        </w:numPr>
        <w:bidi w:val="0"/>
        <w:rPr>
          <w:rFonts w:hint="default"/>
          <w:lang w:val="en-US" w:eastAsia="zh-CN"/>
        </w:rPr>
      </w:pPr>
      <w:r>
        <w:rPr>
          <w:rFonts w:hint="eastAsia"/>
          <w:lang w:val="en-US" w:eastAsia="zh-CN"/>
        </w:rPr>
        <w:t>商务联系人：袁晖/17860605118; 邮箱：yuanhui@sinotruk.com</w:t>
      </w:r>
    </w:p>
    <w:p w14:paraId="67A3FFAC">
      <w:pPr>
        <w:pStyle w:val="73"/>
        <w:numPr>
          <w:ilvl w:val="0"/>
          <w:numId w:val="14"/>
        </w:numPr>
        <w:bidi w:val="0"/>
        <w:rPr>
          <w:rFonts w:hint="default"/>
          <w:lang w:val="en-US" w:eastAsia="zh-CN"/>
        </w:rPr>
      </w:pPr>
      <w:r>
        <w:rPr>
          <w:rFonts w:hint="eastAsia"/>
          <w:lang w:val="en-US" w:eastAsia="zh-CN"/>
        </w:rPr>
        <w:t>技术联系人：司光达/17860601233； 邮箱：sigunagda@sinotruk.com</w:t>
      </w:r>
    </w:p>
    <w:p w14:paraId="5F538BD8">
      <w:pPr>
        <w:pStyle w:val="76"/>
      </w:pPr>
    </w:p>
    <w:p w14:paraId="04C96706">
      <w:pPr>
        <w:pStyle w:val="76"/>
      </w:pPr>
    </w:p>
    <w:p w14:paraId="140D8CBC">
      <w:pPr>
        <w:pStyle w:val="76"/>
      </w:pPr>
    </w:p>
    <w:p w14:paraId="11B132F4">
      <w:pPr>
        <w:pStyle w:val="76"/>
      </w:pPr>
    </w:p>
    <w:p w14:paraId="089E00BA">
      <w:pPr>
        <w:pStyle w:val="76"/>
      </w:pPr>
    </w:p>
    <w:p w14:paraId="66501A74">
      <w:pPr>
        <w:pStyle w:val="76"/>
      </w:pPr>
    </w:p>
    <w:p w14:paraId="6624A29F">
      <w:pPr>
        <w:pStyle w:val="76"/>
      </w:pPr>
    </w:p>
    <w:p w14:paraId="48539658">
      <w:pPr>
        <w:pStyle w:val="76"/>
      </w:pPr>
    </w:p>
    <w:p w14:paraId="45CECD12">
      <w:pPr>
        <w:pStyle w:val="76"/>
      </w:pPr>
    </w:p>
    <w:p w14:paraId="1BC23D26">
      <w:pPr>
        <w:pStyle w:val="76"/>
      </w:pPr>
    </w:p>
    <w:p w14:paraId="6CB0E23F">
      <w:pPr>
        <w:pStyle w:val="76"/>
      </w:pPr>
    </w:p>
    <w:p w14:paraId="26B3A596">
      <w:pPr>
        <w:pStyle w:val="76"/>
      </w:pPr>
    </w:p>
    <w:p w14:paraId="7AB2493C">
      <w:pPr>
        <w:pStyle w:val="76"/>
      </w:pPr>
    </w:p>
    <w:p w14:paraId="3D820EEC">
      <w:pPr>
        <w:pStyle w:val="71"/>
      </w:pPr>
      <w:bookmarkStart w:id="10" w:name="_Toc7753"/>
      <w:bookmarkStart w:id="11" w:name="_Toc47976595"/>
      <w:r>
        <w:rPr>
          <w:rFonts w:hint="eastAsia"/>
        </w:rPr>
        <w:t>第一部分  投标人须知</w:t>
      </w:r>
      <w:bookmarkEnd w:id="10"/>
      <w:bookmarkEnd w:id="11"/>
    </w:p>
    <w:p w14:paraId="418340FC">
      <w:pPr>
        <w:pStyle w:val="72"/>
        <w:numPr>
          <w:ilvl w:val="0"/>
          <w:numId w:val="15"/>
        </w:numPr>
        <w:ind w:left="420"/>
        <w:jc w:val="left"/>
      </w:pPr>
      <w:bookmarkStart w:id="12" w:name="_Toc47976596"/>
      <w:r>
        <w:rPr>
          <w:rFonts w:hint="eastAsia"/>
        </w:rPr>
        <w:t>项目介绍</w:t>
      </w:r>
      <w:bookmarkEnd w:id="12"/>
    </w:p>
    <w:p w14:paraId="6360E7CD">
      <w:pPr>
        <w:pStyle w:val="76"/>
        <w:numPr>
          <w:ilvl w:val="0"/>
          <w:numId w:val="16"/>
        </w:numPr>
        <w:ind w:left="425" w:leftChars="0" w:hanging="425" w:firstLineChars="0"/>
        <w:rPr>
          <w:highlight w:val="none"/>
        </w:rPr>
      </w:pPr>
      <w:r>
        <w:rPr>
          <w:rFonts w:hint="eastAsia"/>
        </w:rPr>
        <w:t>项目名称</w:t>
      </w:r>
      <w:r>
        <w:rPr>
          <w:rFonts w:hint="eastAsia"/>
          <w:highlight w:val="none"/>
        </w:rPr>
        <w:t>：</w:t>
      </w:r>
      <w:r>
        <w:rPr>
          <w:rFonts w:hint="eastAsia"/>
          <w:highlight w:val="none"/>
          <w:lang w:val="en-US" w:eastAsia="zh-CN"/>
        </w:rPr>
        <w:t>中国重汽集团2025年办公室宣传纪念品招标采购项目</w:t>
      </w:r>
    </w:p>
    <w:p w14:paraId="17A97EAA">
      <w:pPr>
        <w:pStyle w:val="76"/>
        <w:numPr>
          <w:ilvl w:val="0"/>
          <w:numId w:val="16"/>
        </w:numPr>
        <w:ind w:left="425" w:leftChars="0" w:hanging="425" w:firstLineChars="0"/>
        <w:rPr>
          <w:highlight w:val="none"/>
        </w:rPr>
      </w:pPr>
      <w:r>
        <w:rPr>
          <w:rFonts w:hint="eastAsia"/>
          <w:highlight w:val="none"/>
        </w:rPr>
        <w:t>项目编号：</w:t>
      </w:r>
      <w:r>
        <w:rPr>
          <w:rFonts w:hint="eastAsia"/>
          <w:highlight w:val="none"/>
          <w:lang w:val="en-US" w:eastAsia="zh-CN"/>
        </w:rPr>
        <w:t>FSCZB2025110246</w:t>
      </w:r>
    </w:p>
    <w:p w14:paraId="5C6CF568">
      <w:pPr>
        <w:pStyle w:val="76"/>
        <w:numPr>
          <w:ilvl w:val="0"/>
          <w:numId w:val="16"/>
        </w:numPr>
        <w:ind w:left="425" w:leftChars="0" w:hanging="425" w:firstLineChars="0"/>
        <w:rPr>
          <w:highlight w:val="none"/>
        </w:rPr>
      </w:pPr>
      <w:r>
        <w:rPr>
          <w:rFonts w:hint="eastAsia"/>
          <w:highlight w:val="none"/>
        </w:rPr>
        <w:t>招标形式：</w:t>
      </w:r>
      <w:bookmarkStart w:id="13" w:name="_Toc47112482"/>
      <w:r>
        <w:rPr>
          <w:rFonts w:hint="eastAsia"/>
          <w:highlight w:val="none"/>
          <w:lang w:val="en-US" w:eastAsia="zh-CN"/>
        </w:rPr>
        <w:t>公开招标</w:t>
      </w:r>
    </w:p>
    <w:p w14:paraId="742B3A80">
      <w:pPr>
        <w:pStyle w:val="76"/>
        <w:numPr>
          <w:ilvl w:val="0"/>
          <w:numId w:val="16"/>
        </w:numPr>
        <w:ind w:left="425" w:leftChars="0" w:hanging="425" w:firstLineChars="0"/>
      </w:pPr>
      <w:r>
        <w:rPr>
          <w:rFonts w:hint="eastAsia"/>
          <w:lang w:val="en-US" w:eastAsia="zh-CN"/>
        </w:rPr>
        <w:t>项目概况：</w:t>
      </w:r>
    </w:p>
    <w:p w14:paraId="5A80CA1D">
      <w:pPr>
        <w:pStyle w:val="14"/>
        <w:spacing w:line="360" w:lineRule="auto"/>
        <w:ind w:firstLine="632" w:firstLineChars="300"/>
        <w:rPr>
          <w:rFonts w:hint="eastAsia" w:hAnsi="宋体" w:eastAsia="宋体" w:cs="Times New Roman"/>
          <w:b/>
          <w:bCs/>
          <w:kern w:val="0"/>
          <w:szCs w:val="21"/>
          <w:lang w:val="en-US" w:eastAsia="zh-CN"/>
        </w:rPr>
      </w:pPr>
      <w:r>
        <w:rPr>
          <w:rFonts w:hint="eastAsia" w:hAnsi="宋体"/>
          <w:b/>
          <w:bCs/>
          <w:kern w:val="0"/>
          <w:szCs w:val="21"/>
        </w:rPr>
        <w:t xml:space="preserve">A包 </w:t>
      </w:r>
      <w:r>
        <w:rPr>
          <w:rFonts w:hint="eastAsia" w:hAnsi="宋体"/>
          <w:b/>
          <w:bCs/>
          <w:kern w:val="0"/>
          <w:szCs w:val="21"/>
          <w:lang w:val="en-US" w:eastAsia="zh-CN"/>
        </w:rPr>
        <w:t xml:space="preserve"> </w:t>
      </w:r>
      <w:r>
        <w:rPr>
          <w:rFonts w:hint="eastAsia" w:hAnsi="宋体" w:eastAsia="宋体" w:cs="Times New Roman"/>
          <w:b/>
          <w:bCs/>
          <w:kern w:val="0"/>
          <w:szCs w:val="21"/>
          <w:lang w:val="en-US" w:eastAsia="zh-CN"/>
        </w:rPr>
        <w:t>Viken耳夹式蓝牙耳机</w:t>
      </w:r>
    </w:p>
    <w:p w14:paraId="7B28EAF0">
      <w:pPr>
        <w:pStyle w:val="14"/>
        <w:spacing w:line="360" w:lineRule="auto"/>
        <w:ind w:left="630"/>
        <w:rPr>
          <w:rFonts w:hint="eastAsia" w:hAnsi="宋体"/>
          <w:kern w:val="0"/>
          <w:szCs w:val="21"/>
          <w:lang w:val="en-US" w:eastAsia="zh-CN"/>
        </w:rPr>
      </w:pPr>
      <w:r>
        <w:rPr>
          <w:rFonts w:hint="eastAsia" w:hAnsi="宋体"/>
          <w:kern w:val="0"/>
          <w:szCs w:val="21"/>
          <w:lang w:val="en-US" w:eastAsia="zh-CN"/>
        </w:rPr>
        <w:t>型号：i113，Hi-Res Audio音质认证</w:t>
      </w:r>
      <w:r>
        <w:rPr>
          <w:rFonts w:hint="eastAsia" w:ascii="微软雅黑" w:hAnsi="微软雅黑" w:eastAsia="微软雅黑" w:cs="微软雅黑"/>
          <w:i w:val="0"/>
          <w:iCs w:val="0"/>
          <w:caps w:val="0"/>
          <w:color w:val="1A1A1A"/>
          <w:spacing w:val="0"/>
          <w:sz w:val="14"/>
          <w:szCs w:val="14"/>
          <w:shd w:val="clear" w:color="auto" w:fill="FFFFFF"/>
          <w:lang w:val="en-US" w:eastAsia="zh-CN"/>
        </w:rPr>
        <w:t>，</w:t>
      </w:r>
      <w:r>
        <w:rPr>
          <w:rFonts w:hint="eastAsia" w:hAnsi="宋体"/>
          <w:kern w:val="0"/>
          <w:szCs w:val="21"/>
          <w:lang w:val="en-US" w:eastAsia="zh-CN"/>
        </w:rPr>
        <w:t>礼盒装包装形式，维W-47主机机型，</w:t>
      </w:r>
    </w:p>
    <w:p w14:paraId="4B3823B1">
      <w:pPr>
        <w:pStyle w:val="14"/>
        <w:spacing w:line="360" w:lineRule="auto"/>
        <w:ind w:left="630"/>
        <w:rPr>
          <w:rFonts w:hint="default" w:hAnsi="宋体" w:eastAsia="宋体"/>
          <w:b/>
          <w:bCs/>
          <w:kern w:val="0"/>
          <w:szCs w:val="21"/>
          <w:lang w:val="en-US" w:eastAsia="zh-CN"/>
        </w:rPr>
      </w:pPr>
      <w:r>
        <w:rPr>
          <w:rFonts w:hint="eastAsia" w:hAnsi="宋体"/>
          <w:kern w:val="0"/>
          <w:szCs w:val="21"/>
          <w:lang w:val="en-US" w:eastAsia="zh-CN"/>
        </w:rPr>
        <w:t>IPX5防水等级，支持打印重汽logo，</w:t>
      </w:r>
      <w:r>
        <w:rPr>
          <w:rFonts w:hint="eastAsia" w:hAnsi="宋体"/>
          <w:kern w:val="0"/>
          <w:szCs w:val="21"/>
        </w:rPr>
        <w:t>支持：手机、平板电脑、笔记本等无线设备</w:t>
      </w:r>
      <w:r>
        <w:rPr>
          <w:rFonts w:hint="eastAsia" w:hAnsi="宋体"/>
          <w:kern w:val="0"/>
          <w:szCs w:val="21"/>
          <w:lang w:val="en-US" w:eastAsia="zh-CN"/>
        </w:rPr>
        <w:t>。</w:t>
      </w:r>
    </w:p>
    <w:p w14:paraId="26880CFE">
      <w:pPr>
        <w:pStyle w:val="14"/>
        <w:spacing w:line="360" w:lineRule="auto"/>
        <w:ind w:left="632"/>
        <w:rPr>
          <w:rFonts w:hint="eastAsia" w:hAnsi="宋体" w:eastAsia="宋体"/>
          <w:b/>
          <w:bCs/>
          <w:kern w:val="0"/>
          <w:szCs w:val="21"/>
          <w:lang w:val="en-US" w:eastAsia="zh-CN"/>
        </w:rPr>
      </w:pPr>
      <w:r>
        <w:rPr>
          <w:rFonts w:hint="eastAsia" w:hAnsi="宋体"/>
          <w:b/>
          <w:bCs/>
          <w:kern w:val="0"/>
          <w:szCs w:val="21"/>
        </w:rPr>
        <w:t xml:space="preserve">B包 </w:t>
      </w:r>
      <w:r>
        <w:rPr>
          <w:rFonts w:hint="eastAsia" w:hAnsi="宋体"/>
          <w:b/>
          <w:bCs/>
          <w:kern w:val="0"/>
          <w:szCs w:val="21"/>
          <w:lang w:val="en-US" w:eastAsia="zh-CN"/>
        </w:rPr>
        <w:t xml:space="preserve"> </w:t>
      </w:r>
      <w:r>
        <w:rPr>
          <w:rFonts w:hint="eastAsia" w:hAnsi="宋体" w:eastAsia="宋体" w:cs="Times New Roman"/>
          <w:b/>
          <w:bCs/>
          <w:kern w:val="0"/>
          <w:szCs w:val="21"/>
          <w:lang w:val="en-US" w:eastAsia="zh-CN"/>
        </w:rPr>
        <w:t>PARKER钢笔XL威雅钢杆金夹墨水商务礼盒</w:t>
      </w:r>
    </w:p>
    <w:p w14:paraId="002FA96B">
      <w:pPr>
        <w:ind w:left="0" w:leftChars="0" w:firstLine="638" w:firstLineChars="304"/>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笔身纹理：光面，笔尖材质：不锈钢，材质：铜质笔杆，PVD镀金笔夹，ABS笔基</w:t>
      </w:r>
    </w:p>
    <w:p w14:paraId="4D4AC1AD">
      <w:pPr>
        <w:ind w:left="0" w:leftChars="0" w:firstLine="638" w:firstLineChars="304"/>
        <w:rPr>
          <w:rFonts w:hint="eastAsia" w:ascii="宋体" w:hAnsi="宋体" w:eastAsia="宋体" w:cs="Times New Roman"/>
          <w:kern w:val="0"/>
          <w:sz w:val="21"/>
          <w:szCs w:val="21"/>
          <w:lang w:val="en-US" w:eastAsia="zh-CN" w:bidi="ar-SA"/>
        </w:rPr>
      </w:pPr>
      <w:r>
        <w:rPr>
          <w:rFonts w:hint="eastAsia" w:ascii="宋体" w:hAnsi="宋体" w:eastAsia="宋体" w:cs="Times New Roman"/>
          <w:kern w:val="0"/>
          <w:sz w:val="21"/>
          <w:szCs w:val="21"/>
          <w:lang w:val="en-US" w:eastAsia="zh-CN" w:bidi="ar-SA"/>
        </w:rPr>
        <w:t>上墨方式：活塞上墨，墨囊，标配礼盒，支持刻印</w:t>
      </w:r>
      <w:r>
        <w:rPr>
          <w:rFonts w:hint="eastAsia" w:hAnsi="宋体"/>
          <w:kern w:val="0"/>
          <w:szCs w:val="21"/>
          <w:lang w:val="en-US" w:eastAsia="zh-CN"/>
        </w:rPr>
        <w:t>重</w:t>
      </w:r>
      <w:r>
        <w:rPr>
          <w:rFonts w:hint="eastAsia" w:ascii="宋体" w:hAnsi="宋体" w:eastAsia="宋体" w:cs="Times New Roman"/>
          <w:kern w:val="0"/>
          <w:sz w:val="21"/>
          <w:szCs w:val="21"/>
          <w:lang w:val="en-US" w:eastAsia="zh-CN" w:bidi="ar-SA"/>
        </w:rPr>
        <w:t>汽logo。</w:t>
      </w:r>
    </w:p>
    <w:p w14:paraId="2C110E26">
      <w:pPr>
        <w:pStyle w:val="14"/>
        <w:spacing w:line="360" w:lineRule="auto"/>
        <w:ind w:firstLine="632" w:firstLineChars="300"/>
        <w:rPr>
          <w:rFonts w:hint="default" w:hAnsi="宋体" w:eastAsia="宋体"/>
          <w:b/>
          <w:bCs/>
          <w:kern w:val="0"/>
          <w:szCs w:val="21"/>
          <w:lang w:val="en-US" w:eastAsia="zh-CN"/>
        </w:rPr>
      </w:pPr>
      <w:r>
        <w:rPr>
          <w:rFonts w:hint="eastAsia" w:hAnsi="宋体"/>
          <w:b/>
          <w:bCs/>
          <w:kern w:val="0"/>
          <w:szCs w:val="21"/>
        </w:rPr>
        <w:t>C包</w:t>
      </w:r>
      <w:r>
        <w:rPr>
          <w:rFonts w:hint="eastAsia" w:hAnsi="宋体"/>
          <w:b/>
          <w:bCs/>
          <w:kern w:val="0"/>
          <w:szCs w:val="21"/>
          <w:lang w:val="en-US" w:eastAsia="zh-CN"/>
        </w:rPr>
        <w:t xml:space="preserve"> </w:t>
      </w:r>
      <w:r>
        <w:rPr>
          <w:rFonts w:hint="eastAsia" w:hAnsi="宋体"/>
          <w:b/>
          <w:bCs/>
          <w:kern w:val="0"/>
          <w:szCs w:val="21"/>
        </w:rPr>
        <w:t xml:space="preserve"> </w:t>
      </w:r>
      <w:r>
        <w:rPr>
          <w:rFonts w:hint="eastAsia" w:hAnsi="宋体" w:eastAsia="宋体" w:cs="Times New Roman"/>
          <w:b/>
          <w:bCs/>
          <w:kern w:val="0"/>
          <w:szCs w:val="21"/>
          <w:lang w:val="en-US" w:eastAsia="zh-CN"/>
        </w:rPr>
        <w:t>倍思三合一充电宝</w:t>
      </w:r>
    </w:p>
    <w:p w14:paraId="411A8E88">
      <w:pPr>
        <w:pStyle w:val="14"/>
        <w:spacing w:line="360" w:lineRule="auto"/>
        <w:ind w:left="630" w:leftChars="300" w:firstLine="0" w:firstLineChars="0"/>
        <w:rPr>
          <w:rFonts w:hint="eastAsia" w:hAnsi="宋体"/>
          <w:kern w:val="0"/>
          <w:szCs w:val="21"/>
          <w:lang w:val="en-US" w:eastAsia="zh-CN"/>
        </w:rPr>
      </w:pPr>
      <w:r>
        <w:rPr>
          <w:rFonts w:hint="eastAsia" w:hAnsi="宋体"/>
          <w:kern w:val="0"/>
          <w:szCs w:val="21"/>
        </w:rPr>
        <w:t xml:space="preserve">CN-倍思 Nomos NT11 </w:t>
      </w:r>
      <w:r>
        <w:rPr>
          <w:rFonts w:hint="eastAsia" w:ascii="宋体" w:hAnsi="宋体" w:eastAsia="宋体" w:cs="Times New Roman"/>
          <w:kern w:val="0"/>
          <w:sz w:val="21"/>
          <w:szCs w:val="21"/>
          <w:lang w:val="en-US" w:eastAsia="zh-CN" w:bidi="ar-SA"/>
        </w:rPr>
        <w:t>自带线，可上飞机，带插头</w:t>
      </w:r>
      <w:r>
        <w:rPr>
          <w:rFonts w:hint="eastAsia" w:hAnsi="宋体"/>
          <w:kern w:val="0"/>
          <w:szCs w:val="21"/>
        </w:rPr>
        <w:t>超能充数显移动电源 10000mAh 67W</w:t>
      </w:r>
      <w:r>
        <w:rPr>
          <w:rFonts w:hint="eastAsia" w:hAnsi="宋体"/>
          <w:kern w:val="0"/>
          <w:szCs w:val="21"/>
          <w:lang w:eastAsia="zh-CN"/>
        </w:rPr>
        <w:t>，</w:t>
      </w:r>
      <w:r>
        <w:rPr>
          <w:rFonts w:hint="eastAsia" w:hAnsi="宋体"/>
          <w:kern w:val="0"/>
          <w:szCs w:val="21"/>
        </w:rPr>
        <w:t>3C认证</w:t>
      </w:r>
      <w:r>
        <w:rPr>
          <w:rFonts w:hint="eastAsia" w:hAnsi="宋体"/>
          <w:kern w:val="0"/>
          <w:szCs w:val="21"/>
          <w:lang w:eastAsia="zh-CN"/>
        </w:rPr>
        <w:t>，</w:t>
      </w:r>
      <w:r>
        <w:rPr>
          <w:rFonts w:hint="eastAsia" w:hAnsi="宋体"/>
          <w:kern w:val="0"/>
          <w:szCs w:val="21"/>
          <w:lang w:val="en-US" w:eastAsia="zh-CN"/>
        </w:rPr>
        <w:t>可以充笔记本电脑，礼盒装包装形式，支持打印重汽logo。</w:t>
      </w:r>
    </w:p>
    <w:p w14:paraId="1CCD6EA8">
      <w:pPr>
        <w:pStyle w:val="14"/>
        <w:spacing w:line="360" w:lineRule="auto"/>
        <w:ind w:left="630" w:leftChars="300" w:firstLine="0" w:firstLineChars="0"/>
        <w:rPr>
          <w:rFonts w:hint="eastAsia" w:hAnsi="宋体" w:eastAsia="宋体" w:cs="Times New Roman"/>
          <w:b/>
          <w:bCs/>
          <w:kern w:val="0"/>
          <w:szCs w:val="21"/>
          <w:lang w:val="en-US" w:eastAsia="zh-CN"/>
        </w:rPr>
      </w:pPr>
      <w:r>
        <w:rPr>
          <w:rFonts w:hint="eastAsia" w:hAnsi="宋体"/>
          <w:b/>
          <w:bCs/>
          <w:kern w:val="0"/>
          <w:szCs w:val="21"/>
        </w:rPr>
        <w:t xml:space="preserve">D包 </w:t>
      </w:r>
      <w:r>
        <w:rPr>
          <w:rFonts w:hint="eastAsia" w:hAnsi="宋体"/>
          <w:b/>
          <w:bCs/>
          <w:kern w:val="0"/>
          <w:szCs w:val="21"/>
          <w:lang w:val="en-US" w:eastAsia="zh-CN"/>
        </w:rPr>
        <w:t xml:space="preserve"> </w:t>
      </w:r>
      <w:r>
        <w:rPr>
          <w:rFonts w:hint="eastAsia" w:hAnsi="宋体" w:eastAsia="宋体" w:cs="Times New Roman"/>
          <w:b/>
          <w:bCs/>
          <w:kern w:val="0"/>
          <w:szCs w:val="21"/>
          <w:lang w:val="en-US" w:eastAsia="zh-CN"/>
        </w:rPr>
        <w:t xml:space="preserve">黑陶手绘看盘 </w:t>
      </w:r>
    </w:p>
    <w:p w14:paraId="36BB718A">
      <w:pPr>
        <w:pStyle w:val="14"/>
        <w:spacing w:line="360" w:lineRule="auto"/>
        <w:ind w:firstLine="630" w:firstLineChars="300"/>
        <w:rPr>
          <w:rFonts w:hint="eastAsia" w:hAnsi="宋体"/>
          <w:kern w:val="0"/>
          <w:szCs w:val="21"/>
        </w:rPr>
      </w:pPr>
      <w:r>
        <w:rPr>
          <w:rFonts w:hint="eastAsia" w:hAnsi="宋体"/>
          <w:kern w:val="0"/>
          <w:szCs w:val="21"/>
        </w:rPr>
        <w:t>材质：黑陶</w:t>
      </w:r>
      <w:r>
        <w:rPr>
          <w:rFonts w:hint="eastAsia" w:hAnsi="宋体"/>
          <w:kern w:val="0"/>
          <w:szCs w:val="21"/>
          <w:lang w:eastAsia="zh-CN"/>
        </w:rPr>
        <w:t>，</w:t>
      </w:r>
      <w:r>
        <w:rPr>
          <w:rFonts w:hint="eastAsia" w:hAnsi="宋体"/>
          <w:kern w:val="0"/>
          <w:szCs w:val="21"/>
          <w:lang w:val="en-US" w:eastAsia="zh-CN"/>
        </w:rPr>
        <w:t>看盘内容：提现济南地区特色，</w:t>
      </w:r>
      <w:r>
        <w:rPr>
          <w:rFonts w:hint="eastAsia" w:hAnsi="宋体"/>
          <w:kern w:val="0"/>
          <w:szCs w:val="21"/>
        </w:rPr>
        <w:t>看盘直径：27.5cm</w:t>
      </w:r>
      <w:r>
        <w:rPr>
          <w:rFonts w:hint="eastAsia" w:hAnsi="宋体"/>
          <w:kern w:val="0"/>
          <w:szCs w:val="21"/>
          <w:lang w:eastAsia="zh-CN"/>
        </w:rPr>
        <w:t>，</w:t>
      </w:r>
      <w:r>
        <w:rPr>
          <w:rFonts w:hint="eastAsia" w:hAnsi="宋体"/>
          <w:kern w:val="0"/>
          <w:szCs w:val="21"/>
        </w:rPr>
        <w:t>包装盒：31*30.6*6.6cm</w:t>
      </w:r>
    </w:p>
    <w:p w14:paraId="6B99A293">
      <w:pPr>
        <w:pStyle w:val="14"/>
        <w:spacing w:line="360" w:lineRule="auto"/>
        <w:ind w:firstLine="630" w:firstLineChars="300"/>
        <w:rPr>
          <w:rFonts w:hint="eastAsia" w:hAnsi="宋体"/>
          <w:kern w:val="0"/>
          <w:szCs w:val="21"/>
        </w:rPr>
      </w:pPr>
      <w:r>
        <w:rPr>
          <w:rFonts w:hint="eastAsia" w:hAnsi="宋体"/>
          <w:kern w:val="0"/>
          <w:szCs w:val="21"/>
          <w:lang w:val="en-US" w:eastAsia="zh-CN"/>
        </w:rPr>
        <w:t>礼盒装包装形式，支持打印重汽logo。</w:t>
      </w:r>
      <w:r>
        <w:rPr>
          <w:rFonts w:hint="eastAsia" w:hAnsi="宋体"/>
          <w:kern w:val="0"/>
          <w:szCs w:val="21"/>
        </w:rPr>
        <w:t xml:space="preserve">    </w:t>
      </w:r>
    </w:p>
    <w:p w14:paraId="19D36C46">
      <w:pPr>
        <w:pStyle w:val="14"/>
        <w:spacing w:line="360" w:lineRule="auto"/>
        <w:ind w:firstLine="422" w:firstLineChars="200"/>
      </w:pPr>
      <w:r>
        <w:rPr>
          <w:rFonts w:hint="eastAsia" w:hAnsi="宋体"/>
          <w:b/>
          <w:bCs/>
          <w:color w:val="FF0000"/>
          <w:kern w:val="0"/>
          <w:szCs w:val="21"/>
        </w:rPr>
        <w:t>本项目分为A、B、C、D四个包进行招标，采购数量按照实际需求确定，每家供应商可选择投标1-4个包，且每个包仅有一家供应商中标。</w:t>
      </w:r>
    </w:p>
    <w:p w14:paraId="151561C8">
      <w:pPr>
        <w:pStyle w:val="76"/>
        <w:numPr>
          <w:ilvl w:val="0"/>
          <w:numId w:val="16"/>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w:t>
      </w:r>
      <w:r>
        <w:rPr>
          <w:rFonts w:hint="eastAsia" w:cs="Times New Roman"/>
          <w:highlight w:val="none"/>
          <w:lang w:val="en-US" w:eastAsia="zh-CN"/>
        </w:rPr>
        <w:t>规范</w:t>
      </w:r>
      <w:r>
        <w:rPr>
          <w:rFonts w:hint="eastAsia" w:ascii="宋体" w:hAnsi="Courier New" w:eastAsia="宋体" w:cs="Times New Roman"/>
          <w:highlight w:val="none"/>
          <w:lang w:val="en-US" w:eastAsia="zh-CN"/>
        </w:rPr>
        <w:t>》。</w:t>
      </w:r>
    </w:p>
    <w:p w14:paraId="10BC6F77">
      <w:pPr>
        <w:pStyle w:val="76"/>
        <w:numPr>
          <w:ilvl w:val="0"/>
          <w:numId w:val="16"/>
        </w:numPr>
        <w:ind w:left="425" w:leftChars="0" w:hanging="425" w:firstLineChars="0"/>
        <w:rPr>
          <w:rFonts w:hint="default" w:cs="Times New Roman"/>
          <w:highlight w:val="none"/>
          <w:u w:val="none"/>
          <w:lang w:val="en-US" w:eastAsia="zh-CN"/>
        </w:rPr>
      </w:pPr>
      <w:r>
        <w:rPr>
          <w:rFonts w:hint="eastAsia"/>
          <w:highlight w:val="none"/>
          <w:lang w:val="en-US" w:eastAsia="zh-CN"/>
        </w:rPr>
        <w:t>报价：</w:t>
      </w:r>
    </w:p>
    <w:p w14:paraId="2BCBDD09">
      <w:pPr>
        <w:pStyle w:val="14"/>
        <w:spacing w:line="360" w:lineRule="auto"/>
        <w:rPr>
          <w:b/>
          <w:highlight w:val="none"/>
        </w:rPr>
      </w:pPr>
      <w:r>
        <w:rPr>
          <w:rFonts w:hint="eastAsia"/>
          <w:highlight w:val="none"/>
          <w:lang w:eastAsia="zh-CN"/>
        </w:rPr>
        <w:t>（</w:t>
      </w:r>
      <w:r>
        <w:rPr>
          <w:rFonts w:hint="eastAsia"/>
          <w:highlight w:val="none"/>
          <w:lang w:val="en-US" w:eastAsia="zh-CN"/>
        </w:rPr>
        <w:t>1</w:t>
      </w:r>
      <w:r>
        <w:rPr>
          <w:rFonts w:hint="eastAsia"/>
          <w:highlight w:val="none"/>
          <w:lang w:eastAsia="zh-CN"/>
        </w:rPr>
        <w:t>）</w:t>
      </w:r>
      <w:r>
        <w:rPr>
          <w:rFonts w:hint="eastAsia"/>
          <w:highlight w:val="none"/>
        </w:rPr>
        <w:t>经与招标人或其指派的答疑人员充分沟通确认基础上，由投标人在满足招标人所提出的、与本项目有关的所有费用；</w:t>
      </w:r>
    </w:p>
    <w:p w14:paraId="61F69637">
      <w:pPr>
        <w:pStyle w:val="14"/>
        <w:spacing w:line="360" w:lineRule="auto"/>
        <w:rPr>
          <w:rFonts w:hint="eastAsia"/>
          <w:highlight w:val="none"/>
        </w:rPr>
      </w:pPr>
      <w:r>
        <w:rPr>
          <w:rFonts w:hint="eastAsia"/>
          <w:bCs/>
          <w:highlight w:val="none"/>
          <w:lang w:eastAsia="zh-CN"/>
        </w:rPr>
        <w:t>（</w:t>
      </w:r>
      <w:r>
        <w:rPr>
          <w:rFonts w:hint="eastAsia"/>
          <w:bCs/>
          <w:highlight w:val="none"/>
          <w:lang w:val="en-US" w:eastAsia="zh-CN"/>
        </w:rPr>
        <w:t>2</w:t>
      </w:r>
      <w:r>
        <w:rPr>
          <w:rFonts w:hint="eastAsia"/>
          <w:bCs/>
          <w:highlight w:val="none"/>
          <w:lang w:eastAsia="zh-CN"/>
        </w:rPr>
        <w:t>）</w:t>
      </w:r>
      <w:r>
        <w:rPr>
          <w:rFonts w:hint="eastAsia"/>
          <w:bCs/>
          <w:highlight w:val="none"/>
        </w:rPr>
        <w:t>设计稿的著作权、所有权等相关知识产权归招标人所有，投标人与招标人应当互相保守双方的商业秘密。对提供的参数、规格、价格、使用方法等技术资料，未经招标人书面许可，投标人不得泄露。</w:t>
      </w:r>
    </w:p>
    <w:p w14:paraId="3CE7376A">
      <w:pPr>
        <w:pStyle w:val="14"/>
        <w:spacing w:line="360" w:lineRule="auto"/>
      </w:pPr>
      <w:r>
        <w:rPr>
          <w:rFonts w:hint="eastAsia"/>
          <w:highlight w:val="none"/>
          <w:lang w:eastAsia="zh-CN"/>
        </w:rPr>
        <w:t>（</w:t>
      </w:r>
      <w:r>
        <w:rPr>
          <w:rFonts w:hint="eastAsia"/>
          <w:highlight w:val="none"/>
          <w:lang w:val="en-US" w:eastAsia="zh-CN"/>
        </w:rPr>
        <w:t>3</w:t>
      </w:r>
      <w:r>
        <w:rPr>
          <w:rFonts w:hint="eastAsia"/>
          <w:highlight w:val="none"/>
          <w:lang w:eastAsia="zh-CN"/>
        </w:rPr>
        <w:t>）</w:t>
      </w:r>
      <w:r>
        <w:rPr>
          <w:rFonts w:hint="eastAsia"/>
          <w:highlight w:val="none"/>
        </w:rPr>
        <w:t>所有报价货币单位均为：</w:t>
      </w:r>
      <w:r>
        <w:rPr>
          <w:rFonts w:hint="eastAsia"/>
          <w:b/>
          <w:bCs/>
          <w:highlight w:val="none"/>
        </w:rPr>
        <w:t>各类目总价及单价，</w:t>
      </w:r>
      <w:r>
        <w:rPr>
          <w:rFonts w:hint="eastAsia"/>
          <w:b/>
          <w:bCs/>
          <w:color w:val="000000"/>
          <w:highlight w:val="none"/>
        </w:rPr>
        <w:t>含税</w:t>
      </w:r>
      <w:r>
        <w:rPr>
          <w:rFonts w:hint="eastAsia"/>
          <w:highlight w:val="none"/>
        </w:rPr>
        <w:t>。如发</w:t>
      </w:r>
      <w:r>
        <w:rPr>
          <w:rFonts w:hint="eastAsia"/>
        </w:rPr>
        <w:t>生政策性税费降低，中标价格要进行相应调整。</w:t>
      </w:r>
    </w:p>
    <w:p w14:paraId="072D8A87">
      <w:pPr>
        <w:pStyle w:val="76"/>
        <w:numPr>
          <w:ilvl w:val="0"/>
          <w:numId w:val="0"/>
        </w:numPr>
        <w:ind w:leftChars="0"/>
        <w:rPr>
          <w:rFonts w:hint="eastAsia" w:cs="Times New Roman"/>
          <w:b w:val="0"/>
          <w:bCs w:val="0"/>
          <w:color w:val="auto"/>
          <w:highlight w:val="none"/>
          <w:u w:val="none"/>
          <w:lang w:val="en-US" w:eastAsia="zh-CN"/>
        </w:rPr>
      </w:pPr>
      <w:r>
        <w:rPr>
          <w:rFonts w:hint="eastAsia" w:cs="Times New Roman"/>
          <w:b w:val="0"/>
          <w:bCs w:val="0"/>
          <w:color w:val="auto"/>
          <w:highlight w:val="none"/>
          <w:u w:val="none"/>
          <w:lang w:val="en-US" w:eastAsia="zh-CN"/>
        </w:rPr>
        <w:t>（4）投标限价</w:t>
      </w:r>
    </w:p>
    <w:p w14:paraId="101BEE49">
      <w:pPr>
        <w:pStyle w:val="14"/>
        <w:spacing w:line="360" w:lineRule="auto"/>
        <w:rPr>
          <w:rFonts w:hint="eastAsia" w:hAnsi="宋体" w:cs="Times New Roman"/>
          <w:b/>
          <w:bCs/>
          <w:kern w:val="0"/>
          <w:szCs w:val="21"/>
          <w:lang w:val="en-US" w:eastAsia="zh-CN"/>
        </w:rPr>
      </w:pPr>
      <w:r>
        <w:rPr>
          <w:rFonts w:hint="eastAsia" w:cs="Times New Roman"/>
          <w:b w:val="0"/>
          <w:bCs w:val="0"/>
          <w:color w:val="auto"/>
          <w:highlight w:val="none"/>
          <w:u w:val="none"/>
          <w:lang w:val="en-US" w:eastAsia="zh-CN"/>
        </w:rPr>
        <w:t>①</w:t>
      </w:r>
      <w:r>
        <w:rPr>
          <w:rFonts w:hint="eastAsia" w:cs="Times New Roman"/>
          <w:b/>
          <w:bCs/>
          <w:color w:val="auto"/>
          <w:highlight w:val="none"/>
          <w:u w:val="none"/>
          <w:lang w:val="en-US" w:eastAsia="zh-CN"/>
        </w:rPr>
        <w:t>A包</w:t>
      </w:r>
      <w:r>
        <w:rPr>
          <w:rFonts w:hint="eastAsia" w:hAnsi="宋体"/>
          <w:b/>
          <w:bCs/>
          <w:kern w:val="0"/>
          <w:szCs w:val="21"/>
        </w:rPr>
        <w:t xml:space="preserve"> </w:t>
      </w:r>
      <w:r>
        <w:rPr>
          <w:rFonts w:hint="eastAsia" w:hAnsi="宋体" w:eastAsia="宋体" w:cs="Times New Roman"/>
          <w:b/>
          <w:bCs/>
          <w:kern w:val="0"/>
          <w:szCs w:val="21"/>
          <w:lang w:val="en-US" w:eastAsia="zh-CN"/>
        </w:rPr>
        <w:t>Viken耳夹式蓝牙耳机</w:t>
      </w:r>
      <w:r>
        <w:rPr>
          <w:rFonts w:hint="eastAsia" w:hAnsi="宋体" w:cs="Times New Roman"/>
          <w:b/>
          <w:bCs/>
          <w:kern w:val="0"/>
          <w:szCs w:val="21"/>
          <w:lang w:val="en-US" w:eastAsia="zh-CN"/>
        </w:rPr>
        <w:t>，投标限价为15.7万元（含税总价），超过投标限价无法投标；</w:t>
      </w:r>
    </w:p>
    <w:p w14:paraId="01BD82DA">
      <w:pPr>
        <w:pStyle w:val="14"/>
        <w:spacing w:line="360" w:lineRule="auto"/>
        <w:rPr>
          <w:rFonts w:hint="eastAsia" w:hAnsi="宋体" w:cs="Times New Roman"/>
          <w:b/>
          <w:bCs/>
          <w:kern w:val="0"/>
          <w:szCs w:val="21"/>
          <w:lang w:val="en-US" w:eastAsia="zh-CN"/>
        </w:rPr>
      </w:pPr>
      <w:r>
        <w:rPr>
          <w:rFonts w:hint="eastAsia" w:hAnsi="宋体" w:cs="Times New Roman"/>
          <w:b w:val="0"/>
          <w:bCs w:val="0"/>
          <w:kern w:val="0"/>
          <w:szCs w:val="21"/>
          <w:lang w:val="en-US" w:eastAsia="zh-CN"/>
        </w:rPr>
        <w:t>②</w:t>
      </w:r>
      <w:r>
        <w:rPr>
          <w:rFonts w:hint="eastAsia" w:hAnsi="宋体"/>
          <w:b/>
          <w:bCs/>
          <w:kern w:val="0"/>
          <w:szCs w:val="21"/>
        </w:rPr>
        <w:t xml:space="preserve">B包 </w:t>
      </w:r>
      <w:r>
        <w:rPr>
          <w:rFonts w:hint="eastAsia" w:hAnsi="宋体"/>
          <w:b/>
          <w:bCs/>
          <w:kern w:val="0"/>
          <w:szCs w:val="21"/>
          <w:lang w:val="en-US" w:eastAsia="zh-CN"/>
        </w:rPr>
        <w:t xml:space="preserve"> </w:t>
      </w:r>
      <w:r>
        <w:rPr>
          <w:rFonts w:hint="eastAsia" w:hAnsi="宋体" w:eastAsia="宋体" w:cs="Times New Roman"/>
          <w:b/>
          <w:bCs/>
          <w:kern w:val="0"/>
          <w:szCs w:val="21"/>
          <w:lang w:val="en-US" w:eastAsia="zh-CN"/>
        </w:rPr>
        <w:t>PARKER钢笔XL威雅钢杆金夹墨水商务礼盒</w:t>
      </w:r>
      <w:r>
        <w:rPr>
          <w:rFonts w:hint="eastAsia" w:hAnsi="宋体" w:cs="Times New Roman"/>
          <w:b/>
          <w:bCs/>
          <w:kern w:val="0"/>
          <w:szCs w:val="21"/>
          <w:lang w:val="en-US" w:eastAsia="zh-CN"/>
        </w:rPr>
        <w:t>，投标限价为19万元（含税总价），超过投标限价无法投标；</w:t>
      </w:r>
    </w:p>
    <w:p w14:paraId="497A2EFD">
      <w:pPr>
        <w:pStyle w:val="14"/>
        <w:spacing w:line="360" w:lineRule="auto"/>
        <w:rPr>
          <w:rFonts w:hint="eastAsia" w:hAnsi="宋体"/>
          <w:b w:val="0"/>
          <w:bCs w:val="0"/>
          <w:kern w:val="0"/>
          <w:szCs w:val="21"/>
          <w:lang w:val="en-US" w:eastAsia="zh-CN"/>
        </w:rPr>
      </w:pPr>
      <w:r>
        <w:rPr>
          <w:rFonts w:hint="eastAsia" w:hAnsi="宋体"/>
          <w:b w:val="0"/>
          <w:bCs w:val="0"/>
          <w:kern w:val="0"/>
          <w:szCs w:val="21"/>
          <w:lang w:val="en-US" w:eastAsia="zh-CN"/>
        </w:rPr>
        <w:t>③</w:t>
      </w:r>
      <w:r>
        <w:rPr>
          <w:rFonts w:hint="eastAsia" w:hAnsi="宋体"/>
          <w:b/>
          <w:bCs/>
          <w:kern w:val="0"/>
          <w:szCs w:val="21"/>
        </w:rPr>
        <w:t>C包</w:t>
      </w:r>
      <w:r>
        <w:rPr>
          <w:rFonts w:hint="eastAsia" w:hAnsi="宋体"/>
          <w:b/>
          <w:bCs/>
          <w:kern w:val="0"/>
          <w:szCs w:val="21"/>
          <w:lang w:val="en-US" w:eastAsia="zh-CN"/>
        </w:rPr>
        <w:t xml:space="preserve"> </w:t>
      </w:r>
      <w:r>
        <w:rPr>
          <w:rFonts w:hint="eastAsia" w:hAnsi="宋体"/>
          <w:b/>
          <w:bCs/>
          <w:kern w:val="0"/>
          <w:szCs w:val="21"/>
        </w:rPr>
        <w:t xml:space="preserve"> </w:t>
      </w:r>
      <w:r>
        <w:rPr>
          <w:rFonts w:hint="eastAsia" w:hAnsi="宋体" w:eastAsia="宋体" w:cs="Times New Roman"/>
          <w:b/>
          <w:bCs/>
          <w:kern w:val="0"/>
          <w:szCs w:val="21"/>
          <w:lang w:val="en-US" w:eastAsia="zh-CN"/>
        </w:rPr>
        <w:t>倍思三合一充电宝</w:t>
      </w:r>
      <w:r>
        <w:rPr>
          <w:rFonts w:hint="eastAsia" w:hAnsi="宋体" w:cs="Times New Roman"/>
          <w:b/>
          <w:bCs/>
          <w:kern w:val="0"/>
          <w:szCs w:val="21"/>
          <w:lang w:val="en-US" w:eastAsia="zh-CN"/>
        </w:rPr>
        <w:t>，投标限价为20.8万元（含税总价），超过投标限价无法投标；</w:t>
      </w:r>
    </w:p>
    <w:p w14:paraId="314AB2F3">
      <w:pPr>
        <w:pStyle w:val="14"/>
        <w:spacing w:line="360" w:lineRule="auto"/>
        <w:rPr>
          <w:rFonts w:hint="default" w:hAnsi="宋体" w:cs="Times New Roman"/>
          <w:b/>
          <w:bCs/>
          <w:kern w:val="0"/>
          <w:szCs w:val="21"/>
          <w:lang w:val="en-US" w:eastAsia="zh-CN"/>
        </w:rPr>
      </w:pPr>
      <w:r>
        <w:rPr>
          <w:rFonts w:hint="eastAsia" w:hAnsi="宋体"/>
          <w:b w:val="0"/>
          <w:bCs w:val="0"/>
          <w:kern w:val="0"/>
          <w:szCs w:val="21"/>
          <w:lang w:val="en-US" w:eastAsia="zh-CN"/>
        </w:rPr>
        <w:t>④</w:t>
      </w:r>
      <w:r>
        <w:rPr>
          <w:rFonts w:hint="eastAsia" w:hAnsi="宋体"/>
          <w:b/>
          <w:bCs/>
          <w:kern w:val="0"/>
          <w:szCs w:val="21"/>
        </w:rPr>
        <w:t xml:space="preserve">D包 </w:t>
      </w:r>
      <w:r>
        <w:rPr>
          <w:rFonts w:hint="eastAsia" w:hAnsi="宋体"/>
          <w:b/>
          <w:bCs/>
          <w:kern w:val="0"/>
          <w:szCs w:val="21"/>
          <w:lang w:val="en-US" w:eastAsia="zh-CN"/>
        </w:rPr>
        <w:t xml:space="preserve"> </w:t>
      </w:r>
      <w:r>
        <w:rPr>
          <w:rFonts w:hint="eastAsia" w:hAnsi="宋体" w:eastAsia="宋体" w:cs="Times New Roman"/>
          <w:b/>
          <w:bCs/>
          <w:kern w:val="0"/>
          <w:szCs w:val="21"/>
          <w:lang w:val="en-US" w:eastAsia="zh-CN"/>
        </w:rPr>
        <w:t>黑陶手绘看盘</w:t>
      </w:r>
      <w:r>
        <w:rPr>
          <w:rFonts w:hint="eastAsia" w:hAnsi="宋体" w:cs="Times New Roman"/>
          <w:b/>
          <w:bCs/>
          <w:kern w:val="0"/>
          <w:szCs w:val="21"/>
          <w:lang w:val="en-US" w:eastAsia="zh-CN"/>
        </w:rPr>
        <w:t>，投标限价为13.3万元（含税总价），超过投标限价无法投标；</w:t>
      </w:r>
    </w:p>
    <w:bookmarkEnd w:id="13"/>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报名</w:t>
      </w:r>
    </w:p>
    <w:p w14:paraId="09A92690">
      <w:pPr>
        <w:pStyle w:val="76"/>
        <w:numPr>
          <w:ilvl w:val="0"/>
          <w:numId w:val="17"/>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11</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2</w:t>
      </w:r>
      <w:bookmarkStart w:id="37" w:name="_GoBack"/>
      <w:bookmarkEnd w:id="37"/>
      <w:r>
        <w:rPr>
          <w:rFonts w:hint="eastAsia" w:cs="Times New Roman"/>
          <w:highlight w:val="none"/>
          <w:u w:val="single"/>
          <w:lang w:val="en-US" w:eastAsia="zh-CN"/>
        </w:rPr>
        <w:t>7</w:t>
      </w:r>
      <w:r>
        <w:rPr>
          <w:rFonts w:hint="eastAsia" w:ascii="宋体" w:hAnsi="Courier New" w:eastAsia="宋体" w:cs="Times New Roman"/>
          <w:highlight w:val="none"/>
          <w:u w:val="single"/>
          <w:lang w:val="en-US" w:eastAsia="zh-CN"/>
        </w:rPr>
        <w:t>日</w:t>
      </w:r>
    </w:p>
    <w:p w14:paraId="41FDA27A">
      <w:pPr>
        <w:pStyle w:val="76"/>
        <w:numPr>
          <w:ilvl w:val="0"/>
          <w:numId w:val="17"/>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招标文件领取方式</w:t>
      </w:r>
      <w:r>
        <w:rPr>
          <w:rFonts w:hint="eastAsia" w:cs="Times New Roman"/>
          <w:highlight w:val="none"/>
          <w:lang w:val="en-US" w:eastAsia="zh-CN"/>
        </w:rPr>
        <w:t>：</w:t>
      </w:r>
      <w:r>
        <w:rPr>
          <w:rFonts w:hint="eastAsia" w:cs="Times New Roman"/>
          <w:b/>
          <w:bCs/>
          <w:highlight w:val="none"/>
          <w:lang w:val="en-US" w:eastAsia="zh-CN"/>
        </w:rPr>
        <w:t>投标人应标报名成功后，在中国重汽e采通平台上获取招标文件</w:t>
      </w:r>
      <w:r>
        <w:rPr>
          <w:rFonts w:hint="eastAsia" w:cs="Times New Roman"/>
          <w:highlight w:val="none"/>
          <w:lang w:val="en-US" w:eastAsia="zh-CN"/>
        </w:rPr>
        <w:t>。</w:t>
      </w:r>
    </w:p>
    <w:p w14:paraId="62084E4B">
      <w:pPr>
        <w:pStyle w:val="76"/>
        <w:numPr>
          <w:ilvl w:val="0"/>
          <w:numId w:val="17"/>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12</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2</w:t>
      </w:r>
      <w:r>
        <w:rPr>
          <w:rFonts w:hint="eastAsia" w:ascii="宋体" w:hAnsi="Courier New" w:eastAsia="宋体" w:cs="Times New Roman"/>
          <w:highlight w:val="none"/>
          <w:u w:val="single"/>
          <w:lang w:val="en-US" w:eastAsia="zh-CN"/>
        </w:rPr>
        <w:t>日</w:t>
      </w:r>
      <w:r>
        <w:rPr>
          <w:rFonts w:hint="eastAsia" w:cs="Times New Roman"/>
          <w:highlight w:val="none"/>
          <w:u w:val="single"/>
          <w:lang w:val="en-US" w:eastAsia="zh-CN"/>
        </w:rPr>
        <w:t>12:00</w:t>
      </w:r>
      <w:r>
        <w:rPr>
          <w:rFonts w:hint="eastAsia" w:ascii="宋体" w:hAnsi="Courier New" w:eastAsia="宋体" w:cs="Times New Roman"/>
          <w:highlight w:val="none"/>
          <w:u w:val="single"/>
          <w:lang w:val="en-US" w:eastAsia="zh-CN"/>
        </w:rPr>
        <w:t>前</w:t>
      </w:r>
    </w:p>
    <w:p w14:paraId="62CB87C4">
      <w:pPr>
        <w:pStyle w:val="76"/>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07C0B551">
      <w:pPr>
        <w:pStyle w:val="76"/>
        <w:numPr>
          <w:ilvl w:val="0"/>
          <w:numId w:val="17"/>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12</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2</w:t>
      </w:r>
      <w:r>
        <w:rPr>
          <w:rFonts w:hint="eastAsia" w:ascii="宋体" w:hAnsi="Courier New" w:eastAsia="宋体" w:cs="Times New Roman"/>
          <w:highlight w:val="none"/>
          <w:u w:val="single"/>
          <w:lang w:val="en-US" w:eastAsia="zh-CN"/>
        </w:rPr>
        <w:t>日</w:t>
      </w:r>
      <w:r>
        <w:rPr>
          <w:rFonts w:hint="eastAsia" w:cs="Times New Roman"/>
          <w:highlight w:val="none"/>
          <w:u w:val="single"/>
          <w:lang w:val="en-US" w:eastAsia="zh-CN"/>
        </w:rPr>
        <w:t>17:00</w:t>
      </w:r>
      <w:r>
        <w:rPr>
          <w:rFonts w:hint="eastAsia" w:ascii="宋体" w:hAnsi="Courier New" w:eastAsia="宋体" w:cs="Times New Roman"/>
          <w:highlight w:val="none"/>
          <w:u w:val="single"/>
          <w:lang w:val="en-US" w:eastAsia="zh-CN"/>
        </w:rPr>
        <w:t>前</w:t>
      </w:r>
    </w:p>
    <w:p w14:paraId="59AC1516">
      <w:pPr>
        <w:pStyle w:val="76"/>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7AB51490">
      <w:pPr>
        <w:pStyle w:val="76"/>
        <w:keepNext w:val="0"/>
        <w:keepLines w:val="0"/>
        <w:pageBreakBefore w:val="0"/>
        <w:widowControl w:val="0"/>
        <w:numPr>
          <w:ilvl w:val="0"/>
          <w:numId w:val="17"/>
        </w:numPr>
        <w:kinsoku/>
        <w:wordWrap/>
        <w:overflowPunct/>
        <w:topLinePunct w:val="0"/>
        <w:autoSpaceDE/>
        <w:autoSpaceDN/>
        <w:bidi w:val="0"/>
        <w:adjustRightInd/>
        <w:snapToGrid/>
        <w:ind w:left="0" w:firstLine="0"/>
        <w:textAlignment w:val="auto"/>
        <w:rPr>
          <w:rFonts w:hint="eastAsia"/>
          <w:highlight w:val="none"/>
          <w:lang w:val="en-US" w:eastAsia="zh-CN"/>
        </w:rPr>
      </w:pPr>
      <w:r>
        <w:rPr>
          <w:rFonts w:hint="eastAsia"/>
          <w:b/>
          <w:bCs/>
          <w:lang w:val="en-US" w:eastAsia="zh-CN"/>
        </w:rPr>
        <w:t>报名方式</w:t>
      </w:r>
      <w:r>
        <w:rPr>
          <w:rFonts w:hint="eastAsia"/>
          <w:lang w:val="en-US" w:eastAsia="zh-CN"/>
        </w:rPr>
        <w:t>：拟投标人根据招标人在中国重汽官网等公开媒体上发布的招标信息，在“中国重汽e采通”平台报名。按照中国重汽e采通“SRM非生产供应商注册手册</w:t>
      </w:r>
      <w:r>
        <w:rPr>
          <w:rFonts w:hint="eastAsia"/>
          <w:highlight w:val="none"/>
          <w:lang w:val="en-US" w:eastAsia="zh-CN"/>
        </w:rPr>
        <w:t>”（附件）</w:t>
      </w:r>
      <w:r>
        <w:rPr>
          <w:rFonts w:hint="eastAsia"/>
          <w:lang w:val="en-US" w:eastAsia="zh-CN"/>
        </w:rPr>
        <w:t>进行注册，注册完毕后按照“SRM系统供应商用户手册</w:t>
      </w:r>
      <w:r>
        <w:rPr>
          <w:rFonts w:hint="eastAsia"/>
          <w:highlight w:val="none"/>
          <w:lang w:val="en-US" w:eastAsia="zh-CN"/>
        </w:rPr>
        <w:t>（附件）”</w:t>
      </w:r>
      <w:r>
        <w:rPr>
          <w:rFonts w:hint="eastAsia"/>
          <w:lang w:val="en-US" w:eastAsia="zh-CN"/>
        </w:rPr>
        <w:t>，登录重汽e采通平台后进入“供应商应标”，选择对应的项目，点击“应标”后按照招标文件中</w:t>
      </w:r>
      <w:r>
        <w:rPr>
          <w:rFonts w:hint="eastAsia"/>
          <w:highlight w:val="none"/>
          <w:lang w:val="en-US" w:eastAsia="zh-CN"/>
        </w:rPr>
        <w:t>“投标说明-投标文件的组成-资质文件”的要求准</w:t>
      </w:r>
      <w:r>
        <w:rPr>
          <w:rFonts w:hint="eastAsia"/>
          <w:lang w:val="en-US" w:eastAsia="zh-CN"/>
        </w:rPr>
        <w:t>备资料，资质审查通过即为报名成功；公示期间请尽快报名，应标报名成功后，</w:t>
      </w:r>
      <w:r>
        <w:rPr>
          <w:rFonts w:hint="eastAsia"/>
          <w:highlight w:val="none"/>
          <w:lang w:val="en-US" w:eastAsia="zh-CN"/>
        </w:rPr>
        <w:t>进入“供应商投标”环节。</w:t>
      </w:r>
    </w:p>
    <w:p w14:paraId="6DC2B408">
      <w:pPr>
        <w:pStyle w:val="76"/>
        <w:numPr>
          <w:ilvl w:val="0"/>
          <w:numId w:val="17"/>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应标截止时间</w:t>
      </w:r>
      <w:r>
        <w:rPr>
          <w:rFonts w:hint="eastAsia" w:cs="Times New Roman"/>
          <w:highlight w:val="none"/>
          <w:lang w:val="en-US" w:eastAsia="zh-CN"/>
        </w:rPr>
        <w:t>：</w:t>
      </w:r>
      <w:r>
        <w:rPr>
          <w:rFonts w:hint="eastAsia" w:cs="Times New Roman"/>
          <w:highlight w:val="none"/>
          <w:u w:val="single"/>
          <w:lang w:val="en-US" w:eastAsia="zh-CN"/>
        </w:rPr>
        <w:t>2025年12月1日17:00</w:t>
      </w:r>
    </w:p>
    <w:p w14:paraId="0C785EC5">
      <w:pPr>
        <w:pStyle w:val="72"/>
        <w:rPr>
          <w:rFonts w:hint="eastAsia" w:ascii="宋体" w:hAnsi="Courier New" w:eastAsia="宋体" w:cs="Times New Roman"/>
          <w:highlight w:val="none"/>
          <w:lang w:val="en-US" w:eastAsia="zh-CN"/>
        </w:rPr>
      </w:pPr>
      <w:r>
        <w:rPr>
          <w:rFonts w:hint="eastAsia" w:hAnsi="Courier New" w:cs="Times New Roman"/>
          <w:highlight w:val="none"/>
        </w:rPr>
        <w:t>投标</w:t>
      </w:r>
      <w:r>
        <w:rPr>
          <w:rFonts w:hint="eastAsia" w:cs="Times New Roman"/>
          <w:highlight w:val="none"/>
          <w:lang w:val="en-US" w:eastAsia="zh-CN"/>
        </w:rPr>
        <w:t>说明</w:t>
      </w:r>
    </w:p>
    <w:p w14:paraId="59493963">
      <w:pPr>
        <w:pStyle w:val="73"/>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highlight w:val="none"/>
          <w:lang w:val="en-US" w:eastAsia="zh-CN"/>
        </w:rPr>
      </w:pPr>
      <w:r>
        <w:rPr>
          <w:rFonts w:hint="eastAsia"/>
          <w:lang w:val="en-US" w:eastAsia="zh-CN"/>
        </w:rPr>
        <w:t>投标人编写的投标文件</w:t>
      </w:r>
      <w:r>
        <w:rPr>
          <w:rFonts w:hint="eastAsia"/>
          <w:highlight w:val="none"/>
          <w:lang w:val="en-US" w:eastAsia="zh-CN"/>
        </w:rPr>
        <w:t>由《投标文件（资质标）》、《投标文件（技术标）》、《投标文件（商务标）》（开标一览表）文件组成，共计</w:t>
      </w:r>
      <w:r>
        <w:rPr>
          <w:rFonts w:hint="eastAsia"/>
          <w:highlight w:val="none"/>
          <w:u w:val="single"/>
          <w:lang w:val="en-US" w:eastAsia="zh-CN"/>
        </w:rPr>
        <w:t>3</w:t>
      </w:r>
      <w:r>
        <w:rPr>
          <w:rFonts w:hint="eastAsia"/>
          <w:highlight w:val="none"/>
          <w:lang w:val="en-US" w:eastAsia="zh-CN"/>
        </w:rPr>
        <w:t>个文件。</w:t>
      </w:r>
    </w:p>
    <w:p w14:paraId="2DD7BA97">
      <w:pPr>
        <w:pStyle w:val="74"/>
        <w:numPr>
          <w:ilvl w:val="0"/>
          <w:numId w:val="19"/>
        </w:numPr>
        <w:ind w:left="425" w:leftChars="0" w:hanging="425" w:firstLineChars="0"/>
        <w:rPr>
          <w:b w:val="0"/>
          <w:bCs/>
          <w:highlight w:val="none"/>
        </w:rPr>
      </w:pPr>
      <w:r>
        <w:rPr>
          <w:rFonts w:hint="eastAsia"/>
          <w:b w:val="0"/>
          <w:bCs/>
          <w:highlight w:val="none"/>
        </w:rPr>
        <w:t>资质文件：</w:t>
      </w:r>
    </w:p>
    <w:p w14:paraId="635707E2">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投标书（格式1）加盖公章</w:t>
      </w:r>
    </w:p>
    <w:p w14:paraId="4825B62D">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法人授权委托书（格式2）加盖公章</w:t>
      </w:r>
    </w:p>
    <w:p w14:paraId="189F7924">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企业情况、从业经历一览表及企业荣誉（格式3）</w:t>
      </w:r>
    </w:p>
    <w:p w14:paraId="67754C54">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投标人近三年为大型企业提供物料业绩证明材料。</w:t>
      </w:r>
    </w:p>
    <w:p w14:paraId="50B3D706">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响应承诺书：包含服务承诺、响应承诺、售后及质保期承诺、交付期承诺等四项内容，均需说明，格式自拟，加盖公章。</w:t>
      </w:r>
    </w:p>
    <w:p w14:paraId="785CF589">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投标人近三年的公司财务报表复印件加盖公章。</w:t>
      </w:r>
    </w:p>
    <w:p w14:paraId="7CE9A567">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具有统一社会信用代码的三证合一的营业执照原件复印件加盖公章。</w:t>
      </w:r>
    </w:p>
    <w:p w14:paraId="32B3A552">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信用证明，包含银行资信证明、国家企业信用信息公示系统或信用中国等官方网站提供的无违反合同约定或违反法律法规等的失信行为的证明原件及复印件并加盖公章；企业最近半年完税证明、信用证明材料（征信报告）；年度纳税信用评价信息（可从电子税务局查询截图，需加盖公章）；企业对外担保说明（写明贵单位对外有无对外担保和质押业务，需加盖公章）。</w:t>
      </w:r>
    </w:p>
    <w:p w14:paraId="7CB3CB10">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投标人可以证明企业实力的其他证明材料（可根据实际自行增加）。</w:t>
      </w:r>
    </w:p>
    <w:p w14:paraId="3AB968FF">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投标保证金缴纳凭证。法定代表人身份证明；</w:t>
      </w:r>
    </w:p>
    <w:p w14:paraId="0FCAA68A">
      <w:pPr>
        <w:pStyle w:val="75"/>
        <w:keepNext w:val="0"/>
        <w:keepLines w:val="0"/>
        <w:pageBreakBefore w:val="0"/>
        <w:widowControl w:val="0"/>
        <w:numPr>
          <w:ilvl w:val="0"/>
          <w:numId w:val="21"/>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35D922EF">
      <w:pPr>
        <w:pStyle w:val="74"/>
        <w:numPr>
          <w:ilvl w:val="0"/>
          <w:numId w:val="19"/>
        </w:numPr>
        <w:ind w:left="425" w:leftChars="0" w:hanging="425" w:firstLineChars="0"/>
        <w:rPr>
          <w:rFonts w:hint="eastAsia" w:cs="Times New Roman"/>
          <w:b w:val="0"/>
          <w:bCs/>
          <w:highlight w:val="none"/>
        </w:rPr>
      </w:pPr>
      <w:r>
        <w:rPr>
          <w:rFonts w:hint="eastAsia" w:cs="Times New Roman"/>
          <w:b w:val="0"/>
          <w:bCs/>
          <w:highlight w:val="none"/>
        </w:rPr>
        <w:t>技术标：</w:t>
      </w:r>
      <w:r>
        <w:rPr>
          <w:rFonts w:hint="eastAsia" w:cs="Times New Roman"/>
          <w:b w:val="0"/>
          <w:bCs/>
          <w:highlight w:val="none"/>
          <w:lang w:val="en-US" w:eastAsia="zh-CN"/>
        </w:rPr>
        <w:t>依据技术评分标准要求准备材料。</w:t>
      </w:r>
    </w:p>
    <w:p w14:paraId="47175D6D">
      <w:pPr>
        <w:pStyle w:val="74"/>
        <w:numPr>
          <w:ilvl w:val="0"/>
          <w:numId w:val="19"/>
        </w:numPr>
        <w:ind w:left="425" w:leftChars="0" w:hanging="425" w:firstLineChars="0"/>
        <w:rPr>
          <w:rFonts w:hint="eastAsia" w:cs="Times New Roman"/>
          <w:b w:val="0"/>
          <w:bCs/>
          <w:highlight w:val="none"/>
        </w:rPr>
      </w:pPr>
      <w:r>
        <w:rPr>
          <w:rFonts w:hint="eastAsia" w:cs="Times New Roman"/>
          <w:b w:val="0"/>
          <w:bCs/>
          <w:highlight w:val="none"/>
        </w:rPr>
        <w:t>商务标：</w:t>
      </w:r>
    </w:p>
    <w:p w14:paraId="1FEC8CF2">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0" w:firstLine="0"/>
        <w:textAlignment w:val="auto"/>
        <w:rPr>
          <w:highlight w:val="none"/>
        </w:rPr>
      </w:pPr>
      <w:r>
        <w:rPr>
          <w:rFonts w:hint="eastAsia"/>
          <w:highlight w:val="none"/>
          <w:lang w:val="en-US" w:eastAsia="zh-CN"/>
        </w:rPr>
        <w:t>开标一览表；</w:t>
      </w:r>
    </w:p>
    <w:p w14:paraId="0DFA5CBE">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0" w:firstLine="0"/>
        <w:textAlignment w:val="auto"/>
        <w:rPr>
          <w:highlight w:val="none"/>
        </w:rPr>
      </w:pPr>
      <w:r>
        <w:rPr>
          <w:rFonts w:hint="eastAsia"/>
          <w:highlight w:val="none"/>
        </w:rPr>
        <w:t>投标函（格式见附件）</w:t>
      </w:r>
      <w:r>
        <w:rPr>
          <w:rFonts w:hint="eastAsia"/>
          <w:highlight w:val="none"/>
          <w:lang w:eastAsia="zh-CN"/>
        </w:rPr>
        <w:t>；</w:t>
      </w:r>
    </w:p>
    <w:p w14:paraId="5C36F232">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0" w:firstLine="0"/>
        <w:textAlignment w:val="auto"/>
        <w:rPr>
          <w:highlight w:val="none"/>
        </w:rPr>
      </w:pPr>
      <w:r>
        <w:rPr>
          <w:rFonts w:hint="eastAsia"/>
          <w:highlight w:val="none"/>
        </w:rPr>
        <w:t>商务条款偏离表；</w:t>
      </w:r>
    </w:p>
    <w:p w14:paraId="0BD75519">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0" w:firstLine="0"/>
        <w:textAlignment w:val="auto"/>
        <w:rPr>
          <w:rFonts w:hint="eastAsia"/>
          <w:highlight w:val="none"/>
          <w:lang w:val="en-US" w:eastAsia="zh-CN"/>
        </w:rPr>
      </w:pPr>
      <w:r>
        <w:rPr>
          <w:rFonts w:hint="eastAsia"/>
          <w:highlight w:val="none"/>
        </w:rPr>
        <w:t>投标货物报价表</w:t>
      </w:r>
      <w:r>
        <w:rPr>
          <w:rFonts w:hint="eastAsia"/>
          <w:highlight w:val="none"/>
          <w:lang w:eastAsia="zh-CN"/>
        </w:rPr>
        <w:t>。</w:t>
      </w:r>
    </w:p>
    <w:p w14:paraId="11AE9EA4">
      <w:pPr>
        <w:pStyle w:val="75"/>
        <w:keepNext w:val="0"/>
        <w:keepLines w:val="0"/>
        <w:pageBreakBefore w:val="0"/>
        <w:widowControl w:val="0"/>
        <w:numPr>
          <w:ilvl w:val="0"/>
          <w:numId w:val="21"/>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w:t>
      </w:r>
    </w:p>
    <w:p w14:paraId="53DECED4">
      <w:pPr>
        <w:pStyle w:val="75"/>
        <w:keepNext w:val="0"/>
        <w:keepLines w:val="0"/>
        <w:pageBreakBefore w:val="0"/>
        <w:widowControl w:val="0"/>
        <w:numPr>
          <w:ilvl w:val="0"/>
          <w:numId w:val="0"/>
        </w:numPr>
        <w:kinsoku/>
        <w:wordWrap/>
        <w:overflowPunct/>
        <w:topLinePunct w:val="0"/>
        <w:autoSpaceDE/>
        <w:autoSpaceDN/>
        <w:bidi w:val="0"/>
        <w:adjustRightInd/>
        <w:snapToGrid/>
        <w:ind w:left="10" w:leftChars="0"/>
        <w:textAlignment w:val="auto"/>
        <w:rPr>
          <w:rFonts w:hint="eastAsia" w:cs="Times New Roman"/>
          <w:b w:val="0"/>
          <w:bCs/>
          <w:highlight w:val="none"/>
        </w:rPr>
      </w:pPr>
      <w:r>
        <w:rPr>
          <w:rFonts w:hint="eastAsia" w:cs="Times New Roman"/>
          <w:b w:val="0"/>
          <w:bCs/>
          <w:highlight w:val="none"/>
          <w:lang w:val="en-US" w:eastAsia="zh-CN"/>
        </w:rPr>
        <w:t>①A包，Viken耳夹式蓝牙耳机：</w:t>
      </w:r>
      <w:r>
        <w:rPr>
          <w:rFonts w:hint="eastAsia" w:cs="Times New Roman"/>
          <w:b w:val="0"/>
          <w:bCs/>
          <w:highlight w:val="none"/>
        </w:rPr>
        <w:t>人民币</w:t>
      </w:r>
      <w:r>
        <w:rPr>
          <w:rFonts w:hint="eastAsia" w:cs="Times New Roman"/>
          <w:b w:val="0"/>
          <w:bCs/>
          <w:highlight w:val="yellow"/>
          <w:u w:val="single"/>
          <w:lang w:val="en-US" w:eastAsia="zh-CN"/>
        </w:rPr>
        <w:t>15.7</w:t>
      </w:r>
      <w:r>
        <w:rPr>
          <w:rFonts w:hint="eastAsia" w:cs="Times New Roman"/>
          <w:b w:val="0"/>
          <w:bCs/>
          <w:highlight w:val="none"/>
        </w:rPr>
        <w:t>万元（含</w:t>
      </w:r>
      <w:r>
        <w:rPr>
          <w:rFonts w:hint="eastAsia" w:cs="Times New Roman"/>
          <w:b w:val="0"/>
          <w:bCs/>
          <w:highlight w:val="yellow"/>
          <w:u w:val="single"/>
          <w:lang w:val="en-US" w:eastAsia="zh-CN"/>
        </w:rPr>
        <w:t xml:space="preserve"> 13 </w:t>
      </w:r>
      <w:r>
        <w:rPr>
          <w:rFonts w:hint="eastAsia" w:cs="Times New Roman"/>
          <w:b w:val="0"/>
          <w:bCs/>
          <w:highlight w:val="none"/>
        </w:rPr>
        <w:t>%增值税），超过投标限价无法投标。</w:t>
      </w:r>
    </w:p>
    <w:p w14:paraId="524E108E">
      <w:pPr>
        <w:pStyle w:val="75"/>
        <w:keepNext w:val="0"/>
        <w:keepLines w:val="0"/>
        <w:pageBreakBefore w:val="0"/>
        <w:widowControl w:val="0"/>
        <w:numPr>
          <w:ilvl w:val="0"/>
          <w:numId w:val="0"/>
        </w:numPr>
        <w:kinsoku/>
        <w:wordWrap/>
        <w:overflowPunct/>
        <w:topLinePunct w:val="0"/>
        <w:autoSpaceDE/>
        <w:autoSpaceDN/>
        <w:bidi w:val="0"/>
        <w:adjustRightInd/>
        <w:snapToGrid/>
        <w:ind w:left="10" w:leftChars="0"/>
        <w:textAlignment w:val="auto"/>
        <w:rPr>
          <w:rFonts w:hint="default" w:cs="Times New Roman"/>
          <w:b w:val="0"/>
          <w:bCs/>
          <w:highlight w:val="none"/>
          <w:lang w:val="en-US" w:eastAsia="zh-CN"/>
        </w:rPr>
      </w:pPr>
      <w:r>
        <w:rPr>
          <w:rFonts w:hint="eastAsia" w:cs="Times New Roman"/>
          <w:b w:val="0"/>
          <w:bCs/>
          <w:highlight w:val="none"/>
          <w:lang w:val="en-US" w:eastAsia="zh-CN"/>
        </w:rPr>
        <w:t>②B包，PARKER钢笔XL威雅钢杆金夹墨水商务礼盒：</w:t>
      </w:r>
      <w:r>
        <w:rPr>
          <w:rFonts w:hint="eastAsia" w:cs="Times New Roman"/>
          <w:b w:val="0"/>
          <w:bCs/>
          <w:highlight w:val="none"/>
        </w:rPr>
        <w:t>人民币</w:t>
      </w:r>
      <w:r>
        <w:rPr>
          <w:rFonts w:hint="eastAsia" w:cs="Times New Roman"/>
          <w:b w:val="0"/>
          <w:bCs/>
          <w:highlight w:val="yellow"/>
          <w:u w:val="single"/>
          <w:lang w:val="en-US" w:eastAsia="zh-CN"/>
        </w:rPr>
        <w:t xml:space="preserve"> 19 </w:t>
      </w:r>
      <w:r>
        <w:rPr>
          <w:rFonts w:hint="eastAsia" w:cs="Times New Roman"/>
          <w:b w:val="0"/>
          <w:bCs/>
          <w:highlight w:val="none"/>
        </w:rPr>
        <w:t>万元（含</w:t>
      </w:r>
      <w:r>
        <w:rPr>
          <w:rFonts w:hint="eastAsia" w:cs="Times New Roman"/>
          <w:b w:val="0"/>
          <w:bCs/>
          <w:highlight w:val="yellow"/>
          <w:u w:val="single"/>
          <w:lang w:val="en-US" w:eastAsia="zh-CN"/>
        </w:rPr>
        <w:t xml:space="preserve"> 13 </w:t>
      </w:r>
      <w:r>
        <w:rPr>
          <w:rFonts w:hint="eastAsia" w:cs="Times New Roman"/>
          <w:b w:val="0"/>
          <w:bCs/>
          <w:highlight w:val="none"/>
        </w:rPr>
        <w:t>%增值税），超过投标限价无法投标。</w:t>
      </w:r>
    </w:p>
    <w:p w14:paraId="32AE08D6">
      <w:pPr>
        <w:pStyle w:val="75"/>
        <w:keepNext w:val="0"/>
        <w:keepLines w:val="0"/>
        <w:pageBreakBefore w:val="0"/>
        <w:widowControl w:val="0"/>
        <w:numPr>
          <w:ilvl w:val="0"/>
          <w:numId w:val="0"/>
        </w:numPr>
        <w:kinsoku/>
        <w:wordWrap/>
        <w:overflowPunct/>
        <w:topLinePunct w:val="0"/>
        <w:autoSpaceDE/>
        <w:autoSpaceDN/>
        <w:bidi w:val="0"/>
        <w:adjustRightInd/>
        <w:snapToGrid/>
        <w:ind w:left="10" w:leftChars="0"/>
        <w:textAlignment w:val="auto"/>
        <w:rPr>
          <w:rFonts w:hint="default" w:cs="Times New Roman"/>
          <w:b w:val="0"/>
          <w:bCs/>
          <w:highlight w:val="none"/>
          <w:lang w:val="en-US" w:eastAsia="zh-CN"/>
        </w:rPr>
      </w:pPr>
      <w:r>
        <w:rPr>
          <w:rFonts w:hint="eastAsia" w:cs="Times New Roman"/>
          <w:b w:val="0"/>
          <w:bCs/>
          <w:highlight w:val="none"/>
          <w:lang w:val="en-US" w:eastAsia="zh-CN"/>
        </w:rPr>
        <w:t>③C包，倍思三合一充电宝：</w:t>
      </w:r>
      <w:r>
        <w:rPr>
          <w:rFonts w:hint="eastAsia" w:cs="Times New Roman"/>
          <w:b w:val="0"/>
          <w:bCs/>
          <w:highlight w:val="none"/>
        </w:rPr>
        <w:t>人民币</w:t>
      </w:r>
      <w:r>
        <w:rPr>
          <w:rFonts w:hint="eastAsia" w:cs="Times New Roman"/>
          <w:b w:val="0"/>
          <w:bCs/>
          <w:highlight w:val="yellow"/>
          <w:u w:val="single"/>
          <w:lang w:val="en-US" w:eastAsia="zh-CN"/>
        </w:rPr>
        <w:t xml:space="preserve"> 20.8</w:t>
      </w:r>
      <w:r>
        <w:rPr>
          <w:rFonts w:hint="eastAsia" w:cs="Times New Roman"/>
          <w:b w:val="0"/>
          <w:bCs/>
          <w:highlight w:val="none"/>
        </w:rPr>
        <w:t>万元（含</w:t>
      </w:r>
      <w:r>
        <w:rPr>
          <w:rFonts w:hint="eastAsia" w:cs="Times New Roman"/>
          <w:b w:val="0"/>
          <w:bCs/>
          <w:highlight w:val="yellow"/>
          <w:u w:val="single"/>
          <w:lang w:val="en-US" w:eastAsia="zh-CN"/>
        </w:rPr>
        <w:t xml:space="preserve"> 13 </w:t>
      </w:r>
      <w:r>
        <w:rPr>
          <w:rFonts w:hint="eastAsia" w:cs="Times New Roman"/>
          <w:b w:val="0"/>
          <w:bCs/>
          <w:highlight w:val="none"/>
        </w:rPr>
        <w:t>%增值税），超过投标限价无法投标。</w:t>
      </w:r>
    </w:p>
    <w:p w14:paraId="4FDFBDB0">
      <w:pPr>
        <w:pStyle w:val="75"/>
        <w:keepNext w:val="0"/>
        <w:keepLines w:val="0"/>
        <w:pageBreakBefore w:val="0"/>
        <w:widowControl w:val="0"/>
        <w:numPr>
          <w:ilvl w:val="0"/>
          <w:numId w:val="0"/>
        </w:numPr>
        <w:kinsoku/>
        <w:wordWrap/>
        <w:overflowPunct/>
        <w:topLinePunct w:val="0"/>
        <w:autoSpaceDE/>
        <w:autoSpaceDN/>
        <w:bidi w:val="0"/>
        <w:adjustRightInd/>
        <w:snapToGrid/>
        <w:ind w:left="10" w:leftChars="0"/>
        <w:textAlignment w:val="auto"/>
        <w:rPr>
          <w:rFonts w:hint="default" w:cs="Times New Roman"/>
          <w:b w:val="0"/>
          <w:bCs/>
          <w:highlight w:val="none"/>
          <w:lang w:val="en-US" w:eastAsia="zh-CN"/>
        </w:rPr>
      </w:pPr>
      <w:r>
        <w:rPr>
          <w:rFonts w:hint="eastAsia" w:cs="Times New Roman"/>
          <w:b w:val="0"/>
          <w:bCs/>
          <w:highlight w:val="none"/>
          <w:lang w:val="en-US" w:eastAsia="zh-CN"/>
        </w:rPr>
        <w:t>④D包，黑陶手绘看盘：</w:t>
      </w:r>
      <w:r>
        <w:rPr>
          <w:rFonts w:hint="eastAsia" w:cs="Times New Roman"/>
          <w:b w:val="0"/>
          <w:bCs/>
          <w:highlight w:val="none"/>
        </w:rPr>
        <w:t>人民币</w:t>
      </w:r>
      <w:r>
        <w:rPr>
          <w:rFonts w:hint="eastAsia" w:cs="Times New Roman"/>
          <w:b w:val="0"/>
          <w:bCs/>
          <w:highlight w:val="yellow"/>
          <w:u w:val="single"/>
          <w:lang w:val="en-US" w:eastAsia="zh-CN"/>
        </w:rPr>
        <w:t xml:space="preserve"> 13.3 </w:t>
      </w:r>
      <w:r>
        <w:rPr>
          <w:rFonts w:hint="eastAsia" w:cs="Times New Roman"/>
          <w:b w:val="0"/>
          <w:bCs/>
          <w:highlight w:val="none"/>
        </w:rPr>
        <w:t>万元（含</w:t>
      </w:r>
      <w:r>
        <w:rPr>
          <w:rFonts w:hint="eastAsia" w:cs="Times New Roman"/>
          <w:b w:val="0"/>
          <w:bCs/>
          <w:highlight w:val="yellow"/>
          <w:u w:val="single"/>
          <w:lang w:val="en-US" w:eastAsia="zh-CN"/>
        </w:rPr>
        <w:t xml:space="preserve"> 13 </w:t>
      </w:r>
      <w:r>
        <w:rPr>
          <w:rFonts w:hint="eastAsia" w:cs="Times New Roman"/>
          <w:b w:val="0"/>
          <w:bCs/>
          <w:highlight w:val="none"/>
        </w:rPr>
        <w:t>%增值税），超过投标限价无法投标。</w:t>
      </w:r>
    </w:p>
    <w:p w14:paraId="70E2A45F">
      <w:pPr>
        <w:pStyle w:val="73"/>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1F3B372B">
      <w:pPr>
        <w:keepNext w:val="0"/>
        <w:keepLines w:val="0"/>
        <w:pageBreakBefore w:val="0"/>
        <w:widowControl w:val="0"/>
        <w:numPr>
          <w:ilvl w:val="0"/>
          <w:numId w:val="23"/>
        </w:numPr>
        <w:kinsoku/>
        <w:wordWrap/>
        <w:overflowPunct/>
        <w:topLinePunct w:val="0"/>
        <w:autoSpaceDE/>
        <w:autoSpaceDN/>
        <w:bidi w:val="0"/>
        <w:adjustRightInd/>
        <w:snapToGrid/>
        <w:spacing w:line="360" w:lineRule="auto"/>
        <w:ind w:leftChars="0"/>
        <w:textAlignment w:val="auto"/>
        <w:rPr>
          <w:rFonts w:hint="eastAsia"/>
          <w:lang w:val="en-US" w:eastAsia="zh-CN"/>
        </w:rPr>
      </w:pPr>
      <w:r>
        <w:rPr>
          <w:rFonts w:hint="eastAsia"/>
          <w:lang w:val="en-US" w:eastAsia="zh-CN"/>
        </w:rPr>
        <w:t>投标方式：在中国重汽e采通平台应标成功后，进入“供应商投标”环节，投递盖章扫描版电子</w:t>
      </w:r>
      <w:r>
        <w:rPr>
          <w:rFonts w:hint="eastAsia"/>
          <w:highlight w:val="none"/>
          <w:lang w:val="en-US" w:eastAsia="zh-CN"/>
        </w:rPr>
        <w:t>标书（包含资质标书、技术标书、商务标书），</w:t>
      </w:r>
      <w:r>
        <w:rPr>
          <w:rFonts w:hint="eastAsia"/>
          <w:lang w:val="en-US" w:eastAsia="zh-CN"/>
        </w:rPr>
        <w:t>若逾期未在中国重汽e采通平台上传电子标书，一律视为无效投标。</w:t>
      </w:r>
    </w:p>
    <w:p w14:paraId="4AAA3F9B">
      <w:pPr>
        <w:keepNext w:val="0"/>
        <w:keepLines w:val="0"/>
        <w:pageBreakBefore w:val="0"/>
        <w:widowControl w:val="0"/>
        <w:numPr>
          <w:ilvl w:val="0"/>
          <w:numId w:val="23"/>
        </w:numPr>
        <w:kinsoku/>
        <w:wordWrap/>
        <w:overflowPunct/>
        <w:topLinePunct w:val="0"/>
        <w:autoSpaceDE/>
        <w:autoSpaceDN/>
        <w:bidi w:val="0"/>
        <w:adjustRightInd/>
        <w:snapToGrid/>
        <w:spacing w:line="360" w:lineRule="auto"/>
        <w:textAlignment w:val="auto"/>
        <w:rPr>
          <w:rFonts w:hint="eastAsia"/>
          <w:highlight w:val="none"/>
          <w:lang w:val="en-US" w:eastAsia="zh-CN"/>
        </w:rPr>
      </w:pPr>
      <w:r>
        <w:rPr>
          <w:rFonts w:hint="eastAsia"/>
          <w:highlight w:val="none"/>
          <w:lang w:val="en-US" w:eastAsia="zh-CN"/>
        </w:rPr>
        <w:t>投标文件递交截止时间：</w:t>
      </w:r>
      <w:r>
        <w:rPr>
          <w:rFonts w:hint="eastAsia"/>
          <w:highlight w:val="none"/>
          <w:u w:val="single"/>
          <w:lang w:val="en-US" w:eastAsia="zh-CN"/>
        </w:rPr>
        <w:t>2025年12月6日上午9:00（北京时间）</w:t>
      </w:r>
    </w:p>
    <w:p w14:paraId="25974AAC">
      <w:pPr>
        <w:pStyle w:val="72"/>
        <w:rPr>
          <w:rFonts w:hint="eastAsia" w:hAnsi="Courier New" w:cs="Times New Roman"/>
          <w:highlight w:val="none"/>
        </w:rPr>
      </w:pPr>
      <w:bookmarkStart w:id="14"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keepNext w:val="0"/>
        <w:keepLines w:val="0"/>
        <w:pageBreakBefore w:val="0"/>
        <w:widowControl w:val="0"/>
        <w:numPr>
          <w:ilvl w:val="0"/>
          <w:numId w:val="24"/>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rPr>
        <w:t>投标保证金的缴纳</w:t>
      </w:r>
    </w:p>
    <w:p w14:paraId="021ADBC0">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eastAsia="zh-CN"/>
        </w:rPr>
        <w:t>（</w:t>
      </w:r>
      <w:r>
        <w:rPr>
          <w:rFonts w:hint="eastAsia"/>
          <w:lang w:val="en-US" w:eastAsia="zh-CN"/>
        </w:rPr>
        <w:t>1</w:t>
      </w:r>
      <w:r>
        <w:rPr>
          <w:rFonts w:hint="eastAsia"/>
          <w:lang w:eastAsia="zh-CN"/>
        </w:rPr>
        <w:t>）</w:t>
      </w:r>
      <w:r>
        <w:rPr>
          <w:rFonts w:hint="eastAsia"/>
        </w:rPr>
        <w:t>投标保证金</w:t>
      </w:r>
      <w:r>
        <w:rPr>
          <w:rFonts w:hint="eastAsia"/>
          <w:lang w:val="en-US" w:eastAsia="zh-CN"/>
        </w:rPr>
        <w:t>的缴纳</w:t>
      </w:r>
      <w:r>
        <w:rPr>
          <w:rFonts w:hint="eastAsia"/>
        </w:rPr>
        <w:t>形式：</w:t>
      </w:r>
      <w:r>
        <w:rPr>
          <w:rFonts w:hint="eastAsia"/>
          <w:lang w:val="en-US" w:eastAsia="zh-CN"/>
        </w:rPr>
        <w:t>从银行基本账户转账</w:t>
      </w:r>
    </w:p>
    <w:p w14:paraId="04CD311F">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rPr>
          <w:rFonts w:hint="eastAsia"/>
          <w:lang w:eastAsia="zh-CN"/>
        </w:rPr>
        <w:t>（</w:t>
      </w:r>
      <w:r>
        <w:rPr>
          <w:rFonts w:hint="eastAsia"/>
          <w:lang w:val="en-US" w:eastAsia="zh-CN"/>
        </w:rPr>
        <w:t>2</w:t>
      </w:r>
      <w:r>
        <w:rPr>
          <w:rFonts w:hint="eastAsia"/>
          <w:lang w:eastAsia="zh-CN"/>
        </w:rPr>
        <w:t>）</w:t>
      </w:r>
      <w:r>
        <w:rPr>
          <w:rFonts w:hint="eastAsia"/>
        </w:rPr>
        <w:t>投标保证金的金额：</w:t>
      </w:r>
      <w:r>
        <w:rPr>
          <w:rFonts w:hint="eastAsia"/>
          <w:u w:val="single"/>
        </w:rPr>
        <w:t>人</w:t>
      </w:r>
      <w:r>
        <w:rPr>
          <w:rFonts w:hint="eastAsia"/>
          <w:highlight w:val="none"/>
          <w:u w:val="single"/>
        </w:rPr>
        <w:t>民币</w:t>
      </w:r>
      <w:r>
        <w:rPr>
          <w:rFonts w:hint="eastAsia"/>
          <w:highlight w:val="none"/>
          <w:u w:val="single"/>
          <w:lang w:val="en-US" w:eastAsia="zh-CN"/>
        </w:rPr>
        <w:t>5000</w:t>
      </w:r>
      <w:r>
        <w:rPr>
          <w:rFonts w:hint="eastAsia"/>
          <w:highlight w:val="none"/>
          <w:u w:val="single"/>
        </w:rPr>
        <w:t>元</w:t>
      </w:r>
    </w:p>
    <w:p w14:paraId="628790D5">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lang w:val="en-US" w:eastAsia="zh-CN"/>
        </w:rPr>
      </w:pPr>
      <w:r>
        <w:rPr>
          <w:rFonts w:hint="eastAsia"/>
          <w:lang w:val="en-US" w:eastAsia="zh-CN"/>
        </w:rPr>
        <w:t>（3）单</w:t>
      </w:r>
      <w:r>
        <w:rPr>
          <w:rFonts w:hint="eastAsia" w:ascii="宋体" w:hAnsi="宋体" w:eastAsia="宋体" w:cs="宋体"/>
          <w:lang w:val="en-US" w:eastAsia="zh-CN"/>
        </w:rPr>
        <w:t>位</w:t>
      </w:r>
      <w:r>
        <w:rPr>
          <w:rFonts w:hint="eastAsia" w:ascii="宋体" w:hAnsi="宋体" w:eastAsia="宋体" w:cs="宋体"/>
        </w:rPr>
        <w:t>名称：</w:t>
      </w:r>
      <w:r>
        <w:rPr>
          <w:rFonts w:hint="eastAsia" w:ascii="宋体" w:hAnsi="宋体" w:eastAsia="宋体" w:cs="宋体"/>
          <w:u w:val="single"/>
          <w:lang w:val="en-US" w:eastAsia="zh-CN"/>
        </w:rPr>
        <w:t>中国重汽集团济南动力有限公司</w:t>
      </w:r>
    </w:p>
    <w:p w14:paraId="0B0EC273">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rPr>
      </w:pPr>
      <w:r>
        <w:rPr>
          <w:rFonts w:hint="eastAsia" w:ascii="宋体" w:hAnsi="宋体" w:eastAsia="宋体" w:cs="宋体"/>
          <w:lang w:val="en-US" w:eastAsia="zh-CN"/>
        </w:rPr>
        <w:t>收款账号</w:t>
      </w:r>
      <w:r>
        <w:rPr>
          <w:rFonts w:hint="eastAsia" w:ascii="宋体" w:hAnsi="宋体" w:eastAsia="宋体" w:cs="宋体"/>
        </w:rPr>
        <w:t>：</w:t>
      </w:r>
      <w:r>
        <w:rPr>
          <w:rFonts w:hint="eastAsia" w:ascii="宋体" w:hAnsi="宋体" w:eastAsia="宋体" w:cs="宋体"/>
          <w:u w:val="single"/>
          <w:lang w:val="en-US" w:eastAsia="zh-CN"/>
        </w:rPr>
        <w:t>37001616508050150300</w:t>
      </w:r>
    </w:p>
    <w:p w14:paraId="4074AC10">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lang w:val="en-US" w:eastAsia="zh-CN"/>
        </w:rPr>
      </w:pPr>
      <w:r>
        <w:rPr>
          <w:rFonts w:hint="eastAsia" w:ascii="宋体" w:hAnsi="宋体" w:eastAsia="宋体" w:cs="宋体"/>
          <w:lang w:val="en-US" w:eastAsia="zh-CN"/>
        </w:rPr>
        <w:t>开户行名称</w:t>
      </w:r>
      <w:r>
        <w:rPr>
          <w:rFonts w:hint="eastAsia" w:ascii="宋体" w:hAnsi="宋体" w:eastAsia="宋体" w:cs="宋体"/>
        </w:rPr>
        <w:t>：</w:t>
      </w:r>
      <w:r>
        <w:rPr>
          <w:rFonts w:hint="eastAsia" w:ascii="宋体" w:hAnsi="宋体" w:eastAsia="宋体" w:cs="宋体"/>
          <w:u w:val="single"/>
          <w:lang w:val="en-US" w:eastAsia="zh-CN"/>
        </w:rPr>
        <w:t>中国建设银行股份有限公司济南天桥支行</w:t>
      </w:r>
    </w:p>
    <w:p w14:paraId="5BBFD97F">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lang w:val="en-US" w:eastAsia="zh-CN"/>
        </w:rPr>
      </w:pPr>
      <w:r>
        <w:rPr>
          <w:rFonts w:hint="eastAsia" w:ascii="宋体" w:hAnsi="宋体" w:eastAsia="宋体" w:cs="宋体"/>
        </w:rPr>
        <w:t>开户行</w:t>
      </w:r>
      <w:r>
        <w:rPr>
          <w:rFonts w:hint="eastAsia" w:ascii="宋体" w:hAnsi="宋体" w:eastAsia="宋体" w:cs="宋体"/>
          <w:lang w:val="en-US" w:eastAsia="zh-CN"/>
        </w:rPr>
        <w:t>行号</w:t>
      </w:r>
      <w:r>
        <w:rPr>
          <w:rFonts w:hint="eastAsia" w:ascii="宋体" w:hAnsi="宋体" w:eastAsia="宋体" w:cs="宋体"/>
        </w:rPr>
        <w:t>：</w:t>
      </w:r>
      <w:r>
        <w:rPr>
          <w:rFonts w:hint="eastAsia" w:ascii="宋体" w:hAnsi="宋体" w:eastAsia="宋体" w:cs="宋体"/>
          <w:u w:val="single"/>
          <w:lang w:val="en-US" w:eastAsia="zh-CN"/>
        </w:rPr>
        <w:t>105451000362</w:t>
      </w:r>
    </w:p>
    <w:p w14:paraId="1591D62C">
      <w:pPr>
        <w:pStyle w:val="75"/>
        <w:keepNext w:val="0"/>
        <w:keepLines w:val="0"/>
        <w:pageBreakBefore w:val="0"/>
        <w:widowControl w:val="0"/>
        <w:numPr>
          <w:ilvl w:val="0"/>
          <w:numId w:val="21"/>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5568414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val="en-US" w:eastAsia="zh-CN"/>
        </w:rPr>
      </w:pPr>
      <w:r>
        <w:rPr>
          <w:rFonts w:hint="eastAsia" w:ascii="宋体" w:hAnsi="宋体" w:eastAsia="宋体" w:cs="宋体"/>
          <w:lang w:eastAsia="zh-CN"/>
        </w:rPr>
        <w:t>（</w:t>
      </w:r>
      <w:r>
        <w:rPr>
          <w:rFonts w:hint="eastAsia" w:ascii="宋体" w:hAnsi="宋体" w:eastAsia="宋体" w:cs="宋体"/>
          <w:lang w:val="en-US" w:eastAsia="zh-CN"/>
        </w:rPr>
        <w:t>4</w:t>
      </w:r>
      <w:r>
        <w:rPr>
          <w:rFonts w:hint="eastAsia" w:ascii="宋体" w:hAnsi="宋体" w:eastAsia="宋体" w:cs="宋体"/>
          <w:lang w:eastAsia="zh-CN"/>
        </w:rPr>
        <w:t>）</w:t>
      </w:r>
      <w:r>
        <w:rPr>
          <w:rFonts w:hint="eastAsia" w:ascii="宋体" w:hAnsi="宋体" w:eastAsia="宋体" w:cs="宋体"/>
        </w:rPr>
        <w:t>保证金缴纳截止时间：</w:t>
      </w:r>
      <w:r>
        <w:rPr>
          <w:rFonts w:hint="eastAsia" w:ascii="宋体" w:hAnsi="宋体" w:eastAsia="宋体" w:cs="宋体"/>
          <w:highlight w:val="none"/>
          <w:u w:val="single"/>
        </w:rPr>
        <w:t>202</w:t>
      </w:r>
      <w:r>
        <w:rPr>
          <w:rFonts w:hint="eastAsia" w:ascii="宋体" w:hAnsi="宋体" w:eastAsia="宋体" w:cs="宋体"/>
          <w:highlight w:val="none"/>
          <w:u w:val="single"/>
          <w:lang w:val="en-US" w:eastAsia="zh-CN"/>
        </w:rPr>
        <w:t>5</w:t>
      </w:r>
      <w:r>
        <w:rPr>
          <w:rFonts w:hint="eastAsia" w:ascii="宋体" w:hAnsi="宋体" w:eastAsia="宋体" w:cs="宋体"/>
          <w:highlight w:val="none"/>
          <w:u w:val="single"/>
        </w:rPr>
        <w:t>年</w:t>
      </w:r>
      <w:r>
        <w:rPr>
          <w:rFonts w:hint="eastAsia" w:ascii="宋体" w:hAnsi="宋体" w:cs="宋体"/>
          <w:highlight w:val="none"/>
          <w:u w:val="single"/>
          <w:lang w:val="en-US" w:eastAsia="zh-CN"/>
        </w:rPr>
        <w:t>12</w:t>
      </w:r>
      <w:r>
        <w:rPr>
          <w:rFonts w:hint="eastAsia" w:ascii="宋体" w:hAnsi="宋体" w:eastAsia="宋体" w:cs="宋体"/>
          <w:highlight w:val="none"/>
          <w:u w:val="single"/>
        </w:rPr>
        <w:t>月</w:t>
      </w:r>
      <w:r>
        <w:rPr>
          <w:rFonts w:hint="eastAsia" w:ascii="宋体" w:hAnsi="宋体" w:cs="宋体"/>
          <w:highlight w:val="none"/>
          <w:u w:val="single"/>
          <w:lang w:val="en-US" w:eastAsia="zh-CN"/>
        </w:rPr>
        <w:t>6</w:t>
      </w:r>
      <w:r>
        <w:rPr>
          <w:rFonts w:hint="eastAsia" w:ascii="宋体" w:hAnsi="宋体" w:eastAsia="宋体" w:cs="宋体"/>
          <w:highlight w:val="none"/>
          <w:u w:val="single"/>
          <w:lang w:val="en-US" w:eastAsia="zh-CN"/>
        </w:rPr>
        <w:t>日9:00</w:t>
      </w:r>
    </w:p>
    <w:p w14:paraId="5306DE77">
      <w:pPr>
        <w:keepNext w:val="0"/>
        <w:keepLines w:val="0"/>
        <w:pageBreakBefore w:val="0"/>
        <w:widowControl w:val="0"/>
        <w:numPr>
          <w:ilvl w:val="0"/>
          <w:numId w:val="24"/>
        </w:numPr>
        <w:kinsoku/>
        <w:wordWrap/>
        <w:overflowPunct/>
        <w:topLinePunct w:val="0"/>
        <w:autoSpaceDE/>
        <w:autoSpaceDN/>
        <w:bidi w:val="0"/>
        <w:adjustRightInd/>
        <w:snapToGrid/>
        <w:spacing w:line="360" w:lineRule="auto"/>
        <w:textAlignment w:val="auto"/>
        <w:rPr>
          <w:rFonts w:hint="eastAsia" w:ascii="宋体" w:hAnsi="宋体" w:eastAsia="宋体" w:cs="宋体"/>
          <w:lang w:val="en-US" w:eastAsia="zh-CN"/>
        </w:rPr>
      </w:pPr>
      <w:r>
        <w:rPr>
          <w:rFonts w:hint="eastAsia" w:ascii="宋体" w:hAnsi="宋体" w:eastAsia="宋体" w:cs="宋体"/>
        </w:rPr>
        <w:t>对于没有中标的</w:t>
      </w:r>
      <w:r>
        <w:rPr>
          <w:rFonts w:hint="eastAsia" w:ascii="宋体" w:hAnsi="宋体" w:eastAsia="宋体" w:cs="宋体"/>
          <w:lang w:eastAsia="zh-CN"/>
        </w:rPr>
        <w:t>投标人</w:t>
      </w:r>
      <w:r>
        <w:rPr>
          <w:rFonts w:hint="eastAsia" w:ascii="宋体" w:hAnsi="宋体" w:eastAsia="宋体" w:cs="宋体"/>
        </w:rPr>
        <w:t>，投标保证金将于招标人内部完成中标人评审并确认最终中标人后</w:t>
      </w:r>
      <w:r>
        <w:rPr>
          <w:rFonts w:hint="eastAsia" w:ascii="宋体" w:hAnsi="宋体" w:eastAsia="宋体" w:cs="宋体"/>
          <w:highlight w:val="none"/>
        </w:rPr>
        <w:t>在</w:t>
      </w:r>
      <w:r>
        <w:rPr>
          <w:rFonts w:hint="eastAsia" w:ascii="宋体" w:hAnsi="宋体" w:eastAsia="宋体" w:cs="宋体"/>
          <w:highlight w:val="none"/>
          <w:lang w:val="en-US" w:eastAsia="zh-CN"/>
        </w:rPr>
        <w:t>一个付款周期</w:t>
      </w:r>
      <w:r>
        <w:rPr>
          <w:rFonts w:hint="eastAsia" w:ascii="宋体" w:hAnsi="宋体" w:eastAsia="宋体" w:cs="宋体"/>
          <w:highlight w:val="none"/>
        </w:rPr>
        <w:t>内予以原路返还（无息）；对于中标方，投标保证金将在签订合同后</w:t>
      </w:r>
      <w:r>
        <w:rPr>
          <w:rFonts w:hint="eastAsia" w:ascii="宋体" w:hAnsi="宋体" w:eastAsia="宋体" w:cs="宋体"/>
          <w:highlight w:val="none"/>
          <w:lang w:val="en-US" w:eastAsia="zh-CN"/>
        </w:rPr>
        <w:t>一个付款周期内个</w:t>
      </w:r>
      <w:r>
        <w:rPr>
          <w:rFonts w:hint="eastAsia" w:ascii="宋体" w:hAnsi="宋体" w:eastAsia="宋体" w:cs="宋体"/>
          <w:highlight w:val="none"/>
        </w:rPr>
        <w:t>工</w:t>
      </w:r>
      <w:r>
        <w:rPr>
          <w:rFonts w:hint="eastAsia" w:ascii="宋体" w:hAnsi="宋体" w:eastAsia="宋体" w:cs="宋体"/>
        </w:rPr>
        <w:t>作日内原路返还（无息）。</w:t>
      </w:r>
    </w:p>
    <w:p w14:paraId="271EC8CF">
      <w:pPr>
        <w:keepNext w:val="0"/>
        <w:keepLines w:val="0"/>
        <w:pageBreakBefore w:val="0"/>
        <w:widowControl w:val="0"/>
        <w:numPr>
          <w:ilvl w:val="0"/>
          <w:numId w:val="24"/>
        </w:numPr>
        <w:kinsoku/>
        <w:wordWrap/>
        <w:overflowPunct/>
        <w:topLinePunct w:val="0"/>
        <w:autoSpaceDE/>
        <w:autoSpaceDN/>
        <w:bidi w:val="0"/>
        <w:adjustRightInd/>
        <w:snapToGrid/>
        <w:spacing w:line="360" w:lineRule="auto"/>
        <w:textAlignment w:val="auto"/>
        <w:rPr>
          <w:rFonts w:hint="eastAsia" w:ascii="宋体" w:hAnsi="宋体" w:eastAsia="仿宋_GB2312" w:cs="宋体"/>
          <w:b w:val="0"/>
          <w:bCs w:val="0"/>
          <w:szCs w:val="24"/>
          <w:highlight w:val="none"/>
          <w:lang w:val="en-US" w:eastAsia="zh-CN"/>
        </w:rPr>
      </w:pPr>
      <w:r>
        <w:rPr>
          <w:rFonts w:hint="eastAsia" w:ascii="宋体" w:hAnsi="宋体" w:eastAsia="宋体" w:cs="宋体"/>
        </w:rPr>
        <w:t>发生以下情况时，有权没收保证金：</w:t>
      </w:r>
      <w:r>
        <w:rPr>
          <w:rFonts w:hint="eastAsia" w:ascii="宋体" w:hAnsi="宋体" w:eastAsia="宋体" w:cs="宋体"/>
        </w:rPr>
        <w:br w:type="textWrapping"/>
      </w:r>
      <w:r>
        <w:rPr>
          <w:rFonts w:hint="eastAsia" w:ascii="宋体" w:hAnsi="宋体" w:eastAsia="宋体" w:cs="宋体"/>
          <w:b w:val="0"/>
          <w:bCs w:val="0"/>
          <w:szCs w:val="21"/>
          <w:highlight w:val="none"/>
        </w:rPr>
        <w:t>①供应商在提交响应文件截止时间后撤回响应文件的；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②供应商在响应文件中提供虚假材料的；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③除因不可抗力或谈判文件、询价通知书认可的情形以外，成交供应商不与采购人签订合同的；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④供应商与采购人、其他供应商或者采购代理机构恶意串通、围标、陪标的；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⑥截至开标前3天，投标人无正当理由、未以书面形式向招标人递交说明而在投标截止日不来投标的。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⑦自中标通知书发出之日起30日内，中标人无正当理由投标人无正当签订合同的；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⑧采购文件规定的其他情形</w:t>
      </w:r>
      <w:r>
        <w:rPr>
          <w:rFonts w:hint="eastAsia" w:ascii="宋体" w:hAnsi="宋体" w:eastAsia="宋体" w:cs="宋体"/>
          <w:b w:val="0"/>
          <w:bCs w:val="0"/>
          <w:szCs w:val="21"/>
          <w:highlight w:val="none"/>
          <w:lang w:eastAsia="zh-CN"/>
        </w:rPr>
        <w:t>。</w:t>
      </w:r>
    </w:p>
    <w:bookmarkEnd w:id="14"/>
    <w:p w14:paraId="368B6990">
      <w:pPr>
        <w:pStyle w:val="72"/>
      </w:pPr>
      <w:r>
        <w:rPr>
          <w:rFonts w:hint="eastAsia"/>
          <w:lang w:val="en-US" w:eastAsia="zh-CN"/>
        </w:rPr>
        <w:t>开评标</w:t>
      </w:r>
    </w:p>
    <w:p w14:paraId="009655B5">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开标时间：</w:t>
      </w:r>
    </w:p>
    <w:p w14:paraId="65F6233B">
      <w:pPr>
        <w:keepNext w:val="0"/>
        <w:keepLines w:val="0"/>
        <w:pageBreakBefore w:val="0"/>
        <w:widowControl w:val="0"/>
        <w:numPr>
          <w:ilvl w:val="0"/>
          <w:numId w:val="26"/>
        </w:numPr>
        <w:kinsoku/>
        <w:wordWrap/>
        <w:overflowPunct/>
        <w:topLinePunct w:val="0"/>
        <w:autoSpaceDE/>
        <w:autoSpaceDN/>
        <w:bidi w:val="0"/>
        <w:adjustRightInd/>
        <w:snapToGrid/>
        <w:spacing w:line="360" w:lineRule="auto"/>
        <w:textAlignment w:val="auto"/>
        <w:rPr>
          <w:rFonts w:hint="default"/>
          <w:lang w:val="en-US" w:eastAsia="zh-CN"/>
        </w:rPr>
      </w:pPr>
      <w:r>
        <w:rPr>
          <w:rFonts w:hint="eastAsia"/>
          <w:lang w:val="en-US" w:eastAsia="zh-CN"/>
        </w:rPr>
        <w:t>开标时间</w:t>
      </w:r>
      <w:r>
        <w:rPr>
          <w:rFonts w:hint="eastAsia"/>
          <w:highlight w:val="none"/>
          <w:lang w:val="en-US" w:eastAsia="zh-CN"/>
        </w:rPr>
        <w:t>：</w:t>
      </w:r>
      <w:r>
        <w:rPr>
          <w:rFonts w:hint="eastAsia"/>
          <w:highlight w:val="none"/>
          <w:u w:val="single"/>
          <w:lang w:val="en-US" w:eastAsia="zh-CN"/>
        </w:rPr>
        <w:t>2025年12月6日上午9:00（北京时间），若有变动，另行通知。</w:t>
      </w:r>
    </w:p>
    <w:p w14:paraId="00CC8C95">
      <w:pPr>
        <w:pStyle w:val="14"/>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highlight w:val="none"/>
          <w:lang w:val="en-US" w:eastAsia="zh-CN"/>
        </w:rPr>
      </w:pPr>
      <w:r>
        <w:rPr>
          <w:rFonts w:hint="eastAsia"/>
          <w:highlight w:val="none"/>
          <w:lang w:val="en-US" w:eastAsia="zh-CN"/>
        </w:rPr>
        <w:t>开标地点：济南市历城区华奥路777号重汽科技大厦</w:t>
      </w:r>
    </w:p>
    <w:p w14:paraId="377CB7F2">
      <w:pPr>
        <w:pStyle w:val="14"/>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default"/>
          <w:highlight w:val="none"/>
          <w:lang w:val="en-US" w:eastAsia="zh-CN"/>
        </w:rPr>
      </w:pPr>
      <w:r>
        <w:rPr>
          <w:rFonts w:hint="eastAsia"/>
          <w:highlight w:val="none"/>
          <w:lang w:val="en-US" w:eastAsia="zh-CN"/>
        </w:rPr>
        <w:t>开标方式：</w:t>
      </w:r>
    </w:p>
    <w:p w14:paraId="4DCBC48A">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11" w:leftChars="0" w:firstLine="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none"/>
          <w:lang w:val="en-US" w:eastAsia="zh-CN" w:bidi="ar-SA"/>
        </w:rPr>
        <w:t>现场招</w:t>
      </w:r>
      <w:r>
        <w:rPr>
          <w:rFonts w:hint="eastAsia" w:ascii="宋体" w:hAnsi="宋体" w:eastAsia="宋体" w:cs="宋体"/>
          <w:b w:val="0"/>
          <w:bCs w:val="0"/>
          <w:sz w:val="21"/>
          <w:szCs w:val="21"/>
          <w:highlight w:val="none"/>
          <w:lang w:val="en-US" w:eastAsia="zh-CN"/>
        </w:rPr>
        <w:t>标：</w:t>
      </w:r>
      <w:r>
        <w:rPr>
          <w:rFonts w:hint="eastAsia" w:ascii="宋体" w:hAnsi="宋体" w:eastAsia="宋体" w:cs="宋体"/>
          <w:color w:val="000000"/>
          <w:sz w:val="21"/>
          <w:szCs w:val="21"/>
          <w:highlight w:val="none"/>
        </w:rPr>
        <w:t>原则上来现场参与开标。如因特殊情况无法现场参与，需在开标前三日，通知招标人，由招标人创建视频链接，并在报名结束后统一通知。</w:t>
      </w:r>
    </w:p>
    <w:p w14:paraId="2C652027">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2"/>
        <w:keepNext w:val="0"/>
        <w:keepLines w:val="0"/>
        <w:pageBreakBefore w:val="0"/>
        <w:widowControl w:val="0"/>
        <w:numPr>
          <w:ilvl w:val="0"/>
          <w:numId w:val="28"/>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评标方法</w:t>
      </w:r>
    </w:p>
    <w:p w14:paraId="649C28C4">
      <w:pPr>
        <w:pStyle w:val="75"/>
        <w:keepNext w:val="0"/>
        <w:keepLines w:val="0"/>
        <w:pageBreakBefore w:val="0"/>
        <w:widowControl w:val="0"/>
        <w:numPr>
          <w:ilvl w:val="0"/>
          <w:numId w:val="21"/>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评标方法（合理最低价中标）</w:t>
      </w:r>
    </w:p>
    <w:p w14:paraId="2509BD7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本次招标采用技术标入围后，原则上合理最低价中标。本着公平、公正、公开的原则，在通过技术标综合评审后入围的前提下，选择</w:t>
      </w:r>
      <w:r>
        <w:rPr>
          <w:rFonts w:hint="eastAsia"/>
          <w:b/>
          <w:bCs/>
          <w:lang w:val="en-US" w:eastAsia="zh-CN"/>
        </w:rPr>
        <w:t>合理最低价</w:t>
      </w:r>
      <w:r>
        <w:rPr>
          <w:rFonts w:hint="eastAsia"/>
          <w:lang w:val="en-US" w:eastAsia="zh-CN"/>
        </w:rPr>
        <w:t>确定中标人，对未中标单位不做任何解释。</w:t>
      </w:r>
    </w:p>
    <w:p w14:paraId="0B2A8F6D">
      <w:pPr>
        <w:pStyle w:val="72"/>
        <w:keepNext w:val="0"/>
        <w:keepLines w:val="0"/>
        <w:pageBreakBefore w:val="0"/>
        <w:widowControl w:val="0"/>
        <w:numPr>
          <w:ilvl w:val="0"/>
          <w:numId w:val="28"/>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w:t>
      </w:r>
      <w:r>
        <w:rPr>
          <w:rFonts w:hint="eastAsia" w:ascii="宋体" w:hAnsi="宋体" w:cs="宋体"/>
          <w:b/>
          <w:bCs/>
          <w:color w:val="000000"/>
          <w:sz w:val="21"/>
          <w:szCs w:val="21"/>
          <w:highlight w:val="none"/>
          <w:lang w:eastAsia="zh-CN"/>
        </w:rPr>
        <w:t>“</w:t>
      </w:r>
      <w:r>
        <w:rPr>
          <w:rFonts w:hint="eastAsia" w:ascii="宋体" w:hAnsi="宋体" w:cs="宋体"/>
          <w:b/>
          <w:bCs/>
          <w:color w:val="000000"/>
          <w:sz w:val="21"/>
          <w:szCs w:val="21"/>
          <w:highlight w:val="none"/>
          <w:lang w:val="en-US" w:eastAsia="zh-CN"/>
        </w:rPr>
        <w:t>投标说明-投标文件的组成-资质文件”中的要求</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3925B8AD">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7E63C2E8">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技术标评审：评审小组成员根据分包要求分别按照技术评分标准进行技术评议，技术讲解以介绍样品为主，根据技术评议结果择优进入商务评标，技术评分低于80分以下者淘汰</w:t>
      </w:r>
      <w:r>
        <w:rPr>
          <w:rFonts w:hint="eastAsia" w:ascii="宋体" w:hAnsi="宋体" w:cs="宋体"/>
          <w:b/>
          <w:bCs/>
          <w:color w:val="000000"/>
          <w:sz w:val="21"/>
          <w:szCs w:val="21"/>
          <w:highlight w:val="none"/>
          <w:lang w:eastAsia="zh-CN"/>
        </w:rPr>
        <w:t>，技术标得分不带入商务标评议，商务标不再进行打分。</w:t>
      </w:r>
    </w:p>
    <w:p w14:paraId="17C23BBD">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148C0E04">
      <w:pPr>
        <w:pStyle w:val="75"/>
        <w:keepNext w:val="0"/>
        <w:keepLines w:val="0"/>
        <w:pageBreakBefore w:val="0"/>
        <w:widowControl w:val="0"/>
        <w:numPr>
          <w:ilvl w:val="0"/>
          <w:numId w:val="21"/>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48C47BA6">
      <w:pPr>
        <w:pStyle w:val="72"/>
        <w:keepNext w:val="0"/>
        <w:keepLines w:val="0"/>
        <w:pageBreakBefore w:val="0"/>
        <w:widowControl w:val="0"/>
        <w:numPr>
          <w:ilvl w:val="0"/>
          <w:numId w:val="28"/>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评分标准</w:t>
      </w:r>
    </w:p>
    <w:tbl>
      <w:tblPr>
        <w:tblStyle w:val="30"/>
        <w:tblW w:w="9351"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4"/>
        <w:gridCol w:w="1354"/>
        <w:gridCol w:w="6643"/>
      </w:tblGrid>
      <w:tr w14:paraId="47F59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1354" w:type="dxa"/>
            <w:tcBorders>
              <w:top w:val="single" w:color="auto" w:sz="4" w:space="0"/>
              <w:left w:val="single" w:color="auto" w:sz="4" w:space="0"/>
              <w:bottom w:val="single" w:color="auto" w:sz="4" w:space="0"/>
              <w:right w:val="single" w:color="auto" w:sz="4" w:space="0"/>
            </w:tcBorders>
            <w:vAlign w:val="center"/>
          </w:tcPr>
          <w:p w14:paraId="2721B577">
            <w:pPr>
              <w:pStyle w:val="14"/>
              <w:jc w:val="center"/>
              <w:rPr>
                <w:rFonts w:hint="eastAsia" w:hAnsi="宋体"/>
                <w:bCs/>
                <w:sz w:val="20"/>
                <w:szCs w:val="28"/>
              </w:rPr>
            </w:pPr>
            <w:r>
              <w:rPr>
                <w:rFonts w:hint="eastAsia" w:hAnsi="宋体"/>
                <w:bCs/>
                <w:sz w:val="20"/>
                <w:szCs w:val="28"/>
              </w:rPr>
              <w:t>类别</w:t>
            </w:r>
          </w:p>
        </w:tc>
        <w:tc>
          <w:tcPr>
            <w:tcW w:w="1354" w:type="dxa"/>
            <w:tcBorders>
              <w:top w:val="single" w:color="auto" w:sz="4" w:space="0"/>
              <w:left w:val="single" w:color="auto" w:sz="4" w:space="0"/>
              <w:bottom w:val="single" w:color="auto" w:sz="4" w:space="0"/>
              <w:right w:val="single" w:color="auto" w:sz="4" w:space="0"/>
            </w:tcBorders>
            <w:vAlign w:val="center"/>
          </w:tcPr>
          <w:p w14:paraId="533B64FB">
            <w:pPr>
              <w:pStyle w:val="14"/>
              <w:jc w:val="center"/>
              <w:rPr>
                <w:rFonts w:hAnsi="宋体"/>
                <w:bCs/>
                <w:sz w:val="20"/>
                <w:szCs w:val="28"/>
              </w:rPr>
            </w:pPr>
            <w:r>
              <w:rPr>
                <w:rFonts w:hint="eastAsia" w:hAnsi="宋体"/>
                <w:bCs/>
                <w:sz w:val="20"/>
                <w:szCs w:val="28"/>
              </w:rPr>
              <w:t>评分内容</w:t>
            </w:r>
          </w:p>
        </w:tc>
        <w:tc>
          <w:tcPr>
            <w:tcW w:w="6643" w:type="dxa"/>
            <w:tcBorders>
              <w:top w:val="single" w:color="auto" w:sz="4" w:space="0"/>
              <w:left w:val="single" w:color="auto" w:sz="4" w:space="0"/>
              <w:bottom w:val="single" w:color="auto" w:sz="4" w:space="0"/>
              <w:right w:val="single" w:color="auto" w:sz="4" w:space="0"/>
            </w:tcBorders>
            <w:vAlign w:val="center"/>
          </w:tcPr>
          <w:p w14:paraId="289DC75A">
            <w:pPr>
              <w:pStyle w:val="14"/>
              <w:jc w:val="center"/>
              <w:rPr>
                <w:rFonts w:hAnsi="宋体"/>
                <w:bCs/>
                <w:sz w:val="20"/>
                <w:szCs w:val="28"/>
              </w:rPr>
            </w:pPr>
            <w:r>
              <w:rPr>
                <w:rFonts w:hint="eastAsia" w:hAnsi="宋体"/>
                <w:bCs/>
                <w:sz w:val="20"/>
                <w:szCs w:val="28"/>
              </w:rPr>
              <w:t>评分标准</w:t>
            </w:r>
          </w:p>
        </w:tc>
      </w:tr>
      <w:tr w14:paraId="2C16A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1354" w:type="dxa"/>
            <w:vMerge w:val="restart"/>
            <w:tcBorders>
              <w:top w:val="single" w:color="auto" w:sz="4" w:space="0"/>
              <w:left w:val="single" w:color="auto" w:sz="4" w:space="0"/>
              <w:right w:val="single" w:color="auto" w:sz="4" w:space="0"/>
            </w:tcBorders>
          </w:tcPr>
          <w:p w14:paraId="349C1DF1">
            <w:pPr>
              <w:pStyle w:val="14"/>
              <w:jc w:val="center"/>
              <w:rPr>
                <w:rFonts w:hint="eastAsia" w:hAnsi="宋体"/>
                <w:bCs/>
                <w:sz w:val="20"/>
                <w:szCs w:val="28"/>
              </w:rPr>
            </w:pPr>
          </w:p>
          <w:p w14:paraId="643588C8">
            <w:pPr>
              <w:pStyle w:val="14"/>
              <w:jc w:val="center"/>
              <w:rPr>
                <w:rFonts w:hint="eastAsia" w:hAnsi="宋体"/>
                <w:bCs/>
                <w:sz w:val="20"/>
                <w:szCs w:val="28"/>
              </w:rPr>
            </w:pPr>
          </w:p>
          <w:p w14:paraId="74CD3F83">
            <w:pPr>
              <w:pStyle w:val="14"/>
              <w:jc w:val="center"/>
              <w:rPr>
                <w:rFonts w:hint="eastAsia" w:hAnsi="宋体"/>
                <w:bCs/>
                <w:sz w:val="20"/>
                <w:szCs w:val="28"/>
              </w:rPr>
            </w:pPr>
          </w:p>
          <w:p w14:paraId="010A8326">
            <w:pPr>
              <w:pStyle w:val="14"/>
              <w:jc w:val="center"/>
              <w:rPr>
                <w:rFonts w:hint="eastAsia" w:hAnsi="宋体"/>
                <w:bCs/>
                <w:sz w:val="20"/>
                <w:szCs w:val="28"/>
              </w:rPr>
            </w:pPr>
          </w:p>
          <w:p w14:paraId="0B55F457">
            <w:pPr>
              <w:pStyle w:val="14"/>
              <w:jc w:val="center"/>
              <w:rPr>
                <w:rFonts w:hint="eastAsia" w:hAnsi="宋体"/>
                <w:bCs/>
                <w:sz w:val="20"/>
                <w:szCs w:val="28"/>
              </w:rPr>
            </w:pPr>
          </w:p>
          <w:p w14:paraId="7B8B7589">
            <w:pPr>
              <w:pStyle w:val="14"/>
              <w:jc w:val="center"/>
              <w:rPr>
                <w:rFonts w:hint="eastAsia" w:hAnsi="宋体"/>
                <w:bCs/>
                <w:sz w:val="20"/>
                <w:szCs w:val="28"/>
              </w:rPr>
            </w:pPr>
          </w:p>
          <w:p w14:paraId="3028FC7F">
            <w:pPr>
              <w:pStyle w:val="14"/>
              <w:jc w:val="center"/>
              <w:rPr>
                <w:rFonts w:hint="eastAsia" w:hAnsi="宋体"/>
                <w:bCs/>
                <w:sz w:val="20"/>
                <w:szCs w:val="28"/>
              </w:rPr>
            </w:pPr>
          </w:p>
          <w:p w14:paraId="2F6B6FC6">
            <w:pPr>
              <w:pStyle w:val="14"/>
              <w:jc w:val="center"/>
              <w:rPr>
                <w:rFonts w:hint="eastAsia" w:hAnsi="宋体"/>
                <w:bCs/>
                <w:sz w:val="20"/>
                <w:szCs w:val="28"/>
              </w:rPr>
            </w:pPr>
            <w:r>
              <w:rPr>
                <w:rFonts w:hint="eastAsia" w:hAnsi="宋体"/>
                <w:bCs/>
                <w:sz w:val="20"/>
                <w:szCs w:val="28"/>
              </w:rPr>
              <w:t>技术评分</w:t>
            </w:r>
          </w:p>
        </w:tc>
        <w:tc>
          <w:tcPr>
            <w:tcW w:w="1354" w:type="dxa"/>
            <w:tcBorders>
              <w:top w:val="single" w:color="auto" w:sz="4" w:space="0"/>
              <w:left w:val="single" w:color="auto" w:sz="4" w:space="0"/>
              <w:bottom w:val="single" w:color="auto" w:sz="4" w:space="0"/>
              <w:right w:val="single" w:color="auto" w:sz="4" w:space="0"/>
            </w:tcBorders>
            <w:vAlign w:val="center"/>
          </w:tcPr>
          <w:p w14:paraId="47ABDE63">
            <w:pPr>
              <w:pStyle w:val="14"/>
              <w:jc w:val="center"/>
              <w:rPr>
                <w:rFonts w:hAnsi="宋体"/>
                <w:bCs/>
                <w:sz w:val="20"/>
                <w:szCs w:val="28"/>
              </w:rPr>
            </w:pPr>
            <w:r>
              <w:rPr>
                <w:rFonts w:hint="eastAsia" w:hAnsi="宋体"/>
                <w:bCs/>
                <w:sz w:val="20"/>
                <w:szCs w:val="28"/>
              </w:rPr>
              <w:t>产品质量</w:t>
            </w:r>
          </w:p>
          <w:p w14:paraId="277F658A">
            <w:pPr>
              <w:pStyle w:val="14"/>
              <w:jc w:val="center"/>
              <w:rPr>
                <w:rFonts w:hAnsi="宋体"/>
                <w:bCs/>
                <w:sz w:val="20"/>
                <w:szCs w:val="28"/>
              </w:rPr>
            </w:pPr>
            <w:r>
              <w:rPr>
                <w:rFonts w:hint="eastAsia" w:hAnsi="宋体"/>
                <w:bCs/>
                <w:sz w:val="20"/>
                <w:szCs w:val="28"/>
              </w:rPr>
              <w:t>（60分）</w:t>
            </w:r>
          </w:p>
        </w:tc>
        <w:tc>
          <w:tcPr>
            <w:tcW w:w="6643" w:type="dxa"/>
            <w:tcBorders>
              <w:top w:val="single" w:color="auto" w:sz="4" w:space="0"/>
              <w:left w:val="single" w:color="auto" w:sz="4" w:space="0"/>
              <w:bottom w:val="single" w:color="auto" w:sz="4" w:space="0"/>
              <w:right w:val="single" w:color="auto" w:sz="4" w:space="0"/>
            </w:tcBorders>
          </w:tcPr>
          <w:p w14:paraId="5D673659">
            <w:pPr>
              <w:pStyle w:val="14"/>
              <w:jc w:val="left"/>
              <w:rPr>
                <w:rFonts w:hAnsi="宋体"/>
                <w:bCs/>
                <w:sz w:val="20"/>
                <w:szCs w:val="28"/>
              </w:rPr>
            </w:pPr>
            <w:r>
              <w:rPr>
                <w:rFonts w:hint="eastAsia" w:hAnsi="宋体" w:cs="宋体"/>
                <w:color w:val="000000"/>
                <w:kern w:val="0"/>
                <w:sz w:val="20"/>
                <w:szCs w:val="28"/>
              </w:rPr>
              <w:t>投标单位务必携带同类产品样品及包装，样品需提供符合要求的产品含包装，</w:t>
            </w:r>
            <w:r>
              <w:rPr>
                <w:rFonts w:hint="eastAsia" w:hAnsi="宋体"/>
                <w:bCs/>
                <w:sz w:val="20"/>
                <w:szCs w:val="28"/>
              </w:rPr>
              <w:t>现场提供的样品需封样，如中标后抽查实际采购与样品质量不符，一次性扣除履约保证金并纳入供应商黑名单。</w:t>
            </w:r>
          </w:p>
          <w:p w14:paraId="5B9CDEA7">
            <w:pPr>
              <w:pStyle w:val="14"/>
              <w:jc w:val="left"/>
              <w:rPr>
                <w:rFonts w:hAnsi="宋体" w:cs="宋体"/>
                <w:color w:val="000000"/>
                <w:kern w:val="0"/>
                <w:sz w:val="20"/>
                <w:szCs w:val="28"/>
              </w:rPr>
            </w:pPr>
            <w:r>
              <w:rPr>
                <w:rFonts w:hint="eastAsia" w:hAnsi="宋体"/>
                <w:bCs/>
                <w:sz w:val="20"/>
                <w:szCs w:val="28"/>
              </w:rPr>
              <w:t>经综合评定携带投标样品种类齐全、质量为“优”的，赋41～60分；情况为“良”的，赋25～40分；情况为“一般”的，赋24分及以下，最少0分。</w:t>
            </w:r>
          </w:p>
        </w:tc>
      </w:tr>
      <w:tr w14:paraId="24848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1354" w:type="dxa"/>
            <w:vMerge w:val="continue"/>
            <w:tcBorders>
              <w:left w:val="single" w:color="auto" w:sz="4" w:space="0"/>
              <w:right w:val="single" w:color="auto" w:sz="4" w:space="0"/>
            </w:tcBorders>
          </w:tcPr>
          <w:p w14:paraId="7B7FE95D">
            <w:pPr>
              <w:pStyle w:val="14"/>
              <w:jc w:val="center"/>
              <w:rPr>
                <w:rFonts w:hint="eastAsia" w:hAnsi="宋体"/>
                <w:bCs/>
                <w:sz w:val="20"/>
                <w:szCs w:val="28"/>
              </w:rPr>
            </w:pPr>
          </w:p>
        </w:tc>
        <w:tc>
          <w:tcPr>
            <w:tcW w:w="1354" w:type="dxa"/>
            <w:tcBorders>
              <w:top w:val="single" w:color="auto" w:sz="4" w:space="0"/>
              <w:left w:val="single" w:color="auto" w:sz="4" w:space="0"/>
              <w:bottom w:val="single" w:color="auto" w:sz="4" w:space="0"/>
              <w:right w:val="single" w:color="auto" w:sz="4" w:space="0"/>
            </w:tcBorders>
            <w:vAlign w:val="center"/>
          </w:tcPr>
          <w:p w14:paraId="75288F11">
            <w:pPr>
              <w:pStyle w:val="14"/>
              <w:jc w:val="center"/>
              <w:rPr>
                <w:rFonts w:hint="eastAsia" w:hAnsi="宋体"/>
                <w:bCs/>
                <w:sz w:val="20"/>
                <w:szCs w:val="28"/>
              </w:rPr>
            </w:pPr>
            <w:r>
              <w:rPr>
                <w:rFonts w:hint="eastAsia" w:hAnsi="宋体"/>
                <w:bCs/>
                <w:sz w:val="20"/>
                <w:szCs w:val="28"/>
              </w:rPr>
              <w:t>合同履约</w:t>
            </w:r>
          </w:p>
          <w:p w14:paraId="300569CD">
            <w:pPr>
              <w:pStyle w:val="14"/>
              <w:jc w:val="center"/>
              <w:rPr>
                <w:rFonts w:hAnsi="宋体"/>
                <w:bCs/>
                <w:sz w:val="20"/>
                <w:szCs w:val="28"/>
              </w:rPr>
            </w:pPr>
            <w:r>
              <w:rPr>
                <w:rFonts w:hint="eastAsia" w:hAnsi="宋体"/>
                <w:bCs/>
                <w:sz w:val="20"/>
                <w:szCs w:val="28"/>
              </w:rPr>
              <w:t>能力</w:t>
            </w:r>
          </w:p>
          <w:p w14:paraId="5AB8A33B">
            <w:pPr>
              <w:pStyle w:val="14"/>
              <w:jc w:val="center"/>
              <w:rPr>
                <w:rFonts w:hAnsi="宋体"/>
                <w:bCs/>
                <w:sz w:val="20"/>
                <w:szCs w:val="28"/>
              </w:rPr>
            </w:pPr>
            <w:r>
              <w:rPr>
                <w:rFonts w:hint="eastAsia" w:hAnsi="宋体"/>
                <w:bCs/>
                <w:sz w:val="20"/>
                <w:szCs w:val="28"/>
              </w:rPr>
              <w:t>（25分）</w:t>
            </w:r>
          </w:p>
        </w:tc>
        <w:tc>
          <w:tcPr>
            <w:tcW w:w="6643" w:type="dxa"/>
            <w:tcBorders>
              <w:top w:val="single" w:color="auto" w:sz="4" w:space="0"/>
              <w:left w:val="single" w:color="auto" w:sz="4" w:space="0"/>
              <w:bottom w:val="single" w:color="auto" w:sz="4" w:space="0"/>
              <w:right w:val="single" w:color="auto" w:sz="4" w:space="0"/>
            </w:tcBorders>
          </w:tcPr>
          <w:p w14:paraId="785AEC64">
            <w:pPr>
              <w:pStyle w:val="14"/>
              <w:jc w:val="left"/>
              <w:rPr>
                <w:rFonts w:hAnsi="宋体"/>
                <w:bCs/>
                <w:sz w:val="20"/>
                <w:szCs w:val="28"/>
              </w:rPr>
            </w:pPr>
            <w:r>
              <w:rPr>
                <w:rFonts w:hint="eastAsia" w:hAnsi="宋体" w:cs="宋体"/>
                <w:color w:val="000000"/>
                <w:kern w:val="0"/>
                <w:sz w:val="20"/>
                <w:szCs w:val="28"/>
              </w:rPr>
              <w:t>1、根据投标单位的单位规模及相关物料设备数量进行打分，提供标书内相应证明材料的为10分，不提供的为0分，如弄虚作假行为，一经发现</w:t>
            </w:r>
            <w:r>
              <w:rPr>
                <w:rFonts w:hint="eastAsia" w:hAnsi="宋体"/>
                <w:bCs/>
                <w:sz w:val="20"/>
                <w:szCs w:val="28"/>
              </w:rPr>
              <w:t>一次性扣除履约保证金并纳入供应商黑名单。</w:t>
            </w:r>
          </w:p>
          <w:p w14:paraId="532BAFFD">
            <w:pPr>
              <w:pStyle w:val="14"/>
              <w:jc w:val="left"/>
              <w:rPr>
                <w:rFonts w:hint="eastAsia" w:hAnsi="宋体"/>
                <w:bCs/>
                <w:sz w:val="20"/>
                <w:szCs w:val="28"/>
              </w:rPr>
            </w:pPr>
            <w:r>
              <w:rPr>
                <w:rFonts w:hint="eastAsia" w:hAnsi="宋体"/>
                <w:bCs/>
                <w:sz w:val="20"/>
                <w:szCs w:val="28"/>
              </w:rPr>
              <w:t>2、供货周期小于等于25天赋15分；大于25天小于等于35天赋10分；大于35天小于等于45天赋5分；大于45天赋0分。</w:t>
            </w:r>
          </w:p>
          <w:p w14:paraId="4E0B59E5">
            <w:pPr>
              <w:pStyle w:val="14"/>
              <w:jc w:val="left"/>
              <w:rPr>
                <w:rFonts w:hAnsi="宋体"/>
                <w:bCs/>
                <w:sz w:val="20"/>
                <w:szCs w:val="28"/>
              </w:rPr>
            </w:pPr>
            <w:r>
              <w:rPr>
                <w:rFonts w:hint="eastAsia" w:hAnsi="宋体"/>
                <w:bCs/>
                <w:sz w:val="20"/>
                <w:szCs w:val="28"/>
              </w:rPr>
              <w:t>经综合评定，第一项与第二项分数相加，20～25分的综合实力为“优”；15～20分情况为“良”，15分及以下情况为“一般”，最少0分。</w:t>
            </w:r>
          </w:p>
        </w:tc>
      </w:tr>
      <w:tr w14:paraId="3135E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1354" w:type="dxa"/>
            <w:vMerge w:val="continue"/>
            <w:tcBorders>
              <w:left w:val="single" w:color="auto" w:sz="4" w:space="0"/>
              <w:bottom w:val="single" w:color="auto" w:sz="4" w:space="0"/>
              <w:right w:val="single" w:color="auto" w:sz="4" w:space="0"/>
            </w:tcBorders>
          </w:tcPr>
          <w:p w14:paraId="0C94C909">
            <w:pPr>
              <w:pStyle w:val="14"/>
              <w:jc w:val="center"/>
              <w:rPr>
                <w:rFonts w:hint="eastAsia" w:hAnsi="宋体"/>
                <w:bCs/>
                <w:sz w:val="20"/>
                <w:szCs w:val="28"/>
              </w:rPr>
            </w:pPr>
          </w:p>
        </w:tc>
        <w:tc>
          <w:tcPr>
            <w:tcW w:w="1354" w:type="dxa"/>
            <w:tcBorders>
              <w:top w:val="single" w:color="auto" w:sz="4" w:space="0"/>
              <w:left w:val="single" w:color="auto" w:sz="4" w:space="0"/>
              <w:bottom w:val="single" w:color="auto" w:sz="4" w:space="0"/>
              <w:right w:val="single" w:color="auto" w:sz="4" w:space="0"/>
            </w:tcBorders>
            <w:vAlign w:val="center"/>
          </w:tcPr>
          <w:p w14:paraId="42F115DE">
            <w:pPr>
              <w:pStyle w:val="14"/>
              <w:jc w:val="center"/>
              <w:rPr>
                <w:rFonts w:hAnsi="宋体"/>
                <w:bCs/>
                <w:sz w:val="20"/>
                <w:szCs w:val="28"/>
              </w:rPr>
            </w:pPr>
            <w:r>
              <w:rPr>
                <w:rFonts w:hint="eastAsia" w:hAnsi="宋体"/>
                <w:bCs/>
                <w:sz w:val="20"/>
                <w:szCs w:val="28"/>
              </w:rPr>
              <w:t>响应程度</w:t>
            </w:r>
          </w:p>
          <w:p w14:paraId="35E0B6F2">
            <w:pPr>
              <w:pStyle w:val="14"/>
              <w:jc w:val="center"/>
              <w:rPr>
                <w:rFonts w:hint="eastAsia" w:hAnsi="宋体"/>
                <w:bCs/>
                <w:sz w:val="20"/>
                <w:szCs w:val="28"/>
              </w:rPr>
            </w:pPr>
            <w:r>
              <w:rPr>
                <w:rFonts w:hint="eastAsia" w:hAnsi="宋体"/>
                <w:bCs/>
                <w:sz w:val="20"/>
                <w:szCs w:val="28"/>
              </w:rPr>
              <w:t>（15分）</w:t>
            </w:r>
          </w:p>
        </w:tc>
        <w:tc>
          <w:tcPr>
            <w:tcW w:w="6643" w:type="dxa"/>
            <w:tcBorders>
              <w:top w:val="single" w:color="auto" w:sz="4" w:space="0"/>
              <w:left w:val="single" w:color="auto" w:sz="4" w:space="0"/>
              <w:bottom w:val="single" w:color="auto" w:sz="4" w:space="0"/>
              <w:right w:val="single" w:color="auto" w:sz="4" w:space="0"/>
            </w:tcBorders>
          </w:tcPr>
          <w:p w14:paraId="08D73ED4">
            <w:pPr>
              <w:pStyle w:val="14"/>
              <w:jc w:val="left"/>
              <w:rPr>
                <w:rFonts w:hAnsi="宋体" w:cs="宋体"/>
                <w:color w:val="000000"/>
                <w:kern w:val="0"/>
                <w:sz w:val="20"/>
                <w:szCs w:val="28"/>
              </w:rPr>
            </w:pPr>
            <w:r>
              <w:rPr>
                <w:rFonts w:hint="eastAsia" w:hAnsi="宋体" w:cs="宋体"/>
                <w:color w:val="000000"/>
                <w:kern w:val="0"/>
                <w:sz w:val="20"/>
                <w:szCs w:val="28"/>
              </w:rPr>
              <w:t>投标单位为保证招标方物料及时到位，所能提供的服务内容及响应程度进行打分，包含服务承诺、售后承诺、响应承诺等，格式自拟。</w:t>
            </w:r>
          </w:p>
          <w:p w14:paraId="4492077C">
            <w:pPr>
              <w:pStyle w:val="14"/>
              <w:jc w:val="left"/>
              <w:rPr>
                <w:rFonts w:hint="eastAsia" w:hAnsi="宋体"/>
                <w:bCs/>
                <w:sz w:val="20"/>
                <w:szCs w:val="28"/>
              </w:rPr>
            </w:pPr>
            <w:r>
              <w:rPr>
                <w:rFonts w:hint="eastAsia" w:hAnsi="宋体"/>
                <w:bCs/>
                <w:sz w:val="20"/>
                <w:szCs w:val="28"/>
              </w:rPr>
              <w:t>经综合评定承诺后续服务安排及时合理的为“优”的，赋15分；情况为“良”的，赋10分；不能提供的赋</w:t>
            </w:r>
            <w:r>
              <w:rPr>
                <w:rFonts w:hAnsi="宋体"/>
                <w:bCs/>
                <w:sz w:val="20"/>
                <w:szCs w:val="28"/>
              </w:rPr>
              <w:t>0</w:t>
            </w:r>
            <w:r>
              <w:rPr>
                <w:rFonts w:hint="eastAsia" w:hAnsi="宋体"/>
                <w:bCs/>
                <w:sz w:val="20"/>
                <w:szCs w:val="28"/>
              </w:rPr>
              <w:t>分。</w:t>
            </w:r>
          </w:p>
        </w:tc>
      </w:tr>
    </w:tbl>
    <w:p w14:paraId="5500FC16">
      <w:pPr>
        <w:pStyle w:val="72"/>
        <w:numPr>
          <w:ilvl w:val="0"/>
          <w:numId w:val="0"/>
        </w:numPr>
        <w:rPr>
          <w:rFonts w:hint="default" w:ascii="宋体" w:hAnsi="宋体" w:eastAsia="宋体" w:cs="宋体"/>
          <w:b w:val="0"/>
          <w:bCs w:val="0"/>
          <w:sz w:val="24"/>
          <w:szCs w:val="24"/>
          <w:highlight w:val="none"/>
          <w:lang w:val="en-US" w:eastAsia="zh-CN"/>
        </w:rPr>
      </w:pPr>
    </w:p>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w:t>
      </w:r>
      <w:r>
        <w:rPr>
          <w:rFonts w:hint="eastAsia" w:ascii="宋体" w:hAnsi="宋体" w:eastAsia="宋体" w:cs="宋体"/>
          <w:b w:val="0"/>
          <w:bCs w:val="0"/>
          <w:sz w:val="21"/>
          <w:szCs w:val="21"/>
          <w:highlight w:val="none"/>
          <w:lang w:val="en-US" w:eastAsia="zh-CN"/>
        </w:rPr>
        <w:t>分投分中，每个子包类目</w:t>
      </w:r>
      <w:r>
        <w:rPr>
          <w:rFonts w:hint="eastAsia" w:ascii="宋体" w:hAnsi="宋体" w:eastAsia="宋体" w:cs="宋体"/>
          <w:b w:val="0"/>
          <w:bCs w:val="0"/>
          <w:sz w:val="21"/>
          <w:szCs w:val="21"/>
          <w:highlight w:val="none"/>
        </w:rPr>
        <w:t>只产生</w:t>
      </w:r>
      <w:r>
        <w:rPr>
          <w:rFonts w:hint="eastAsia" w:ascii="宋体" w:hAnsi="宋体" w:eastAsia="宋体" w:cs="宋体"/>
          <w:b w:val="0"/>
          <w:bCs w:val="0"/>
          <w:sz w:val="21"/>
          <w:szCs w:val="21"/>
          <w:highlight w:val="none"/>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none"/>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5" w:name="OLE_LINK29"/>
      <w:bookmarkStart w:id="16" w:name="OLE_LINK26"/>
      <w:bookmarkStart w:id="17" w:name="OLE_LINK27"/>
      <w:bookmarkStart w:id="18" w:name="OLE_LINK25"/>
      <w:bookmarkStart w:id="19" w:name="OLE_LINK28"/>
      <w:r>
        <w:rPr>
          <w:rFonts w:hint="eastAsia" w:ascii="宋体" w:hAnsi="宋体" w:eastAsia="宋体" w:cs="宋体"/>
          <w:bCs/>
          <w:sz w:val="21"/>
          <w:szCs w:val="21"/>
          <w:highlight w:val="none"/>
        </w:rPr>
        <w:t>；</w:t>
      </w:r>
      <w:bookmarkEnd w:id="15"/>
      <w:bookmarkEnd w:id="16"/>
      <w:bookmarkEnd w:id="17"/>
      <w:bookmarkEnd w:id="18"/>
      <w:bookmarkEnd w:id="19"/>
    </w:p>
    <w:p w14:paraId="5CD1D199">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610E8BB3">
      <w:pPr>
        <w:pStyle w:val="72"/>
        <w:rPr>
          <w:highlight w:val="none"/>
        </w:rPr>
      </w:pPr>
      <w:r>
        <w:rPr>
          <w:rFonts w:hint="eastAsia"/>
          <w:highlight w:val="none"/>
          <w:lang w:val="en-US" w:eastAsia="zh-CN"/>
        </w:rPr>
        <w:t>付款方式</w:t>
      </w:r>
    </w:p>
    <w:p w14:paraId="677A0908">
      <w:pPr>
        <w:pStyle w:val="14"/>
        <w:spacing w:line="360" w:lineRule="auto"/>
        <w:ind w:firstLine="420" w:firstLineChars="200"/>
        <w:rPr>
          <w:highlight w:val="cyan"/>
        </w:rPr>
      </w:pPr>
      <w:r>
        <w:rPr>
          <w:rFonts w:hint="eastAsia"/>
        </w:rPr>
        <w:t>到货验收合格后，卖方提交金额为合同价款100%的收据并附带金额为该类</w:t>
      </w:r>
      <w:r>
        <w:rPr>
          <w:rFonts w:hint="eastAsia"/>
          <w:color w:val="000000"/>
        </w:rPr>
        <w:t>宣传纪念品</w:t>
      </w:r>
      <w:r>
        <w:rPr>
          <w:rFonts w:hint="eastAsia"/>
        </w:rPr>
        <w:t>价格100%的增值税专用发票（含复印件二份），招标人收到发票后</w:t>
      </w:r>
      <w:r>
        <w:t>2</w:t>
      </w:r>
      <w:r>
        <w:rPr>
          <w:rFonts w:hint="eastAsia"/>
        </w:rPr>
        <w:t>个月内，付款方式为</w:t>
      </w:r>
      <w:r>
        <w:rPr>
          <w:rFonts w:hint="eastAsia"/>
          <w:color w:val="000000"/>
          <w:lang w:val="en-US" w:eastAsia="zh-CN"/>
        </w:rPr>
        <w:t>现金转账</w:t>
      </w:r>
      <w:r>
        <w:rPr>
          <w:rFonts w:hint="eastAsia"/>
          <w:color w:val="000000"/>
        </w:rPr>
        <w:t>方式结算。</w:t>
      </w:r>
    </w:p>
    <w:p w14:paraId="11A96CBD">
      <w:pPr>
        <w:pStyle w:val="72"/>
        <w:rPr>
          <w:rFonts w:hint="eastAsia"/>
          <w:lang w:val="en-US" w:eastAsia="zh-CN"/>
        </w:rPr>
      </w:pPr>
      <w:r>
        <w:rPr>
          <w:rFonts w:hint="eastAsia"/>
          <w:lang w:val="en-US" w:eastAsia="zh-CN"/>
        </w:rPr>
        <w:t>验收及违约责任交货期</w:t>
      </w:r>
    </w:p>
    <w:p w14:paraId="656AD37B">
      <w:pPr>
        <w:pStyle w:val="14"/>
        <w:spacing w:line="360" w:lineRule="auto"/>
        <w:ind w:firstLine="420" w:firstLineChars="200"/>
      </w:pPr>
      <w:r>
        <w:rPr>
          <w:rFonts w:hint="eastAsia"/>
        </w:rPr>
        <w:t>1.按照合同约定执行。</w:t>
      </w:r>
    </w:p>
    <w:p w14:paraId="16EB85E8">
      <w:pPr>
        <w:pStyle w:val="14"/>
        <w:spacing w:line="360" w:lineRule="auto"/>
        <w:ind w:firstLine="420" w:firstLineChars="200"/>
        <w:rPr>
          <w:rFonts w:hint="eastAsia" w:ascii="宋体" w:hAnsi="宋体" w:eastAsia="宋体" w:cs="宋体"/>
          <w:b/>
          <w:color w:val="000000"/>
          <w:sz w:val="24"/>
          <w:szCs w:val="24"/>
          <w:highlight w:val="none"/>
        </w:rPr>
      </w:pPr>
      <w:r>
        <w:rPr>
          <w:rFonts w:hint="eastAsia"/>
        </w:rPr>
        <w:t>2.合同以最终签署版为准。</w:t>
      </w:r>
    </w:p>
    <w:p w14:paraId="243FF35F">
      <w:pPr>
        <w:pStyle w:val="72"/>
        <w:rPr>
          <w:rFonts w:hint="eastAsia"/>
        </w:rPr>
      </w:pPr>
      <w:r>
        <w:rPr>
          <w:rFonts w:hint="eastAsia"/>
          <w:lang w:val="en-US" w:eastAsia="zh-CN"/>
        </w:rPr>
        <w:t>本次招标最终解释权归中国重汽集团</w:t>
      </w:r>
      <w:r>
        <w:rPr>
          <w:rFonts w:hint="eastAsia"/>
          <w:highlight w:val="none"/>
          <w:u w:val="none"/>
          <w:lang w:val="en-US" w:eastAsia="zh-CN"/>
        </w:rPr>
        <w:t>济南动力</w:t>
      </w:r>
      <w:r>
        <w:rPr>
          <w:rFonts w:hint="eastAsia"/>
          <w:highlight w:val="none"/>
          <w:lang w:val="en-US" w:eastAsia="zh-CN"/>
        </w:rPr>
        <w:t>有</w:t>
      </w:r>
      <w:r>
        <w:rPr>
          <w:rFonts w:hint="eastAsia"/>
          <w:lang w:val="en-US" w:eastAsia="zh-CN"/>
        </w:rPr>
        <w:t>限公司。</w:t>
      </w:r>
      <w:bookmarkStart w:id="20" w:name="_Toc47976607"/>
    </w:p>
    <w:bookmarkEnd w:id="20"/>
    <w:p w14:paraId="1FB6CA61">
      <w:pPr>
        <w:pStyle w:val="71"/>
        <w:numPr>
          <w:ilvl w:val="0"/>
          <w:numId w:val="30"/>
        </w:numPr>
        <w:jc w:val="center"/>
        <w:rPr>
          <w:rFonts w:hint="eastAsia"/>
          <w:lang w:val="en-US" w:eastAsia="zh-CN"/>
        </w:rPr>
      </w:pPr>
      <w:bookmarkStart w:id="21" w:name="_Toc1910"/>
      <w:r>
        <w:rPr>
          <w:rFonts w:hint="eastAsia"/>
          <w:lang w:val="en-US" w:eastAsia="zh-CN"/>
        </w:rPr>
        <w:t>技术</w:t>
      </w:r>
      <w:bookmarkEnd w:id="21"/>
      <w:r>
        <w:rPr>
          <w:rFonts w:hint="eastAsia"/>
          <w:lang w:val="en-US" w:eastAsia="zh-CN"/>
        </w:rPr>
        <w:t>规范与评标</w:t>
      </w:r>
    </w:p>
    <w:p w14:paraId="7AD82ABF">
      <w:pPr>
        <w:pStyle w:val="14"/>
        <w:spacing w:line="360" w:lineRule="auto"/>
        <w:rPr>
          <w:rFonts w:ascii="黑体" w:hAnsi="黑体" w:eastAsia="黑体"/>
          <w:b/>
          <w:sz w:val="28"/>
          <w:szCs w:val="28"/>
        </w:rPr>
      </w:pPr>
      <w:r>
        <w:rPr>
          <w:rFonts w:hint="eastAsia" w:ascii="黑体" w:hAnsi="黑体" w:eastAsia="黑体"/>
          <w:b/>
          <w:sz w:val="28"/>
          <w:szCs w:val="28"/>
        </w:rPr>
        <w:t>一、技术标准</w:t>
      </w:r>
    </w:p>
    <w:p w14:paraId="51ECD1A1">
      <w:pPr>
        <w:pStyle w:val="14"/>
        <w:spacing w:line="360" w:lineRule="auto"/>
        <w:ind w:firstLine="420" w:firstLineChars="200"/>
        <w:rPr>
          <w:bCs/>
        </w:rPr>
      </w:pPr>
      <w:r>
        <w:rPr>
          <w:rFonts w:hint="eastAsia"/>
          <w:bCs/>
        </w:rPr>
        <w:t>投标人应与招标人指派的答疑人员充分沟通，理解认可并接受相关技术规范及服务要求，投标A/B/C/D包时需响应包内所含类目。</w:t>
      </w:r>
    </w:p>
    <w:p w14:paraId="0532EB3A">
      <w:pPr>
        <w:pStyle w:val="14"/>
        <w:spacing w:line="360" w:lineRule="auto"/>
        <w:rPr>
          <w:rFonts w:ascii="黑体" w:hAnsi="黑体" w:eastAsia="黑体"/>
          <w:b/>
          <w:bCs/>
          <w:sz w:val="28"/>
          <w:szCs w:val="28"/>
        </w:rPr>
      </w:pPr>
      <w:r>
        <w:rPr>
          <w:rFonts w:hint="eastAsia" w:ascii="黑体" w:hAnsi="黑体" w:eastAsia="黑体"/>
          <w:b/>
          <w:bCs/>
          <w:sz w:val="28"/>
          <w:szCs w:val="28"/>
        </w:rPr>
        <w:t>二、评分标准</w:t>
      </w:r>
    </w:p>
    <w:p w14:paraId="0D76CC77">
      <w:pPr>
        <w:pStyle w:val="14"/>
        <w:spacing w:line="360" w:lineRule="auto"/>
        <w:ind w:firstLine="420" w:firstLineChars="200"/>
        <w:rPr>
          <w:rFonts w:hint="eastAsia"/>
        </w:rPr>
      </w:pPr>
      <w:r>
        <w:rPr>
          <w:rFonts w:hint="eastAsia"/>
        </w:rPr>
        <w:t>1.招标人将坚持“公开、公平、公正”原则，严格按照国家法律法规及公司规章制度要求，设立专家评审小组进行招标评审。</w:t>
      </w:r>
    </w:p>
    <w:p w14:paraId="218EB425">
      <w:pPr>
        <w:pStyle w:val="14"/>
        <w:spacing w:line="360" w:lineRule="auto"/>
        <w:ind w:firstLine="420" w:firstLineChars="200"/>
        <w:rPr>
          <w:highlight w:val="none"/>
        </w:rPr>
      </w:pPr>
      <w:r>
        <w:rPr>
          <w:rFonts w:hint="eastAsia"/>
        </w:rPr>
        <w:t>2.评审小组专家成员先进行技术标、后进行商务标。评审小组成员根据分包要求分别按照技术评分标准进行技术评议，技术讲解以介绍样品为主，根据技术评议结果择优进入商务评标，技术评分</w:t>
      </w:r>
      <w:r>
        <w:rPr>
          <w:rFonts w:hint="eastAsia"/>
          <w:b/>
          <w:bCs/>
        </w:rPr>
        <w:t>低于80分以下者淘汰，</w:t>
      </w:r>
      <w:r>
        <w:rPr>
          <w:rFonts w:hint="eastAsia"/>
        </w:rPr>
        <w:t>技术标得分不带入商务标评议，商务标不再进行打分</w:t>
      </w:r>
      <w:r>
        <w:rPr>
          <w:rFonts w:hint="eastAsia"/>
          <w:highlight w:val="none"/>
        </w:rPr>
        <w:t>。投标方报价包含</w:t>
      </w:r>
      <w:r>
        <w:rPr>
          <w:rFonts w:hint="eastAsia"/>
          <w:b/>
          <w:bCs/>
          <w:highlight w:val="none"/>
        </w:rPr>
        <w:t>各类目总价及单价，</w:t>
      </w:r>
      <w:r>
        <w:rPr>
          <w:rFonts w:hint="eastAsia"/>
          <w:highlight w:val="none"/>
        </w:rPr>
        <w:t>中标结果以综合最低且单类产品报价最低执行，</w:t>
      </w:r>
      <w:r>
        <w:rPr>
          <w:rFonts w:hint="eastAsia"/>
          <w:b/>
          <w:bCs/>
          <w:highlight w:val="none"/>
        </w:rPr>
        <w:t>每个类目只产生一个中标单位</w:t>
      </w:r>
      <w:r>
        <w:rPr>
          <w:rFonts w:hint="eastAsia"/>
          <w:highlight w:val="none"/>
        </w:rPr>
        <w:t>。</w:t>
      </w:r>
    </w:p>
    <w:p w14:paraId="7AA1AAC8">
      <w:pPr>
        <w:pStyle w:val="14"/>
        <w:spacing w:line="360" w:lineRule="auto"/>
        <w:ind w:firstLine="420" w:firstLineChars="200"/>
        <w:rPr>
          <w:rFonts w:hint="eastAsia"/>
        </w:rPr>
      </w:pPr>
      <w:r>
        <w:rPr>
          <w:rFonts w:hint="eastAsia"/>
        </w:rPr>
        <w:t>3.技术评分标准</w:t>
      </w:r>
    </w:p>
    <w:tbl>
      <w:tblPr>
        <w:tblStyle w:val="30"/>
        <w:tblW w:w="9351"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4"/>
        <w:gridCol w:w="1354"/>
        <w:gridCol w:w="6643"/>
      </w:tblGrid>
      <w:tr w14:paraId="76A88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1354" w:type="dxa"/>
            <w:tcBorders>
              <w:top w:val="single" w:color="auto" w:sz="4" w:space="0"/>
              <w:left w:val="single" w:color="auto" w:sz="4" w:space="0"/>
              <w:bottom w:val="single" w:color="auto" w:sz="4" w:space="0"/>
              <w:right w:val="single" w:color="auto" w:sz="4" w:space="0"/>
            </w:tcBorders>
            <w:vAlign w:val="center"/>
          </w:tcPr>
          <w:p w14:paraId="29AC7833">
            <w:pPr>
              <w:pStyle w:val="14"/>
              <w:jc w:val="center"/>
              <w:rPr>
                <w:rFonts w:hint="eastAsia" w:hAnsi="宋体"/>
                <w:bCs/>
                <w:sz w:val="20"/>
                <w:szCs w:val="28"/>
              </w:rPr>
            </w:pPr>
            <w:r>
              <w:rPr>
                <w:rFonts w:hint="eastAsia" w:hAnsi="宋体"/>
                <w:bCs/>
                <w:sz w:val="20"/>
                <w:szCs w:val="28"/>
              </w:rPr>
              <w:t>类别</w:t>
            </w:r>
          </w:p>
        </w:tc>
        <w:tc>
          <w:tcPr>
            <w:tcW w:w="1354" w:type="dxa"/>
            <w:tcBorders>
              <w:top w:val="single" w:color="auto" w:sz="4" w:space="0"/>
              <w:left w:val="single" w:color="auto" w:sz="4" w:space="0"/>
              <w:bottom w:val="single" w:color="auto" w:sz="4" w:space="0"/>
              <w:right w:val="single" w:color="auto" w:sz="4" w:space="0"/>
            </w:tcBorders>
            <w:vAlign w:val="center"/>
          </w:tcPr>
          <w:p w14:paraId="2E043FD9">
            <w:pPr>
              <w:pStyle w:val="14"/>
              <w:jc w:val="center"/>
              <w:rPr>
                <w:rFonts w:hAnsi="宋体"/>
                <w:bCs/>
                <w:sz w:val="20"/>
                <w:szCs w:val="28"/>
              </w:rPr>
            </w:pPr>
            <w:r>
              <w:rPr>
                <w:rFonts w:hint="eastAsia" w:hAnsi="宋体"/>
                <w:bCs/>
                <w:sz w:val="20"/>
                <w:szCs w:val="28"/>
              </w:rPr>
              <w:t>评分内容</w:t>
            </w:r>
          </w:p>
        </w:tc>
        <w:tc>
          <w:tcPr>
            <w:tcW w:w="6643" w:type="dxa"/>
            <w:tcBorders>
              <w:top w:val="single" w:color="auto" w:sz="4" w:space="0"/>
              <w:left w:val="single" w:color="auto" w:sz="4" w:space="0"/>
              <w:bottom w:val="single" w:color="auto" w:sz="4" w:space="0"/>
              <w:right w:val="single" w:color="auto" w:sz="4" w:space="0"/>
            </w:tcBorders>
            <w:vAlign w:val="center"/>
          </w:tcPr>
          <w:p w14:paraId="72C868D5">
            <w:pPr>
              <w:pStyle w:val="14"/>
              <w:jc w:val="center"/>
              <w:rPr>
                <w:rFonts w:hAnsi="宋体"/>
                <w:bCs/>
                <w:sz w:val="20"/>
                <w:szCs w:val="28"/>
              </w:rPr>
            </w:pPr>
            <w:r>
              <w:rPr>
                <w:rFonts w:hint="eastAsia" w:hAnsi="宋体"/>
                <w:bCs/>
                <w:sz w:val="20"/>
                <w:szCs w:val="28"/>
              </w:rPr>
              <w:t>评分标准</w:t>
            </w:r>
          </w:p>
        </w:tc>
      </w:tr>
      <w:tr w14:paraId="19FA7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1354" w:type="dxa"/>
            <w:vMerge w:val="restart"/>
            <w:tcBorders>
              <w:top w:val="single" w:color="auto" w:sz="4" w:space="0"/>
              <w:left w:val="single" w:color="auto" w:sz="4" w:space="0"/>
              <w:right w:val="single" w:color="auto" w:sz="4" w:space="0"/>
            </w:tcBorders>
          </w:tcPr>
          <w:p w14:paraId="1859014C">
            <w:pPr>
              <w:pStyle w:val="14"/>
              <w:jc w:val="center"/>
              <w:rPr>
                <w:rFonts w:hint="eastAsia" w:hAnsi="宋体"/>
                <w:bCs/>
                <w:sz w:val="20"/>
                <w:szCs w:val="28"/>
              </w:rPr>
            </w:pPr>
          </w:p>
          <w:p w14:paraId="7D00A62A">
            <w:pPr>
              <w:pStyle w:val="14"/>
              <w:jc w:val="center"/>
              <w:rPr>
                <w:rFonts w:hint="eastAsia" w:hAnsi="宋体"/>
                <w:bCs/>
                <w:sz w:val="20"/>
                <w:szCs w:val="28"/>
              </w:rPr>
            </w:pPr>
          </w:p>
          <w:p w14:paraId="4AD2B348">
            <w:pPr>
              <w:pStyle w:val="14"/>
              <w:jc w:val="center"/>
              <w:rPr>
                <w:rFonts w:hint="eastAsia" w:hAnsi="宋体"/>
                <w:bCs/>
                <w:sz w:val="20"/>
                <w:szCs w:val="28"/>
              </w:rPr>
            </w:pPr>
          </w:p>
          <w:p w14:paraId="5AD9563C">
            <w:pPr>
              <w:pStyle w:val="14"/>
              <w:jc w:val="center"/>
              <w:rPr>
                <w:rFonts w:hint="eastAsia" w:hAnsi="宋体"/>
                <w:bCs/>
                <w:sz w:val="20"/>
                <w:szCs w:val="28"/>
              </w:rPr>
            </w:pPr>
          </w:p>
          <w:p w14:paraId="44177B2E">
            <w:pPr>
              <w:pStyle w:val="14"/>
              <w:jc w:val="center"/>
              <w:rPr>
                <w:rFonts w:hint="eastAsia" w:hAnsi="宋体"/>
                <w:bCs/>
                <w:sz w:val="20"/>
                <w:szCs w:val="28"/>
              </w:rPr>
            </w:pPr>
          </w:p>
          <w:p w14:paraId="65547672">
            <w:pPr>
              <w:pStyle w:val="14"/>
              <w:jc w:val="center"/>
              <w:rPr>
                <w:rFonts w:hint="eastAsia" w:hAnsi="宋体"/>
                <w:bCs/>
                <w:sz w:val="20"/>
                <w:szCs w:val="28"/>
              </w:rPr>
            </w:pPr>
          </w:p>
          <w:p w14:paraId="0469FCCB">
            <w:pPr>
              <w:pStyle w:val="14"/>
              <w:jc w:val="center"/>
              <w:rPr>
                <w:rFonts w:hint="eastAsia" w:hAnsi="宋体"/>
                <w:bCs/>
                <w:sz w:val="20"/>
                <w:szCs w:val="28"/>
              </w:rPr>
            </w:pPr>
          </w:p>
          <w:p w14:paraId="43886A3A">
            <w:pPr>
              <w:pStyle w:val="14"/>
              <w:jc w:val="center"/>
              <w:rPr>
                <w:rFonts w:hint="eastAsia" w:hAnsi="宋体"/>
                <w:bCs/>
                <w:sz w:val="20"/>
                <w:szCs w:val="28"/>
              </w:rPr>
            </w:pPr>
            <w:r>
              <w:rPr>
                <w:rFonts w:hint="eastAsia" w:hAnsi="宋体"/>
                <w:bCs/>
                <w:sz w:val="20"/>
                <w:szCs w:val="28"/>
              </w:rPr>
              <w:t>技术评分</w:t>
            </w:r>
          </w:p>
        </w:tc>
        <w:tc>
          <w:tcPr>
            <w:tcW w:w="1354" w:type="dxa"/>
            <w:tcBorders>
              <w:top w:val="single" w:color="auto" w:sz="4" w:space="0"/>
              <w:left w:val="single" w:color="auto" w:sz="4" w:space="0"/>
              <w:bottom w:val="single" w:color="auto" w:sz="4" w:space="0"/>
              <w:right w:val="single" w:color="auto" w:sz="4" w:space="0"/>
            </w:tcBorders>
            <w:vAlign w:val="center"/>
          </w:tcPr>
          <w:p w14:paraId="419E9B48">
            <w:pPr>
              <w:pStyle w:val="14"/>
              <w:jc w:val="center"/>
              <w:rPr>
                <w:rFonts w:hAnsi="宋体"/>
                <w:bCs/>
                <w:sz w:val="20"/>
                <w:szCs w:val="28"/>
              </w:rPr>
            </w:pPr>
            <w:r>
              <w:rPr>
                <w:rFonts w:hint="eastAsia" w:hAnsi="宋体"/>
                <w:bCs/>
                <w:sz w:val="20"/>
                <w:szCs w:val="28"/>
              </w:rPr>
              <w:t>产品质量</w:t>
            </w:r>
          </w:p>
          <w:p w14:paraId="1D072862">
            <w:pPr>
              <w:pStyle w:val="14"/>
              <w:jc w:val="center"/>
              <w:rPr>
                <w:rFonts w:hAnsi="宋体"/>
                <w:bCs/>
                <w:sz w:val="20"/>
                <w:szCs w:val="28"/>
              </w:rPr>
            </w:pPr>
            <w:r>
              <w:rPr>
                <w:rFonts w:hint="eastAsia" w:hAnsi="宋体"/>
                <w:bCs/>
                <w:sz w:val="20"/>
                <w:szCs w:val="28"/>
              </w:rPr>
              <w:t>（60分）</w:t>
            </w:r>
          </w:p>
        </w:tc>
        <w:tc>
          <w:tcPr>
            <w:tcW w:w="6643" w:type="dxa"/>
            <w:tcBorders>
              <w:top w:val="single" w:color="auto" w:sz="4" w:space="0"/>
              <w:left w:val="single" w:color="auto" w:sz="4" w:space="0"/>
              <w:bottom w:val="single" w:color="auto" w:sz="4" w:space="0"/>
              <w:right w:val="single" w:color="auto" w:sz="4" w:space="0"/>
            </w:tcBorders>
          </w:tcPr>
          <w:p w14:paraId="7A255AA5">
            <w:pPr>
              <w:pStyle w:val="14"/>
              <w:jc w:val="left"/>
              <w:rPr>
                <w:rFonts w:hAnsi="宋体"/>
                <w:bCs/>
                <w:sz w:val="20"/>
                <w:szCs w:val="28"/>
              </w:rPr>
            </w:pPr>
            <w:r>
              <w:rPr>
                <w:rFonts w:hint="eastAsia" w:hAnsi="宋体" w:cs="宋体"/>
                <w:color w:val="000000"/>
                <w:kern w:val="0"/>
                <w:sz w:val="20"/>
                <w:szCs w:val="28"/>
              </w:rPr>
              <w:t>投标单位务必携带同类产品样品及包装，样品需提供符合要求的产品含包装，</w:t>
            </w:r>
            <w:r>
              <w:rPr>
                <w:rFonts w:hint="eastAsia" w:hAnsi="宋体"/>
                <w:bCs/>
                <w:sz w:val="20"/>
                <w:szCs w:val="28"/>
              </w:rPr>
              <w:t>现场提供的样品需封样，如中标后抽查实际采购与样品质量不符，一次性扣除履约保证金并纳入供应商黑名单。</w:t>
            </w:r>
          </w:p>
          <w:p w14:paraId="01DB8A5B">
            <w:pPr>
              <w:pStyle w:val="14"/>
              <w:jc w:val="left"/>
              <w:rPr>
                <w:rFonts w:hAnsi="宋体" w:cs="宋体"/>
                <w:color w:val="000000"/>
                <w:kern w:val="0"/>
                <w:sz w:val="20"/>
                <w:szCs w:val="28"/>
              </w:rPr>
            </w:pPr>
            <w:r>
              <w:rPr>
                <w:rFonts w:hint="eastAsia" w:hAnsi="宋体"/>
                <w:bCs/>
                <w:sz w:val="20"/>
                <w:szCs w:val="28"/>
              </w:rPr>
              <w:t>经综合评定携带投标样品种类齐全、质量为“优”的，赋41～60分；情况为“良”的，赋25～40分；情况为“一般”的，赋24分及以下，最少0分。</w:t>
            </w:r>
          </w:p>
        </w:tc>
      </w:tr>
      <w:tr w14:paraId="6ED28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1354" w:type="dxa"/>
            <w:vMerge w:val="continue"/>
            <w:tcBorders>
              <w:left w:val="single" w:color="auto" w:sz="4" w:space="0"/>
              <w:right w:val="single" w:color="auto" w:sz="4" w:space="0"/>
            </w:tcBorders>
          </w:tcPr>
          <w:p w14:paraId="08FA0794">
            <w:pPr>
              <w:pStyle w:val="14"/>
              <w:jc w:val="center"/>
              <w:rPr>
                <w:rFonts w:hint="eastAsia" w:hAnsi="宋体"/>
                <w:bCs/>
                <w:sz w:val="20"/>
                <w:szCs w:val="28"/>
              </w:rPr>
            </w:pPr>
          </w:p>
        </w:tc>
        <w:tc>
          <w:tcPr>
            <w:tcW w:w="1354" w:type="dxa"/>
            <w:tcBorders>
              <w:top w:val="single" w:color="auto" w:sz="4" w:space="0"/>
              <w:left w:val="single" w:color="auto" w:sz="4" w:space="0"/>
              <w:bottom w:val="single" w:color="auto" w:sz="4" w:space="0"/>
              <w:right w:val="single" w:color="auto" w:sz="4" w:space="0"/>
            </w:tcBorders>
            <w:vAlign w:val="center"/>
          </w:tcPr>
          <w:p w14:paraId="7E0608A8">
            <w:pPr>
              <w:pStyle w:val="14"/>
              <w:jc w:val="center"/>
              <w:rPr>
                <w:rFonts w:hint="eastAsia" w:hAnsi="宋体"/>
                <w:bCs/>
                <w:sz w:val="20"/>
                <w:szCs w:val="28"/>
              </w:rPr>
            </w:pPr>
            <w:r>
              <w:rPr>
                <w:rFonts w:hint="eastAsia" w:hAnsi="宋体"/>
                <w:bCs/>
                <w:sz w:val="20"/>
                <w:szCs w:val="28"/>
              </w:rPr>
              <w:t>合同履约</w:t>
            </w:r>
          </w:p>
          <w:p w14:paraId="385AB4DD">
            <w:pPr>
              <w:pStyle w:val="14"/>
              <w:jc w:val="center"/>
              <w:rPr>
                <w:rFonts w:hAnsi="宋体"/>
                <w:bCs/>
                <w:sz w:val="20"/>
                <w:szCs w:val="28"/>
              </w:rPr>
            </w:pPr>
            <w:r>
              <w:rPr>
                <w:rFonts w:hint="eastAsia" w:hAnsi="宋体"/>
                <w:bCs/>
                <w:sz w:val="20"/>
                <w:szCs w:val="28"/>
              </w:rPr>
              <w:t>能力</w:t>
            </w:r>
          </w:p>
          <w:p w14:paraId="72BD40BB">
            <w:pPr>
              <w:pStyle w:val="14"/>
              <w:jc w:val="center"/>
              <w:rPr>
                <w:rFonts w:hAnsi="宋体"/>
                <w:bCs/>
                <w:sz w:val="20"/>
                <w:szCs w:val="28"/>
              </w:rPr>
            </w:pPr>
            <w:r>
              <w:rPr>
                <w:rFonts w:hint="eastAsia" w:hAnsi="宋体"/>
                <w:bCs/>
                <w:sz w:val="20"/>
                <w:szCs w:val="28"/>
              </w:rPr>
              <w:t>（25分）</w:t>
            </w:r>
          </w:p>
        </w:tc>
        <w:tc>
          <w:tcPr>
            <w:tcW w:w="6643" w:type="dxa"/>
            <w:tcBorders>
              <w:top w:val="single" w:color="auto" w:sz="4" w:space="0"/>
              <w:left w:val="single" w:color="auto" w:sz="4" w:space="0"/>
              <w:bottom w:val="single" w:color="auto" w:sz="4" w:space="0"/>
              <w:right w:val="single" w:color="auto" w:sz="4" w:space="0"/>
            </w:tcBorders>
          </w:tcPr>
          <w:p w14:paraId="2329C23E">
            <w:pPr>
              <w:pStyle w:val="14"/>
              <w:jc w:val="left"/>
              <w:rPr>
                <w:rFonts w:hAnsi="宋体"/>
                <w:bCs/>
                <w:sz w:val="20"/>
                <w:szCs w:val="28"/>
              </w:rPr>
            </w:pPr>
            <w:r>
              <w:rPr>
                <w:rFonts w:hint="eastAsia" w:hAnsi="宋体" w:cs="宋体"/>
                <w:color w:val="000000"/>
                <w:kern w:val="0"/>
                <w:sz w:val="20"/>
                <w:szCs w:val="28"/>
              </w:rPr>
              <w:t>1、根据投标单位的单位规模及相关物料设备数量进行打分，提供标书内相应证明材料的为10分，不提供的为0分，如弄虚作假行为，一经发现</w:t>
            </w:r>
            <w:r>
              <w:rPr>
                <w:rFonts w:hint="eastAsia" w:hAnsi="宋体"/>
                <w:bCs/>
                <w:sz w:val="20"/>
                <w:szCs w:val="28"/>
              </w:rPr>
              <w:t>一次性扣除履约保证金并纳入供应商黑名单。</w:t>
            </w:r>
          </w:p>
          <w:p w14:paraId="198889B6">
            <w:pPr>
              <w:pStyle w:val="14"/>
              <w:jc w:val="left"/>
              <w:rPr>
                <w:rFonts w:hint="eastAsia" w:hAnsi="宋体"/>
                <w:bCs/>
                <w:sz w:val="20"/>
                <w:szCs w:val="28"/>
              </w:rPr>
            </w:pPr>
            <w:r>
              <w:rPr>
                <w:rFonts w:hint="eastAsia" w:hAnsi="宋体"/>
                <w:bCs/>
                <w:sz w:val="20"/>
                <w:szCs w:val="28"/>
              </w:rPr>
              <w:t>2、供货周期小于等于25天赋15分；大于25天小于等于35天赋10分；大于35天小于等于45天赋5分；大于45天赋0分。</w:t>
            </w:r>
          </w:p>
          <w:p w14:paraId="4D910FA8">
            <w:pPr>
              <w:pStyle w:val="14"/>
              <w:jc w:val="left"/>
              <w:rPr>
                <w:rFonts w:hAnsi="宋体"/>
                <w:bCs/>
                <w:sz w:val="20"/>
                <w:szCs w:val="28"/>
              </w:rPr>
            </w:pPr>
            <w:r>
              <w:rPr>
                <w:rFonts w:hint="eastAsia" w:hAnsi="宋体"/>
                <w:bCs/>
                <w:sz w:val="20"/>
                <w:szCs w:val="28"/>
              </w:rPr>
              <w:t>经综合评定，第一项与第二项分数相加，20～25分的综合实力为“优”；15～20分情况为“良”，15分及以下情况为“一般”，最少0分。</w:t>
            </w:r>
          </w:p>
        </w:tc>
      </w:tr>
      <w:tr w14:paraId="174A2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1354" w:type="dxa"/>
            <w:vMerge w:val="continue"/>
            <w:tcBorders>
              <w:left w:val="single" w:color="auto" w:sz="4" w:space="0"/>
              <w:bottom w:val="single" w:color="auto" w:sz="4" w:space="0"/>
              <w:right w:val="single" w:color="auto" w:sz="4" w:space="0"/>
            </w:tcBorders>
          </w:tcPr>
          <w:p w14:paraId="6858AC51">
            <w:pPr>
              <w:pStyle w:val="14"/>
              <w:jc w:val="center"/>
              <w:rPr>
                <w:rFonts w:hint="eastAsia" w:hAnsi="宋体"/>
                <w:bCs/>
                <w:sz w:val="20"/>
                <w:szCs w:val="28"/>
              </w:rPr>
            </w:pPr>
          </w:p>
        </w:tc>
        <w:tc>
          <w:tcPr>
            <w:tcW w:w="1354" w:type="dxa"/>
            <w:tcBorders>
              <w:top w:val="single" w:color="auto" w:sz="4" w:space="0"/>
              <w:left w:val="single" w:color="auto" w:sz="4" w:space="0"/>
              <w:bottom w:val="single" w:color="auto" w:sz="4" w:space="0"/>
              <w:right w:val="single" w:color="auto" w:sz="4" w:space="0"/>
            </w:tcBorders>
            <w:vAlign w:val="center"/>
          </w:tcPr>
          <w:p w14:paraId="4FCA9C62">
            <w:pPr>
              <w:pStyle w:val="14"/>
              <w:jc w:val="center"/>
              <w:rPr>
                <w:rFonts w:hAnsi="宋体"/>
                <w:bCs/>
                <w:sz w:val="20"/>
                <w:szCs w:val="28"/>
              </w:rPr>
            </w:pPr>
            <w:r>
              <w:rPr>
                <w:rFonts w:hint="eastAsia" w:hAnsi="宋体"/>
                <w:bCs/>
                <w:sz w:val="20"/>
                <w:szCs w:val="28"/>
              </w:rPr>
              <w:t>响应程度</w:t>
            </w:r>
          </w:p>
          <w:p w14:paraId="4FBDCDD6">
            <w:pPr>
              <w:pStyle w:val="14"/>
              <w:jc w:val="center"/>
              <w:rPr>
                <w:rFonts w:hint="eastAsia" w:hAnsi="宋体"/>
                <w:bCs/>
                <w:sz w:val="20"/>
                <w:szCs w:val="28"/>
              </w:rPr>
            </w:pPr>
            <w:r>
              <w:rPr>
                <w:rFonts w:hint="eastAsia" w:hAnsi="宋体"/>
                <w:bCs/>
                <w:sz w:val="20"/>
                <w:szCs w:val="28"/>
              </w:rPr>
              <w:t>（15分）</w:t>
            </w:r>
          </w:p>
        </w:tc>
        <w:tc>
          <w:tcPr>
            <w:tcW w:w="6643" w:type="dxa"/>
            <w:tcBorders>
              <w:top w:val="single" w:color="auto" w:sz="4" w:space="0"/>
              <w:left w:val="single" w:color="auto" w:sz="4" w:space="0"/>
              <w:bottom w:val="single" w:color="auto" w:sz="4" w:space="0"/>
              <w:right w:val="single" w:color="auto" w:sz="4" w:space="0"/>
            </w:tcBorders>
          </w:tcPr>
          <w:p w14:paraId="02AF14BA">
            <w:pPr>
              <w:pStyle w:val="14"/>
              <w:jc w:val="left"/>
              <w:rPr>
                <w:rFonts w:hAnsi="宋体" w:cs="宋体"/>
                <w:color w:val="000000"/>
                <w:kern w:val="0"/>
                <w:sz w:val="20"/>
                <w:szCs w:val="28"/>
              </w:rPr>
            </w:pPr>
            <w:r>
              <w:rPr>
                <w:rFonts w:hint="eastAsia" w:hAnsi="宋体" w:cs="宋体"/>
                <w:color w:val="000000"/>
                <w:kern w:val="0"/>
                <w:sz w:val="20"/>
                <w:szCs w:val="28"/>
              </w:rPr>
              <w:t>投标单位为保证招标方物料及时到位，所能提供的服务内容及响应程度进行打分，包含服务承诺、售后承诺、响应承诺等，格式自拟。</w:t>
            </w:r>
          </w:p>
          <w:p w14:paraId="4CA8647C">
            <w:pPr>
              <w:pStyle w:val="14"/>
              <w:jc w:val="left"/>
              <w:rPr>
                <w:rFonts w:hint="eastAsia" w:hAnsi="宋体"/>
                <w:bCs/>
                <w:sz w:val="20"/>
                <w:szCs w:val="28"/>
              </w:rPr>
            </w:pPr>
            <w:r>
              <w:rPr>
                <w:rFonts w:hint="eastAsia" w:hAnsi="宋体"/>
                <w:bCs/>
                <w:sz w:val="20"/>
                <w:szCs w:val="28"/>
              </w:rPr>
              <w:t>经综合评定承诺后续服务安排及时合理的为“优”的，赋15分；情况为“良”的，赋10分；不能提供的赋</w:t>
            </w:r>
            <w:r>
              <w:rPr>
                <w:rFonts w:hAnsi="宋体"/>
                <w:bCs/>
                <w:sz w:val="20"/>
                <w:szCs w:val="28"/>
              </w:rPr>
              <w:t>0</w:t>
            </w:r>
            <w:r>
              <w:rPr>
                <w:rFonts w:hint="eastAsia" w:hAnsi="宋体"/>
                <w:bCs/>
                <w:sz w:val="20"/>
                <w:szCs w:val="28"/>
              </w:rPr>
              <w:t>分。</w:t>
            </w:r>
          </w:p>
        </w:tc>
      </w:tr>
    </w:tbl>
    <w:p w14:paraId="7C5C06AE">
      <w:pPr>
        <w:pStyle w:val="14"/>
        <w:spacing w:line="360" w:lineRule="auto"/>
        <w:rPr>
          <w:rFonts w:hint="eastAsia" w:ascii="黑体" w:eastAsia="黑体"/>
          <w:b/>
          <w:bCs/>
          <w:sz w:val="28"/>
        </w:rPr>
      </w:pPr>
      <w:r>
        <w:rPr>
          <w:rFonts w:hint="eastAsia" w:ascii="黑体" w:eastAsia="黑体"/>
          <w:b/>
          <w:bCs/>
          <w:sz w:val="28"/>
        </w:rPr>
        <w:t>三、合同签订</w:t>
      </w:r>
    </w:p>
    <w:p w14:paraId="71793C64">
      <w:pPr>
        <w:pStyle w:val="14"/>
        <w:spacing w:line="360" w:lineRule="auto"/>
        <w:ind w:firstLine="420" w:firstLineChars="200"/>
        <w:rPr>
          <w:rFonts w:hint="eastAsia"/>
        </w:rPr>
      </w:pPr>
      <w:r>
        <w:rPr>
          <w:rFonts w:hint="eastAsia"/>
        </w:rPr>
        <w:t>1. 招标人根据评标工作小组的评标结果按相关法律法规的规定及公司相关制度要求，确定中标人。中标人承诺无条件服从招标人针对该项目的后续所有安排。</w:t>
      </w:r>
    </w:p>
    <w:p w14:paraId="530EB9D8">
      <w:pPr>
        <w:pStyle w:val="14"/>
        <w:spacing w:line="360" w:lineRule="auto"/>
        <w:ind w:firstLine="420" w:firstLineChars="200"/>
        <w:rPr>
          <w:rFonts w:hint="eastAsia" w:hAnsi="宋体"/>
          <w:szCs w:val="21"/>
        </w:rPr>
      </w:pPr>
      <w:r>
        <w:rPr>
          <w:rFonts w:hint="eastAsia" w:hAnsi="宋体"/>
          <w:szCs w:val="21"/>
        </w:rPr>
        <w:t>2、中标人接到中标通知后，无</w:t>
      </w:r>
      <w:r>
        <w:rPr>
          <w:rFonts w:hAnsi="宋体"/>
          <w:szCs w:val="21"/>
        </w:rPr>
        <w:t>不正当理由</w:t>
      </w:r>
      <w:r>
        <w:rPr>
          <w:rFonts w:hint="eastAsia" w:hAnsi="宋体"/>
          <w:szCs w:val="21"/>
        </w:rPr>
        <w:t>拒签</w:t>
      </w:r>
      <w:r>
        <w:rPr>
          <w:rFonts w:hAnsi="宋体"/>
          <w:szCs w:val="21"/>
        </w:rPr>
        <w:t>合同</w:t>
      </w:r>
      <w:r>
        <w:rPr>
          <w:rFonts w:hint="eastAsia" w:hAnsi="宋体"/>
          <w:szCs w:val="21"/>
        </w:rPr>
        <w:t>、</w:t>
      </w:r>
      <w:r>
        <w:rPr>
          <w:rFonts w:hAnsi="宋体"/>
          <w:szCs w:val="21"/>
        </w:rPr>
        <w:t>在签订合同时向招标人提出</w:t>
      </w:r>
      <w:r>
        <w:rPr>
          <w:rFonts w:hint="eastAsia" w:hAnsi="宋体"/>
          <w:szCs w:val="21"/>
        </w:rPr>
        <w:t>无理</w:t>
      </w:r>
      <w:r>
        <w:rPr>
          <w:rFonts w:hAnsi="宋体"/>
          <w:szCs w:val="21"/>
        </w:rPr>
        <w:t>附加条件</w:t>
      </w:r>
      <w:r>
        <w:rPr>
          <w:rFonts w:hint="eastAsia" w:hAnsi="宋体"/>
          <w:szCs w:val="21"/>
        </w:rPr>
        <w:t>的，取消该投标人的中标资格</w:t>
      </w:r>
      <w:r>
        <w:rPr>
          <w:rFonts w:hAnsi="宋体"/>
          <w:szCs w:val="21"/>
        </w:rPr>
        <w:t>，</w:t>
      </w:r>
      <w:r>
        <w:rPr>
          <w:rFonts w:hint="eastAsia" w:hAnsi="宋体"/>
          <w:szCs w:val="21"/>
        </w:rPr>
        <w:t>该企业进入中国重汽集团《违约单位名录》,禁止其参加中国重汽集团系统内所有单位招标。</w:t>
      </w:r>
    </w:p>
    <w:p w14:paraId="76FC747F">
      <w:pPr>
        <w:pStyle w:val="14"/>
        <w:spacing w:line="360" w:lineRule="auto"/>
        <w:ind w:firstLine="420" w:firstLineChars="200"/>
        <w:rPr>
          <w:rFonts w:hint="eastAsia" w:hAnsi="宋体"/>
          <w:szCs w:val="21"/>
        </w:rPr>
      </w:pPr>
      <w:r>
        <w:rPr>
          <w:rFonts w:hAnsi="宋体"/>
          <w:szCs w:val="21"/>
        </w:rPr>
        <w:t>3</w:t>
      </w:r>
      <w:r>
        <w:rPr>
          <w:rFonts w:hint="eastAsia" w:hAnsi="宋体"/>
          <w:szCs w:val="21"/>
        </w:rPr>
        <w:t>.中标人应在保证质量的前提下完成中标项目，不得将中标项目转包或分包给他人，否则视为违约，招标人或相关单位有权解除合同。</w:t>
      </w:r>
    </w:p>
    <w:p w14:paraId="4E0E34F5">
      <w:pPr>
        <w:pStyle w:val="14"/>
        <w:spacing w:line="360" w:lineRule="auto"/>
        <w:ind w:firstLine="420" w:firstLineChars="200"/>
        <w:rPr>
          <w:rFonts w:hint="eastAsia" w:hAnsi="宋体"/>
          <w:szCs w:val="21"/>
        </w:rPr>
      </w:pPr>
      <w:r>
        <w:rPr>
          <w:rFonts w:hAnsi="宋体"/>
          <w:szCs w:val="21"/>
        </w:rPr>
        <w:t>4</w:t>
      </w:r>
      <w:r>
        <w:rPr>
          <w:rFonts w:hint="eastAsia" w:hAnsi="宋体"/>
          <w:szCs w:val="21"/>
        </w:rPr>
        <w:t>.在</w:t>
      </w:r>
      <w:r>
        <w:rPr>
          <w:rFonts w:hint="eastAsia"/>
          <w:szCs w:val="21"/>
        </w:rPr>
        <w:t>履行</w:t>
      </w:r>
      <w:r>
        <w:rPr>
          <w:rFonts w:hint="eastAsia" w:hAnsi="宋体"/>
          <w:szCs w:val="21"/>
        </w:rPr>
        <w:t>合同过程中，中标人</w:t>
      </w:r>
      <w:r>
        <w:rPr>
          <w:rFonts w:hint="eastAsia"/>
          <w:szCs w:val="21"/>
        </w:rPr>
        <w:t>由于履行义务的能力或信用有严重缺陷，</w:t>
      </w:r>
      <w:r>
        <w:rPr>
          <w:rFonts w:hint="eastAsia" w:hAnsi="宋体"/>
          <w:szCs w:val="21"/>
        </w:rPr>
        <w:t>招标人有权解除合同并取消其中标资格，招标人将从剩余投标人中依序重新确定中标人，或重新组织招标。</w:t>
      </w:r>
    </w:p>
    <w:p w14:paraId="1212688F">
      <w:pPr>
        <w:pStyle w:val="14"/>
        <w:spacing w:line="360" w:lineRule="auto"/>
        <w:rPr>
          <w:rFonts w:ascii="黑体" w:hAnsi="黑体" w:eastAsia="黑体"/>
          <w:sz w:val="28"/>
          <w:szCs w:val="28"/>
        </w:rPr>
      </w:pPr>
      <w:r>
        <w:rPr>
          <w:rFonts w:hint="eastAsia" w:ascii="黑体" w:hAnsi="黑体" w:eastAsia="黑体"/>
          <w:b/>
          <w:bCs/>
          <w:sz w:val="28"/>
          <w:szCs w:val="28"/>
        </w:rPr>
        <w:t>四、验收</w:t>
      </w:r>
    </w:p>
    <w:p w14:paraId="6741E959">
      <w:pPr>
        <w:spacing w:line="360" w:lineRule="auto"/>
        <w:ind w:firstLine="420" w:firstLineChars="200"/>
        <w:rPr>
          <w:rFonts w:hint="eastAsia" w:hAnsi="宋体"/>
          <w:szCs w:val="21"/>
        </w:rPr>
      </w:pPr>
      <w:r>
        <w:rPr>
          <w:rFonts w:hint="eastAsia"/>
        </w:rPr>
        <w:t>中标人不得以任何非正当理由拒绝制作</w:t>
      </w:r>
      <w:r>
        <w:rPr>
          <w:rFonts w:hint="eastAsia" w:ascii="宋体" w:hAnsi="Courier New"/>
          <w:szCs w:val="22"/>
        </w:rPr>
        <w:t>。合同期内，乙方必须服从管理，如严重违规，给甲方造成重大损失的，甲方有权采取包括但不限于罚款及单方面终止合同等措施进行处罚,</w:t>
      </w:r>
      <w:r>
        <w:rPr>
          <w:rFonts w:hint="eastAsia" w:hAnsi="宋体"/>
          <w:szCs w:val="21"/>
        </w:rPr>
        <w:t>合同约定以最终签署版本为准。</w:t>
      </w:r>
    </w:p>
    <w:p w14:paraId="2F724728">
      <w:pPr>
        <w:pStyle w:val="71"/>
        <w:numPr>
          <w:ilvl w:val="0"/>
          <w:numId w:val="0"/>
        </w:numPr>
        <w:jc w:val="both"/>
        <w:rPr>
          <w:rFonts w:hint="default"/>
          <w:lang w:val="en-US" w:eastAsia="zh-CN"/>
        </w:rPr>
      </w:pPr>
    </w:p>
    <w:p w14:paraId="52772E40">
      <w:pPr>
        <w:pStyle w:val="76"/>
        <w:rPr>
          <w:b/>
          <w:bCs/>
        </w:rPr>
      </w:pPr>
    </w:p>
    <w:p w14:paraId="41362990">
      <w:pPr>
        <w:pStyle w:val="76"/>
        <w:rPr>
          <w:b/>
          <w:bCs/>
        </w:rPr>
      </w:pPr>
    </w:p>
    <w:p w14:paraId="654EBC09">
      <w:pPr>
        <w:pStyle w:val="76"/>
        <w:rPr>
          <w:b/>
          <w:bCs/>
        </w:rPr>
      </w:pPr>
    </w:p>
    <w:p w14:paraId="03A4D662">
      <w:pPr>
        <w:pStyle w:val="76"/>
        <w:rPr>
          <w:b/>
          <w:bCs/>
        </w:rPr>
      </w:pPr>
    </w:p>
    <w:p w14:paraId="548B73A4">
      <w:pPr>
        <w:pStyle w:val="76"/>
        <w:rPr>
          <w:b/>
          <w:bCs/>
        </w:rPr>
      </w:pPr>
    </w:p>
    <w:p w14:paraId="7D18620C">
      <w:pPr>
        <w:pStyle w:val="76"/>
        <w:rPr>
          <w:b/>
          <w:bCs/>
        </w:rPr>
      </w:pPr>
    </w:p>
    <w:p w14:paraId="39C03B5E">
      <w:pPr>
        <w:pStyle w:val="76"/>
        <w:rPr>
          <w:b/>
          <w:bCs/>
        </w:rPr>
      </w:pPr>
    </w:p>
    <w:p w14:paraId="14776EC6">
      <w:pPr>
        <w:pStyle w:val="76"/>
        <w:rPr>
          <w:b/>
          <w:bCs/>
        </w:rPr>
      </w:pPr>
    </w:p>
    <w:p w14:paraId="709E9A61">
      <w:pPr>
        <w:pStyle w:val="76"/>
        <w:rPr>
          <w:b/>
          <w:bCs/>
        </w:rPr>
      </w:pPr>
    </w:p>
    <w:p w14:paraId="23A348F9">
      <w:pPr>
        <w:pStyle w:val="76"/>
        <w:rPr>
          <w:b/>
          <w:bCs/>
        </w:rPr>
      </w:pPr>
    </w:p>
    <w:p w14:paraId="73224B7D">
      <w:pPr>
        <w:pStyle w:val="76"/>
        <w:rPr>
          <w:b/>
          <w:bCs/>
        </w:rPr>
      </w:pPr>
    </w:p>
    <w:p w14:paraId="26B88BE8">
      <w:pPr>
        <w:pStyle w:val="76"/>
        <w:rPr>
          <w:b/>
          <w:bCs/>
        </w:rPr>
      </w:pPr>
    </w:p>
    <w:p w14:paraId="2E5F29B2">
      <w:pPr>
        <w:pStyle w:val="76"/>
        <w:rPr>
          <w:b/>
          <w:bCs/>
        </w:rPr>
      </w:pPr>
    </w:p>
    <w:p w14:paraId="7A414112">
      <w:pPr>
        <w:pStyle w:val="76"/>
        <w:rPr>
          <w:b/>
          <w:bCs/>
        </w:rPr>
      </w:pPr>
    </w:p>
    <w:p w14:paraId="260F1792">
      <w:pPr>
        <w:pStyle w:val="76"/>
        <w:rPr>
          <w:b/>
          <w:bCs/>
        </w:rPr>
      </w:pPr>
    </w:p>
    <w:p w14:paraId="32F3FE28">
      <w:pPr>
        <w:pStyle w:val="76"/>
        <w:rPr>
          <w:b/>
          <w:bCs/>
        </w:rPr>
      </w:pPr>
    </w:p>
    <w:p w14:paraId="5D1D0C8F">
      <w:pPr>
        <w:pStyle w:val="76"/>
        <w:rPr>
          <w:b/>
          <w:bCs/>
        </w:rPr>
      </w:pPr>
    </w:p>
    <w:p w14:paraId="55E54AC2">
      <w:pPr>
        <w:pStyle w:val="76"/>
      </w:pPr>
    </w:p>
    <w:p w14:paraId="5871DF53">
      <w:pPr>
        <w:pStyle w:val="71"/>
        <w:numPr>
          <w:ilvl w:val="0"/>
          <w:numId w:val="31"/>
        </w:numPr>
        <w:rPr>
          <w:rFonts w:hint="eastAsia"/>
        </w:rPr>
      </w:pPr>
      <w:bookmarkStart w:id="22" w:name="_Toc47976609"/>
      <w:bookmarkStart w:id="23" w:name="_Toc20595"/>
      <w:r>
        <w:rPr>
          <w:rFonts w:hint="eastAsia"/>
        </w:rPr>
        <w:t>合同主要条款</w:t>
      </w:r>
      <w:bookmarkEnd w:id="22"/>
      <w:bookmarkEnd w:id="23"/>
    </w:p>
    <w:p w14:paraId="1CC2ADF3">
      <w:pPr>
        <w:pStyle w:val="71"/>
        <w:numPr>
          <w:ilvl w:val="0"/>
          <w:numId w:val="0"/>
        </w:numPr>
        <w:jc w:val="center"/>
        <w:rPr>
          <w:rFonts w:hint="default" w:eastAsia="黑体"/>
          <w:sz w:val="28"/>
          <w:szCs w:val="28"/>
          <w:highlight w:val="none"/>
          <w:lang w:val="en-US" w:eastAsia="zh-CN"/>
        </w:rPr>
      </w:pPr>
      <w:r>
        <w:rPr>
          <w:rFonts w:hint="eastAsia"/>
          <w:sz w:val="28"/>
          <w:szCs w:val="28"/>
          <w:highlight w:val="none"/>
          <w:lang w:val="en-US" w:eastAsia="zh-CN"/>
        </w:rPr>
        <w:t>(合同以双方最终签署的版本为准)</w:t>
      </w:r>
    </w:p>
    <w:p w14:paraId="23914DBE">
      <w:pPr>
        <w:pStyle w:val="72"/>
        <w:numPr>
          <w:ilvl w:val="0"/>
          <w:numId w:val="32"/>
        </w:numPr>
        <w:ind w:left="420"/>
      </w:pPr>
      <w:bookmarkStart w:id="24" w:name="_Toc47976610"/>
      <w:r>
        <w:rPr>
          <w:rFonts w:hint="eastAsia"/>
          <w:lang w:val="en-US" w:eastAsia="zh-CN"/>
        </w:rPr>
        <w:t>标的、数量、</w:t>
      </w:r>
      <w:r>
        <w:rPr>
          <w:rFonts w:hint="eastAsia"/>
        </w:rPr>
        <w:t>交货期</w:t>
      </w:r>
      <w:bookmarkEnd w:id="24"/>
    </w:p>
    <w:p w14:paraId="18603CA8">
      <w:pPr>
        <w:pStyle w:val="72"/>
      </w:pPr>
      <w:bookmarkStart w:id="25" w:name="_Toc47976611"/>
      <w:r>
        <w:rPr>
          <w:rFonts w:hint="eastAsia"/>
        </w:rPr>
        <w:t>交货地点</w:t>
      </w:r>
      <w:bookmarkEnd w:id="25"/>
    </w:p>
    <w:p w14:paraId="3F03A936">
      <w:pPr>
        <w:pStyle w:val="72"/>
      </w:pPr>
      <w:bookmarkStart w:id="26" w:name="_Toc47976612"/>
      <w:r>
        <w:rPr>
          <w:rFonts w:hint="eastAsia"/>
          <w:lang w:val="en-US" w:eastAsia="zh-CN"/>
        </w:rPr>
        <w:t>价款及</w:t>
      </w:r>
      <w:r>
        <w:rPr>
          <w:rFonts w:hint="eastAsia"/>
        </w:rPr>
        <w:t>付款方式</w:t>
      </w:r>
      <w:bookmarkEnd w:id="26"/>
    </w:p>
    <w:p w14:paraId="0A7F4E98">
      <w:pPr>
        <w:pStyle w:val="72"/>
      </w:pPr>
      <w:bookmarkStart w:id="27" w:name="_Toc47976613"/>
      <w:r>
        <w:rPr>
          <w:rFonts w:hint="eastAsia"/>
          <w:lang w:val="en-US" w:eastAsia="zh-CN"/>
        </w:rPr>
        <w:t>质量要求、</w:t>
      </w:r>
      <w:r>
        <w:rPr>
          <w:rFonts w:hint="eastAsia"/>
        </w:rPr>
        <w:t>保修期及售后服务</w:t>
      </w:r>
      <w:bookmarkEnd w:id="27"/>
    </w:p>
    <w:p w14:paraId="50F6C5C1">
      <w:pPr>
        <w:pStyle w:val="72"/>
      </w:pPr>
      <w:bookmarkStart w:id="28" w:name="_Toc47976614"/>
      <w:r>
        <w:rPr>
          <w:rFonts w:hint="eastAsia"/>
        </w:rPr>
        <w:t>安装、调试及验收要求</w:t>
      </w:r>
      <w:bookmarkEnd w:id="28"/>
    </w:p>
    <w:p w14:paraId="7FDA440C">
      <w:pPr>
        <w:pStyle w:val="72"/>
      </w:pPr>
      <w:r>
        <w:rPr>
          <w:rFonts w:hint="eastAsia"/>
          <w:lang w:val="en-US" w:eastAsia="zh-CN"/>
        </w:rPr>
        <w:t>违约责任</w:t>
      </w:r>
    </w:p>
    <w:p w14:paraId="7B4D50AD">
      <w:pPr>
        <w:pStyle w:val="72"/>
      </w:pPr>
      <w:r>
        <w:rPr>
          <w:rFonts w:hint="eastAsia"/>
          <w:lang w:val="en-US" w:eastAsia="zh-CN"/>
        </w:rPr>
        <w:t>争议解决方式</w:t>
      </w:r>
    </w:p>
    <w:p w14:paraId="260D6138">
      <w:pPr>
        <w:pStyle w:val="76"/>
      </w:pPr>
    </w:p>
    <w:p w14:paraId="6A576E98">
      <w:pPr>
        <w:pStyle w:val="76"/>
      </w:pPr>
    </w:p>
    <w:p w14:paraId="373AA179">
      <w:pPr>
        <w:pStyle w:val="76"/>
      </w:pPr>
    </w:p>
    <w:p w14:paraId="150257F3">
      <w:pPr>
        <w:pStyle w:val="76"/>
      </w:pPr>
    </w:p>
    <w:p w14:paraId="40953605">
      <w:pPr>
        <w:pStyle w:val="76"/>
      </w:pPr>
    </w:p>
    <w:p w14:paraId="7DF7CDCE">
      <w:pPr>
        <w:pStyle w:val="76"/>
      </w:pPr>
    </w:p>
    <w:p w14:paraId="2CD5A204">
      <w:pPr>
        <w:pStyle w:val="76"/>
      </w:pPr>
    </w:p>
    <w:p w14:paraId="3AECA4B5">
      <w:pPr>
        <w:pStyle w:val="76"/>
      </w:pPr>
    </w:p>
    <w:p w14:paraId="4AD354C0">
      <w:pPr>
        <w:pStyle w:val="76"/>
      </w:pPr>
    </w:p>
    <w:p w14:paraId="27E760CE">
      <w:pPr>
        <w:pStyle w:val="76"/>
      </w:pPr>
    </w:p>
    <w:p w14:paraId="09615663">
      <w:pPr>
        <w:pStyle w:val="76"/>
      </w:pPr>
    </w:p>
    <w:p w14:paraId="050FA5A8">
      <w:pPr>
        <w:pStyle w:val="76"/>
      </w:pPr>
    </w:p>
    <w:p w14:paraId="0370F036">
      <w:pPr>
        <w:pStyle w:val="76"/>
      </w:pPr>
    </w:p>
    <w:p w14:paraId="32A383C9">
      <w:pPr>
        <w:pStyle w:val="76"/>
      </w:pPr>
    </w:p>
    <w:p w14:paraId="1ED05CA3">
      <w:pPr>
        <w:pStyle w:val="76"/>
      </w:pPr>
    </w:p>
    <w:p w14:paraId="610F994C">
      <w:pPr>
        <w:pStyle w:val="76"/>
      </w:pPr>
    </w:p>
    <w:p w14:paraId="33192396">
      <w:pPr>
        <w:pStyle w:val="76"/>
      </w:pPr>
    </w:p>
    <w:p w14:paraId="4DC7C6C4">
      <w:pPr>
        <w:pStyle w:val="76"/>
      </w:pPr>
    </w:p>
    <w:p w14:paraId="79A7EC9B">
      <w:pPr>
        <w:pStyle w:val="76"/>
      </w:pPr>
    </w:p>
    <w:p w14:paraId="0EB8BBEB">
      <w:pPr>
        <w:pStyle w:val="71"/>
        <w:rPr>
          <w:rFonts w:hint="default" w:eastAsia="黑体"/>
          <w:lang w:val="en-US" w:eastAsia="zh-CN"/>
        </w:rPr>
      </w:pPr>
      <w:bookmarkStart w:id="29" w:name="_Toc47976615"/>
      <w:bookmarkStart w:id="30" w:name="_Toc5925"/>
      <w:r>
        <w:rPr>
          <w:rFonts w:hint="eastAsia"/>
        </w:rPr>
        <w:t>第四部分　</w:t>
      </w:r>
      <w:bookmarkEnd w:id="29"/>
      <w:r>
        <w:rPr>
          <w:rFonts w:hint="eastAsia"/>
          <w:lang w:val="en-US" w:eastAsia="zh-CN"/>
        </w:rPr>
        <w:t>投标文件附件</w:t>
      </w:r>
      <w:bookmarkEnd w:id="30"/>
    </w:p>
    <w:p w14:paraId="6A7DA448">
      <w:pPr>
        <w:keepNext/>
        <w:keepLines/>
        <w:outlineLvl w:val="2"/>
        <w:rPr>
          <w:rFonts w:ascii="Times New Roman" w:hAnsi="Times New Roman" w:eastAsia="宋体" w:cs="Times New Roman"/>
          <w:b/>
          <w:bCs/>
          <w:color w:val="000000"/>
          <w:sz w:val="24"/>
          <w:szCs w:val="24"/>
        </w:rPr>
      </w:pPr>
      <w:bookmarkStart w:id="31" w:name="_Toc47976616"/>
      <w:bookmarkStart w:id="32" w:name="_Toc4225"/>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33" w:name="_Toc639004"/>
      <w:bookmarkStart w:id="34" w:name="_Toc212369550"/>
      <w:bookmarkStart w:id="35" w:name="_Toc25811"/>
      <w:bookmarkStart w:id="36" w:name="_Toc353881012"/>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33"/>
      <w:bookmarkEnd w:id="34"/>
      <w:bookmarkEnd w:id="35"/>
      <w:bookmarkEnd w:id="36"/>
    </w:p>
    <w:p w14:paraId="71144F4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none"/>
        </w:rPr>
        <w:t>致：</w:t>
      </w:r>
      <w:r>
        <w:rPr>
          <w:rFonts w:hint="eastAsia" w:ascii="宋体" w:hAnsi="宋体" w:eastAsia="宋体" w:cs="Times New Roman"/>
          <w:color w:val="000000"/>
          <w:sz w:val="24"/>
          <w:szCs w:val="24"/>
          <w:highlight w:val="none"/>
          <w:lang w:eastAsia="zh-CN"/>
        </w:rPr>
        <w:t>中国重汽集团济南</w:t>
      </w:r>
      <w:r>
        <w:rPr>
          <w:rFonts w:hint="eastAsia" w:ascii="宋体" w:hAnsi="宋体" w:eastAsia="宋体" w:cs="Times New Roman"/>
          <w:color w:val="000000"/>
          <w:sz w:val="24"/>
          <w:szCs w:val="24"/>
          <w:highlight w:val="none"/>
          <w:lang w:val="en-US" w:eastAsia="zh-CN"/>
        </w:rPr>
        <w:t>动力</w:t>
      </w:r>
      <w:r>
        <w:rPr>
          <w:rFonts w:hint="eastAsia" w:ascii="宋体" w:hAnsi="宋体" w:eastAsia="宋体" w:cs="Times New Roman"/>
          <w:color w:val="000000"/>
          <w:sz w:val="24"/>
          <w:szCs w:val="24"/>
          <w:highlight w:val="none"/>
          <w:lang w:eastAsia="zh-CN"/>
        </w:rPr>
        <w:t>有限公司</w:t>
      </w:r>
      <w:r>
        <w:rPr>
          <w:rFonts w:hint="eastAsia" w:ascii="宋体" w:hAnsi="宋体" w:eastAsia="宋体" w:cs="Times New Roman"/>
          <w:color w:val="000000"/>
          <w:sz w:val="24"/>
          <w:szCs w:val="24"/>
        </w:rPr>
        <w:t>：</w:t>
      </w:r>
    </w:p>
    <w:p w14:paraId="3332FB17">
      <w:pPr>
        <w:spacing w:line="360" w:lineRule="auto"/>
        <w:ind w:firstLine="480" w:firstLineChars="200"/>
        <w:rPr>
          <w:rFonts w:ascii="宋体" w:hAnsi="宋体" w:eastAsia="宋体" w:cs="Times New Roman"/>
          <w:color w:val="000000"/>
          <w:sz w:val="24"/>
          <w:szCs w:val="24"/>
          <w:highlight w:val="cyan"/>
        </w:rPr>
      </w:pPr>
      <w:r>
        <w:rPr>
          <w:rFonts w:hint="eastAsia" w:ascii="宋体" w:hAnsi="宋体" w:eastAsia="宋体" w:cs="Times New Roman"/>
          <w:color w:val="000000"/>
          <w:sz w:val="24"/>
          <w:szCs w:val="24"/>
        </w:rPr>
        <w:t>根据贵方</w:t>
      </w:r>
      <w:r>
        <w:rPr>
          <w:rFonts w:hint="eastAsia" w:ascii="宋体" w:hAnsi="宋体" w:eastAsia="宋体" w:cs="Times New Roman"/>
          <w:color w:val="000000"/>
          <w:sz w:val="24"/>
          <w:szCs w:val="24"/>
          <w:highlight w:val="none"/>
          <w:u w:val="single"/>
          <w:lang w:eastAsia="zh-CN"/>
        </w:rPr>
        <w:t>中国重汽集团2025年办公室宣传纪念品招标采购项目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w:t>
      </w:r>
      <w:r>
        <w:rPr>
          <w:rFonts w:hint="eastAsia" w:ascii="宋体" w:hAnsi="宋体" w:eastAsia="宋体" w:cs="Times New Roman"/>
          <w:color w:val="000000"/>
          <w:sz w:val="24"/>
          <w:szCs w:val="24"/>
          <w:lang w:val="en-US" w:eastAsia="zh-CN"/>
        </w:rPr>
        <w:t>投标</w:t>
      </w:r>
      <w:r>
        <w:rPr>
          <w:rFonts w:hint="eastAsia" w:ascii="宋体" w:hAnsi="宋体" w:eastAsia="宋体" w:cs="Times New Roman"/>
          <w:color w:val="000000"/>
          <w:sz w:val="24"/>
          <w:szCs w:val="24"/>
        </w:rPr>
        <w:t>文件：</w:t>
      </w:r>
      <w:r>
        <w:rPr>
          <w:rFonts w:hint="eastAsia" w:ascii="宋体" w:hAnsi="宋体" w:eastAsia="宋体" w:cs="Times New Roman"/>
          <w:color w:val="000000"/>
          <w:sz w:val="24"/>
          <w:szCs w:val="24"/>
          <w:highlight w:val="none"/>
        </w:rPr>
        <w:t>资质证明文件、商务文件和技术文件。</w:t>
      </w:r>
    </w:p>
    <w:p w14:paraId="45D76B2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436DA8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7769AC87">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2C0CA84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ascii="宋体" w:hAnsi="宋体" w:eastAsia="宋体" w:cs="Times New Roman"/>
          <w:bCs/>
          <w:color w:val="000000"/>
          <w:sz w:val="24"/>
          <w:szCs w:val="24"/>
          <w:highlight w:val="none"/>
          <w:u w:val="single"/>
        </w:rPr>
        <w:t>90</w:t>
      </w:r>
      <w:r>
        <w:rPr>
          <w:rFonts w:hint="eastAsia" w:ascii="宋体" w:hAnsi="宋体" w:eastAsia="宋体" w:cs="Times New Roman"/>
          <w:color w:val="000000"/>
          <w:sz w:val="24"/>
          <w:szCs w:val="24"/>
        </w:rPr>
        <w:t>个日历日。</w:t>
      </w:r>
    </w:p>
    <w:p w14:paraId="7C9FD77F">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1B1B161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792AC951">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797A10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5ACF445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5C7DA1A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5AAEB07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7AB5E08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E72DC6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77E3AF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 xml:space="preserve">联行号：                     </w:t>
      </w:r>
    </w:p>
    <w:p w14:paraId="10A86CD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286387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0D4DA54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76CB479F">
      <w:pPr>
        <w:rPr>
          <w:rFonts w:ascii="黑体" w:hAnsi="Calibri" w:eastAsia="黑体" w:cs="Times New Roman"/>
          <w:color w:val="000000"/>
          <w:sz w:val="24"/>
          <w:szCs w:val="24"/>
        </w:rPr>
      </w:pPr>
    </w:p>
    <w:p w14:paraId="6F8797FE">
      <w:pPr>
        <w:rPr>
          <w:rFonts w:ascii="黑体" w:hAnsi="Calibri" w:eastAsia="黑体" w:cs="Times New Roman"/>
          <w:color w:val="000000"/>
          <w:sz w:val="24"/>
          <w:szCs w:val="24"/>
        </w:rPr>
      </w:pPr>
    </w:p>
    <w:p w14:paraId="3FDEE794">
      <w:pPr>
        <w:pStyle w:val="14"/>
        <w:rPr>
          <w:rFonts w:ascii="黑体" w:hAnsi="Calibri" w:eastAsia="黑体" w:cs="Times New Roman"/>
          <w:color w:val="000000"/>
          <w:sz w:val="24"/>
          <w:szCs w:val="24"/>
        </w:rPr>
      </w:pPr>
    </w:p>
    <w:p w14:paraId="6566FFCA">
      <w:pPr>
        <w:pStyle w:val="14"/>
        <w:rPr>
          <w:rFonts w:ascii="黑体" w:hAnsi="Calibri" w:eastAsia="黑体" w:cs="Times New Roman"/>
          <w:color w:val="000000"/>
          <w:sz w:val="24"/>
          <w:szCs w:val="24"/>
        </w:rPr>
      </w:pPr>
    </w:p>
    <w:p w14:paraId="3CF13451">
      <w:pPr>
        <w:rPr>
          <w:rFonts w:ascii="黑体" w:hAnsi="Calibri" w:eastAsia="黑体" w:cs="Times New Roman"/>
          <w:color w:val="000000"/>
          <w:sz w:val="24"/>
          <w:szCs w:val="24"/>
        </w:rPr>
      </w:pPr>
    </w:p>
    <w:p w14:paraId="0C70CD30">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5E7C6208">
      <w:pPr>
        <w:adjustRightInd w:val="0"/>
        <w:snapToGrid w:val="0"/>
        <w:spacing w:before="93" w:beforeLines="30" w:line="240" w:lineRule="exact"/>
        <w:jc w:val="center"/>
        <w:rPr>
          <w:rFonts w:ascii="宋体" w:hAnsi="Calibri" w:eastAsia="宋体" w:cs="Times New Roman"/>
          <w:sz w:val="24"/>
          <w:szCs w:val="20"/>
        </w:rPr>
      </w:pPr>
    </w:p>
    <w:p w14:paraId="64C9C49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Times New Roman"/>
          <w:color w:val="000000"/>
          <w:sz w:val="24"/>
          <w:szCs w:val="24"/>
          <w:lang w:val="en-US" w:eastAsia="zh-CN"/>
        </w:rPr>
        <w:t xml:space="preserve"> </w:t>
      </w:r>
      <w:r>
        <w:rPr>
          <w:rFonts w:hint="eastAsia" w:ascii="宋体" w:hAnsi="宋体" w:eastAsia="宋体" w:cs="Times New Roman"/>
          <w:b w:val="0"/>
          <w:bCs w:val="0"/>
          <w:color w:val="000000"/>
          <w:sz w:val="24"/>
          <w:szCs w:val="24"/>
          <w:highlight w:val="none"/>
          <w:u w:val="single"/>
          <w:lang w:eastAsia="zh-CN"/>
        </w:rPr>
        <w:t>中国重汽集团2025年办公室宣传纪念品招标采购项目</w:t>
      </w:r>
      <w:r>
        <w:rPr>
          <w:rFonts w:ascii="宋体" w:hAnsi="宋体" w:eastAsia="宋体" w:cs="Times New Roman"/>
          <w:b/>
          <w:bCs/>
          <w:color w:val="000000"/>
          <w:sz w:val="24"/>
          <w:szCs w:val="24"/>
          <w:highlight w:val="none"/>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2B86CB9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787B1E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3D1C52">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5C746608">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26535C5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670A124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86D039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5930909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3728335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1C478BA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424D7F17">
      <w:pPr>
        <w:pStyle w:val="76"/>
        <w:rPr>
          <w:rFonts w:hint="eastAsia" w:ascii="宋体" w:hAnsi="宋体" w:eastAsia="宋体" w:cs="Times New Roman"/>
          <w:sz w:val="24"/>
          <w:szCs w:val="20"/>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0DDE9EB">
      <w:pPr>
        <w:pStyle w:val="76"/>
        <w:rPr>
          <w:rFonts w:hint="eastAsia" w:ascii="宋体" w:hAnsi="宋体" w:eastAsia="宋体" w:cs="Times New Roman"/>
          <w:sz w:val="24"/>
          <w:szCs w:val="20"/>
        </w:rPr>
      </w:pPr>
    </w:p>
    <w:p w14:paraId="00D514B6">
      <w:pPr>
        <w:pStyle w:val="76"/>
        <w:rPr>
          <w:rFonts w:hint="eastAsia" w:ascii="宋体" w:hAnsi="宋体" w:eastAsia="宋体" w:cs="Times New Roman"/>
          <w:sz w:val="24"/>
          <w:szCs w:val="20"/>
        </w:rPr>
      </w:pPr>
    </w:p>
    <w:p w14:paraId="354BD6C6">
      <w:pPr>
        <w:pStyle w:val="76"/>
        <w:rPr>
          <w:rFonts w:hint="eastAsia" w:ascii="宋体" w:hAnsi="宋体" w:eastAsia="宋体" w:cs="Times New Roman"/>
          <w:sz w:val="24"/>
          <w:szCs w:val="20"/>
        </w:rPr>
      </w:pPr>
    </w:p>
    <w:p w14:paraId="50617637">
      <w:pPr>
        <w:pStyle w:val="76"/>
        <w:rPr>
          <w:rFonts w:hint="eastAsia" w:ascii="宋体" w:hAnsi="宋体" w:eastAsia="宋体" w:cs="Times New Roman"/>
          <w:sz w:val="24"/>
          <w:szCs w:val="20"/>
        </w:rPr>
      </w:pPr>
    </w:p>
    <w:p w14:paraId="5929A21E">
      <w:pPr>
        <w:pStyle w:val="76"/>
        <w:rPr>
          <w:rFonts w:hint="eastAsia" w:ascii="宋体" w:hAnsi="宋体" w:eastAsia="宋体" w:cs="Times New Roman"/>
          <w:sz w:val="24"/>
          <w:szCs w:val="20"/>
        </w:rPr>
      </w:pPr>
    </w:p>
    <w:p w14:paraId="29790FF0">
      <w:pPr>
        <w:pStyle w:val="76"/>
        <w:rPr>
          <w:rFonts w:hint="eastAsia" w:ascii="宋体" w:hAnsi="宋体" w:eastAsia="宋体" w:cs="Times New Roman"/>
          <w:sz w:val="24"/>
          <w:szCs w:val="20"/>
        </w:rPr>
      </w:pPr>
    </w:p>
    <w:p w14:paraId="3D9C0FE7">
      <w:pPr>
        <w:pStyle w:val="72"/>
        <w:numPr>
          <w:ilvl w:val="0"/>
          <w:numId w:val="0"/>
        </w:numPr>
        <w:ind w:leftChars="0"/>
        <w:rPr>
          <w:rFonts w:hint="default" w:ascii="Times New Roman" w:hAnsi="Times New Roman" w:eastAsia="宋体" w:cs="Times New Roman"/>
          <w:b/>
          <w:bCs/>
          <w:color w:val="000000"/>
          <w:kern w:val="2"/>
          <w:sz w:val="24"/>
          <w:szCs w:val="24"/>
          <w:lang w:val="en-US" w:eastAsia="zh-CN" w:bidi="ar-SA"/>
        </w:rPr>
      </w:pPr>
      <w:r>
        <w:rPr>
          <w:rFonts w:hint="eastAsia" w:ascii="Times New Roman" w:hAnsi="Times New Roman" w:eastAsia="宋体" w:cs="Times New Roman"/>
          <w:b/>
          <w:bCs/>
          <w:color w:val="000000"/>
          <w:kern w:val="2"/>
          <w:sz w:val="24"/>
          <w:szCs w:val="24"/>
          <w:lang w:val="en-US" w:eastAsia="zh-CN" w:bidi="ar-SA"/>
        </w:rPr>
        <w:t>附件3 开标一览表</w:t>
      </w:r>
    </w:p>
    <w:p w14:paraId="625BC4FA">
      <w:pPr>
        <w:pStyle w:val="72"/>
        <w:numPr>
          <w:ilvl w:val="0"/>
          <w:numId w:val="0"/>
        </w:numPr>
        <w:ind w:leftChars="0"/>
        <w:jc w:val="center"/>
        <w:rPr>
          <w:rFonts w:hint="eastAsia"/>
          <w:lang w:val="en-US" w:eastAsia="zh-CN"/>
        </w:rPr>
      </w:pPr>
      <w:r>
        <w:rPr>
          <w:rFonts w:hint="eastAsia"/>
          <w:lang w:val="en-US" w:eastAsia="zh-CN"/>
        </w:rPr>
        <w:t>开标一览表</w:t>
      </w:r>
    </w:p>
    <w:p w14:paraId="695CE8C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cs="Times New Roman"/>
          <w:color w:val="000000"/>
          <w:sz w:val="24"/>
          <w:szCs w:val="24"/>
          <w:u w:val="single"/>
          <w:lang w:val="en-US" w:eastAsia="zh-CN"/>
        </w:rPr>
        <w:t xml:space="preserve"> 中国重汽集团2025年办公室宣传纪念品招标采购项目  </w:t>
      </w:r>
      <w:r>
        <w:rPr>
          <w:rFonts w:ascii="宋体" w:hAnsi="宋体" w:eastAsia="宋体" w:cs="Times New Roman"/>
          <w:color w:val="000000"/>
          <w:sz w:val="24"/>
          <w:szCs w:val="24"/>
        </w:rPr>
        <w:t xml:space="preserve">  </w:t>
      </w:r>
    </w:p>
    <w:tbl>
      <w:tblPr>
        <w:tblStyle w:val="30"/>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69BCF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0CF1C84C">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7F79742F">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7C984597">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5888CC34">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167DFC4C">
            <w:pPr>
              <w:jc w:val="center"/>
              <w:rPr>
                <w:rFonts w:hint="eastAsia" w:ascii="Times New Roman" w:hAnsi="Times New Roman" w:eastAsia="宋体" w:cs="Times New Roman"/>
                <w:b/>
                <w:szCs w:val="20"/>
                <w:lang w:val="en-US" w:eastAsia="zh-CN"/>
              </w:rPr>
            </w:pPr>
            <w:r>
              <w:rPr>
                <w:rFonts w:hint="eastAsia" w:cs="Times New Roman"/>
                <w:b/>
                <w:szCs w:val="20"/>
                <w:lang w:val="en-US" w:eastAsia="zh-CN"/>
              </w:rPr>
              <w:t>XX</w:t>
            </w:r>
          </w:p>
        </w:tc>
        <w:tc>
          <w:tcPr>
            <w:tcW w:w="1243" w:type="dxa"/>
            <w:vAlign w:val="center"/>
          </w:tcPr>
          <w:p w14:paraId="42C59D21">
            <w:pPr>
              <w:jc w:val="center"/>
              <w:rPr>
                <w:rFonts w:ascii="Times New Roman" w:hAnsi="Times New Roman" w:eastAsia="宋体" w:cs="Times New Roman"/>
                <w:b/>
                <w:szCs w:val="20"/>
              </w:rPr>
            </w:pPr>
            <w:r>
              <w:rPr>
                <w:rFonts w:hint="eastAsia" w:cs="Times New Roman"/>
                <w:b/>
                <w:szCs w:val="20"/>
                <w:lang w:val="en-US" w:eastAsia="zh-CN"/>
              </w:rPr>
              <w:t>XX</w:t>
            </w:r>
          </w:p>
        </w:tc>
        <w:tc>
          <w:tcPr>
            <w:tcW w:w="705" w:type="dxa"/>
            <w:vAlign w:val="center"/>
          </w:tcPr>
          <w:p w14:paraId="5C39453A">
            <w:pPr>
              <w:jc w:val="center"/>
              <w:rPr>
                <w:rFonts w:ascii="Times New Roman" w:hAnsi="Times New Roman" w:eastAsia="宋体" w:cs="Times New Roman"/>
                <w:b/>
                <w:szCs w:val="20"/>
              </w:rPr>
            </w:pPr>
            <w:r>
              <w:rPr>
                <w:rFonts w:hint="eastAsia" w:cs="Times New Roman"/>
                <w:b/>
                <w:szCs w:val="20"/>
                <w:lang w:val="en-US" w:eastAsia="zh-CN"/>
              </w:rPr>
              <w:t>XX</w:t>
            </w:r>
          </w:p>
        </w:tc>
        <w:tc>
          <w:tcPr>
            <w:tcW w:w="699" w:type="dxa"/>
            <w:vAlign w:val="center"/>
          </w:tcPr>
          <w:p w14:paraId="0927F7C5">
            <w:pPr>
              <w:jc w:val="center"/>
              <w:rPr>
                <w:rFonts w:hint="default" w:ascii="等线" w:hAnsi="等线" w:eastAsia="等线" w:cs="Times New Roman"/>
                <w:b/>
                <w:szCs w:val="20"/>
                <w:lang w:val="en-US"/>
              </w:rPr>
            </w:pPr>
            <w:r>
              <w:rPr>
                <w:rFonts w:hint="eastAsia" w:cs="Times New Roman"/>
                <w:b/>
                <w:szCs w:val="20"/>
                <w:lang w:val="en-US" w:eastAsia="zh-CN"/>
              </w:rPr>
              <w:t>商务条款是否偏离</w:t>
            </w:r>
          </w:p>
        </w:tc>
      </w:tr>
      <w:tr w14:paraId="1D393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4F8E4466">
            <w:pPr>
              <w:jc w:val="center"/>
              <w:rPr>
                <w:rFonts w:ascii="Times New Roman" w:hAnsi="Times New Roman" w:eastAsia="宋体" w:cs="Times New Roman"/>
                <w:b/>
                <w:szCs w:val="20"/>
              </w:rPr>
            </w:pPr>
          </w:p>
        </w:tc>
        <w:tc>
          <w:tcPr>
            <w:tcW w:w="1518" w:type="dxa"/>
            <w:vAlign w:val="center"/>
          </w:tcPr>
          <w:p w14:paraId="06C6ADC8">
            <w:pPr>
              <w:jc w:val="center"/>
              <w:rPr>
                <w:rFonts w:hint="eastAsia" w:ascii="Times New Roman" w:hAnsi="Times New Roman" w:eastAsia="宋体" w:cs="Times New Roman"/>
                <w:b/>
                <w:szCs w:val="20"/>
                <w:lang w:eastAsia="zh-CN"/>
              </w:rPr>
            </w:pPr>
          </w:p>
        </w:tc>
        <w:tc>
          <w:tcPr>
            <w:tcW w:w="848" w:type="dxa"/>
            <w:vAlign w:val="center"/>
          </w:tcPr>
          <w:p w14:paraId="3B97E396">
            <w:pPr>
              <w:jc w:val="center"/>
              <w:rPr>
                <w:rFonts w:hint="eastAsia" w:ascii="Times New Roman" w:hAnsi="Times New Roman" w:eastAsia="宋体" w:cs="Times New Roman"/>
                <w:b/>
                <w:szCs w:val="20"/>
                <w:lang w:val="en-US" w:eastAsia="zh-CN"/>
              </w:rPr>
            </w:pPr>
          </w:p>
        </w:tc>
        <w:tc>
          <w:tcPr>
            <w:tcW w:w="2270" w:type="dxa"/>
            <w:vAlign w:val="center"/>
          </w:tcPr>
          <w:p w14:paraId="236D9D9B">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0E26C794">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283C0FDE">
            <w:pPr>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54EFF304">
            <w:pPr>
              <w:jc w:val="center"/>
              <w:rPr>
                <w:rFonts w:ascii="Times New Roman" w:hAnsi="Times New Roman" w:eastAsia="宋体" w:cs="Times New Roman"/>
                <w:b/>
                <w:szCs w:val="20"/>
              </w:rPr>
            </w:pPr>
          </w:p>
        </w:tc>
        <w:tc>
          <w:tcPr>
            <w:tcW w:w="1243" w:type="dxa"/>
            <w:vAlign w:val="center"/>
          </w:tcPr>
          <w:p w14:paraId="168C0801">
            <w:pPr>
              <w:jc w:val="center"/>
              <w:rPr>
                <w:rFonts w:ascii="Times New Roman" w:hAnsi="Times New Roman" w:eastAsia="宋体" w:cs="Times New Roman"/>
                <w:b/>
                <w:szCs w:val="20"/>
              </w:rPr>
            </w:pPr>
          </w:p>
        </w:tc>
        <w:tc>
          <w:tcPr>
            <w:tcW w:w="705" w:type="dxa"/>
            <w:vAlign w:val="center"/>
          </w:tcPr>
          <w:p w14:paraId="1F669A10">
            <w:pPr>
              <w:jc w:val="center"/>
              <w:rPr>
                <w:rFonts w:ascii="Times New Roman" w:hAnsi="Times New Roman" w:eastAsia="宋体" w:cs="Times New Roman"/>
                <w:b/>
                <w:szCs w:val="20"/>
              </w:rPr>
            </w:pPr>
          </w:p>
        </w:tc>
        <w:tc>
          <w:tcPr>
            <w:tcW w:w="699" w:type="dxa"/>
            <w:vAlign w:val="center"/>
          </w:tcPr>
          <w:p w14:paraId="6F28191E">
            <w:pPr>
              <w:jc w:val="center"/>
              <w:rPr>
                <w:rFonts w:ascii="Times New Roman" w:hAnsi="Times New Roman" w:eastAsia="宋体" w:cs="Times New Roman"/>
                <w:b/>
                <w:szCs w:val="20"/>
              </w:rPr>
            </w:pPr>
          </w:p>
        </w:tc>
      </w:tr>
    </w:tbl>
    <w:p w14:paraId="6808D5AE">
      <w:pPr>
        <w:spacing w:line="360" w:lineRule="auto"/>
        <w:ind w:firstLine="480" w:firstLineChars="200"/>
        <w:rPr>
          <w:rFonts w:ascii="宋体" w:hAnsi="Arial" w:eastAsia="宋体" w:cs="Times New Roman"/>
          <w:sz w:val="24"/>
          <w:szCs w:val="24"/>
        </w:rPr>
      </w:pPr>
      <w:r>
        <w:rPr>
          <w:rFonts w:ascii="宋体" w:hAnsi="宋体" w:eastAsia="宋体" w:cs="Times New Roman"/>
          <w:color w:val="000000"/>
          <w:sz w:val="24"/>
          <w:szCs w:val="24"/>
        </w:rPr>
        <w:t xml:space="preserve">                                                     </w:t>
      </w:r>
    </w:p>
    <w:p w14:paraId="2D5E5DF8">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7D277E29">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07BAEEE3">
      <w:pPr>
        <w:spacing w:line="300" w:lineRule="auto"/>
        <w:rPr>
          <w:rFonts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14:paraId="5D444F6D">
      <w:pPr>
        <w:pStyle w:val="14"/>
        <w:rPr>
          <w:rFonts w:hint="eastAsia" w:hAnsi="宋体" w:eastAsia="宋体" w:cs="Times New Roman"/>
          <w:b/>
          <w:bCs/>
          <w:szCs w:val="21"/>
          <w:highlight w:val="none"/>
        </w:rPr>
      </w:pPr>
      <w:r>
        <w:rPr>
          <w:rFonts w:hint="eastAsia" w:hAnsi="宋体" w:cs="宋体"/>
          <w:b/>
          <w:szCs w:val="20"/>
          <w:highlight w:val="none"/>
          <w:lang w:val="en-US" w:eastAsia="zh-CN"/>
        </w:rPr>
        <w:t>3</w:t>
      </w:r>
      <w:r>
        <w:rPr>
          <w:rFonts w:hint="eastAsia" w:hAnsi="宋体" w:eastAsia="宋体" w:cs="宋体"/>
          <w:b/>
          <w:szCs w:val="20"/>
          <w:highlight w:val="none"/>
        </w:rPr>
        <w:t>.</w:t>
      </w:r>
      <w:r>
        <w:rPr>
          <w:rFonts w:hint="eastAsia" w:hAnsi="宋体" w:eastAsia="宋体" w:cs="Times New Roman"/>
          <w:b/>
          <w:bCs/>
          <w:szCs w:val="21"/>
          <w:highlight w:val="none"/>
        </w:rPr>
        <w:t>投标总价包括</w:t>
      </w:r>
      <w:r>
        <w:rPr>
          <w:rFonts w:hint="eastAsia" w:hAnsi="宋体" w:cs="Times New Roman"/>
          <w:b/>
          <w:bCs/>
          <w:szCs w:val="21"/>
          <w:highlight w:val="none"/>
          <w:u w:val="single"/>
          <w:lang w:val="en-US" w:eastAsia="zh-CN"/>
        </w:rPr>
        <w:t xml:space="preserve">                                             </w:t>
      </w:r>
      <w:r>
        <w:rPr>
          <w:rFonts w:hint="eastAsia" w:hAnsi="宋体" w:cs="Times New Roman"/>
          <w:b/>
          <w:bCs/>
          <w:szCs w:val="21"/>
          <w:highlight w:val="none"/>
          <w:u w:val="none"/>
          <w:lang w:val="en-US" w:eastAsia="zh-CN"/>
        </w:rPr>
        <w:t>全部费用</w:t>
      </w:r>
      <w:r>
        <w:rPr>
          <w:rFonts w:hint="eastAsia" w:hAnsi="宋体" w:eastAsia="宋体" w:cs="Times New Roman"/>
          <w:b/>
          <w:bCs/>
          <w:szCs w:val="21"/>
          <w:highlight w:val="none"/>
        </w:rPr>
        <w:t>。</w:t>
      </w:r>
    </w:p>
    <w:p w14:paraId="6CB87EB5">
      <w:pPr>
        <w:pStyle w:val="14"/>
        <w:rPr>
          <w:rFonts w:hint="eastAsia" w:hAnsi="宋体" w:eastAsia="宋体" w:cs="Times New Roman"/>
          <w:b/>
          <w:bCs/>
          <w:szCs w:val="21"/>
          <w:highlight w:val="yellow"/>
        </w:rPr>
      </w:pPr>
    </w:p>
    <w:p w14:paraId="66BC258E">
      <w:pPr>
        <w:pStyle w:val="14"/>
        <w:rPr>
          <w:rFonts w:hint="eastAsia" w:hAnsi="宋体" w:eastAsia="宋体" w:cs="Times New Roman"/>
          <w:b/>
          <w:bCs/>
          <w:szCs w:val="21"/>
          <w:highlight w:val="yellow"/>
        </w:rPr>
      </w:pPr>
    </w:p>
    <w:p w14:paraId="371F55C3">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13F56686">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30870085">
      <w:pPr>
        <w:spacing w:line="660" w:lineRule="exact"/>
        <w:jc w:val="center"/>
        <w:rPr>
          <w:rFonts w:hint="eastAsia" w:ascii="宋体" w:hAnsi="宋体"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F01B190">
      <w:pPr>
        <w:spacing w:line="660" w:lineRule="exact"/>
        <w:jc w:val="center"/>
        <w:rPr>
          <w:rFonts w:hint="eastAsia" w:ascii="宋体" w:hAnsi="宋体" w:eastAsia="宋体" w:cs="Times New Roman"/>
          <w:sz w:val="24"/>
          <w:szCs w:val="20"/>
        </w:rPr>
      </w:pPr>
    </w:p>
    <w:p w14:paraId="68874820">
      <w:pPr>
        <w:spacing w:line="660" w:lineRule="exact"/>
        <w:jc w:val="center"/>
        <w:rPr>
          <w:rFonts w:hint="eastAsia" w:ascii="宋体" w:hAnsi="宋体" w:eastAsia="宋体" w:cs="Times New Roman"/>
          <w:sz w:val="24"/>
          <w:szCs w:val="20"/>
        </w:rPr>
      </w:pPr>
    </w:p>
    <w:p w14:paraId="3638CCA4">
      <w:pPr>
        <w:spacing w:line="660" w:lineRule="exact"/>
        <w:jc w:val="center"/>
        <w:rPr>
          <w:rFonts w:hint="eastAsia" w:ascii="宋体" w:hAnsi="宋体" w:eastAsia="宋体" w:cs="Times New Roman"/>
          <w:sz w:val="24"/>
          <w:szCs w:val="20"/>
        </w:rPr>
      </w:pPr>
    </w:p>
    <w:p w14:paraId="506F1218">
      <w:pPr>
        <w:spacing w:line="660" w:lineRule="exact"/>
        <w:jc w:val="center"/>
        <w:rPr>
          <w:rFonts w:hint="eastAsia" w:ascii="宋体" w:hAnsi="宋体" w:eastAsia="宋体" w:cs="Times New Roman"/>
          <w:sz w:val="24"/>
          <w:szCs w:val="20"/>
        </w:rPr>
      </w:pPr>
    </w:p>
    <w:p w14:paraId="60E7861C">
      <w:pPr>
        <w:spacing w:line="660" w:lineRule="exact"/>
        <w:jc w:val="center"/>
        <w:rPr>
          <w:rFonts w:hint="eastAsia" w:ascii="宋体" w:hAnsi="宋体" w:eastAsia="宋体" w:cs="Times New Roman"/>
          <w:sz w:val="24"/>
          <w:szCs w:val="20"/>
        </w:rPr>
      </w:pPr>
    </w:p>
    <w:p w14:paraId="6AD8109F">
      <w:pPr>
        <w:spacing w:line="660" w:lineRule="exact"/>
        <w:jc w:val="both"/>
        <w:rPr>
          <w:rFonts w:hint="eastAsia" w:ascii="宋体" w:hAnsi="宋体" w:eastAsia="宋体" w:cs="Times New Roman"/>
          <w:sz w:val="24"/>
          <w:szCs w:val="20"/>
        </w:rPr>
      </w:pPr>
    </w:p>
    <w:p w14:paraId="4995ADA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hint="eastAsia" w:cs="Times New Roman"/>
          <w:b/>
          <w:bCs/>
          <w:color w:val="000000"/>
          <w:sz w:val="24"/>
          <w:szCs w:val="24"/>
          <w:lang w:val="en-US" w:eastAsia="zh-CN"/>
        </w:rPr>
        <w:t>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0E344BEC">
      <w:pPr>
        <w:rPr>
          <w:rFonts w:ascii="Calibri" w:hAnsi="Calibri" w:eastAsia="宋体" w:cs="Times New Roman"/>
          <w:szCs w:val="20"/>
        </w:rPr>
      </w:pPr>
    </w:p>
    <w:tbl>
      <w:tblPr>
        <w:tblStyle w:val="30"/>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028673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7514533">
            <w:pPr>
              <w:jc w:val="center"/>
              <w:rPr>
                <w:rFonts w:hint="eastAsia" w:ascii="Times New Roman" w:hAnsi="Times New Roman" w:eastAsia="宋体" w:cs="Times New Roman"/>
                <w:b/>
                <w:szCs w:val="20"/>
                <w:lang w:eastAsia="zh-CN"/>
              </w:rPr>
            </w:pPr>
            <w:r>
              <w:rPr>
                <w:rFonts w:hint="eastAsia" w:ascii="宋体" w:hAnsi="宋体" w:eastAsia="宋体" w:cs="Times New Roman"/>
                <w:color w:val="000000"/>
                <w:sz w:val="24"/>
                <w:szCs w:val="24"/>
                <w:highlight w:val="none"/>
                <w:u w:val="single"/>
                <w:lang w:eastAsia="zh-CN"/>
              </w:rPr>
              <w:t>中国重汽集团2025年办公室宣传纪念品招标采购项目</w:t>
            </w:r>
          </w:p>
        </w:tc>
        <w:tc>
          <w:tcPr>
            <w:tcW w:w="2875" w:type="dxa"/>
            <w:tcBorders>
              <w:top w:val="single" w:color="auto" w:sz="4" w:space="0"/>
              <w:left w:val="single" w:color="auto" w:sz="4" w:space="0"/>
              <w:bottom w:val="single" w:color="auto" w:sz="4" w:space="0"/>
              <w:right w:val="single" w:color="auto" w:sz="4" w:space="0"/>
            </w:tcBorders>
            <w:vAlign w:val="center"/>
          </w:tcPr>
          <w:p w14:paraId="53D86C4D">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30BF9759">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411DEED9">
            <w:pPr>
              <w:jc w:val="center"/>
              <w:rPr>
                <w:rFonts w:ascii="Times New Roman" w:hAnsi="Times New Roman" w:eastAsia="宋体" w:cs="Times New Roman"/>
                <w:b/>
                <w:szCs w:val="20"/>
              </w:rPr>
            </w:pPr>
            <w:r>
              <w:rPr>
                <w:rFonts w:hint="eastAsia" w:ascii="宋体" w:hAnsi="宋体" w:eastAsia="宋体" w:cs="宋体"/>
                <w:b/>
                <w:szCs w:val="20"/>
              </w:rPr>
              <w:t>是否偏离</w:t>
            </w:r>
          </w:p>
          <w:p w14:paraId="3460D98B">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022553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B1366CF">
            <w:pPr>
              <w:jc w:val="center"/>
              <w:rPr>
                <w:rFonts w:ascii="Times New Roman" w:hAnsi="Times New Roman" w:eastAsia="宋体" w:cs="Times New Roman"/>
                <w:b/>
                <w:szCs w:val="20"/>
              </w:rPr>
            </w:pPr>
          </w:p>
        </w:tc>
        <w:tc>
          <w:tcPr>
            <w:tcW w:w="2875" w:type="dxa"/>
            <w:tcBorders>
              <w:top w:val="single" w:color="auto" w:sz="4" w:space="0"/>
              <w:left w:val="single" w:color="auto" w:sz="4" w:space="0"/>
              <w:bottom w:val="single" w:color="auto" w:sz="4" w:space="0"/>
              <w:right w:val="single" w:color="auto" w:sz="4" w:space="0"/>
            </w:tcBorders>
            <w:vAlign w:val="center"/>
          </w:tcPr>
          <w:p w14:paraId="325C2025">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349E91C">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5809D75">
            <w:pPr>
              <w:jc w:val="center"/>
              <w:rPr>
                <w:rFonts w:ascii="Times New Roman" w:hAnsi="Times New Roman" w:eastAsia="宋体" w:cs="Times New Roman"/>
                <w:b/>
                <w:szCs w:val="20"/>
              </w:rPr>
            </w:pPr>
          </w:p>
        </w:tc>
      </w:tr>
      <w:tr w14:paraId="7211B5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D01C9C4">
            <w:pPr>
              <w:jc w:val="center"/>
              <w:rPr>
                <w:rFonts w:ascii="Times New Roman" w:hAnsi="Times New Roman" w:eastAsia="宋体" w:cs="Times New Roman"/>
                <w:b/>
                <w:szCs w:val="20"/>
              </w:rPr>
            </w:pPr>
          </w:p>
        </w:tc>
        <w:tc>
          <w:tcPr>
            <w:tcW w:w="2875" w:type="dxa"/>
            <w:tcBorders>
              <w:top w:val="single" w:color="auto" w:sz="4" w:space="0"/>
              <w:left w:val="single" w:color="auto" w:sz="4" w:space="0"/>
              <w:bottom w:val="single" w:color="auto" w:sz="4" w:space="0"/>
              <w:right w:val="single" w:color="auto" w:sz="4" w:space="0"/>
            </w:tcBorders>
            <w:vAlign w:val="center"/>
          </w:tcPr>
          <w:p w14:paraId="78A643BC">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D818AD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DB84A94">
            <w:pPr>
              <w:jc w:val="center"/>
              <w:rPr>
                <w:rFonts w:ascii="Times New Roman" w:hAnsi="Times New Roman" w:eastAsia="宋体" w:cs="Times New Roman"/>
                <w:b/>
                <w:szCs w:val="21"/>
              </w:rPr>
            </w:pPr>
          </w:p>
        </w:tc>
      </w:tr>
      <w:tr w14:paraId="3785B9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C6DEADD">
            <w:pPr>
              <w:jc w:val="center"/>
              <w:rPr>
                <w:rFonts w:ascii="Times New Roman" w:hAnsi="Times New Roman" w:eastAsia="宋体" w:cs="Times New Roman"/>
                <w:b/>
                <w:szCs w:val="20"/>
              </w:rPr>
            </w:pPr>
          </w:p>
        </w:tc>
        <w:tc>
          <w:tcPr>
            <w:tcW w:w="2875" w:type="dxa"/>
            <w:tcBorders>
              <w:top w:val="single" w:color="auto" w:sz="4" w:space="0"/>
              <w:left w:val="single" w:color="auto" w:sz="4" w:space="0"/>
              <w:bottom w:val="single" w:color="auto" w:sz="4" w:space="0"/>
              <w:right w:val="single" w:color="auto" w:sz="4" w:space="0"/>
            </w:tcBorders>
          </w:tcPr>
          <w:p w14:paraId="0FD7ECA4">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699E0693">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E6F1BAD">
            <w:pPr>
              <w:jc w:val="center"/>
              <w:rPr>
                <w:rFonts w:ascii="Times New Roman" w:hAnsi="Times New Roman" w:eastAsia="宋体" w:cs="Times New Roman"/>
                <w:b/>
                <w:szCs w:val="20"/>
              </w:rPr>
            </w:pPr>
          </w:p>
        </w:tc>
      </w:tr>
      <w:tr w14:paraId="6D9D95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032F468">
            <w:pPr>
              <w:jc w:val="center"/>
              <w:rPr>
                <w:rFonts w:ascii="Times New Roman" w:hAnsi="Times New Roman" w:eastAsia="宋体" w:cs="Times New Roman"/>
                <w:b/>
                <w:szCs w:val="20"/>
              </w:rPr>
            </w:pPr>
          </w:p>
        </w:tc>
        <w:tc>
          <w:tcPr>
            <w:tcW w:w="2875" w:type="dxa"/>
            <w:tcBorders>
              <w:top w:val="single" w:color="auto" w:sz="4" w:space="0"/>
              <w:left w:val="single" w:color="auto" w:sz="4" w:space="0"/>
              <w:bottom w:val="single" w:color="auto" w:sz="4" w:space="0"/>
              <w:right w:val="single" w:color="auto" w:sz="4" w:space="0"/>
            </w:tcBorders>
            <w:vAlign w:val="center"/>
          </w:tcPr>
          <w:p w14:paraId="5DD6F978">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B2D5992">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35D1FBE0">
            <w:pPr>
              <w:jc w:val="center"/>
              <w:rPr>
                <w:rFonts w:ascii="Times New Roman" w:hAnsi="Times New Roman" w:eastAsia="宋体" w:cs="Times New Roman"/>
                <w:b/>
                <w:szCs w:val="21"/>
              </w:rPr>
            </w:pPr>
          </w:p>
          <w:p w14:paraId="53B87EF0">
            <w:pPr>
              <w:jc w:val="center"/>
              <w:rPr>
                <w:rFonts w:ascii="Times New Roman" w:hAnsi="Times New Roman" w:eastAsia="宋体" w:cs="Times New Roman"/>
                <w:b/>
                <w:szCs w:val="21"/>
              </w:rPr>
            </w:pPr>
          </w:p>
          <w:p w14:paraId="67EAB0BA">
            <w:pPr>
              <w:jc w:val="center"/>
              <w:rPr>
                <w:rFonts w:ascii="Times New Roman" w:hAnsi="Times New Roman" w:eastAsia="宋体" w:cs="Times New Roman"/>
                <w:b/>
                <w:szCs w:val="21"/>
              </w:rPr>
            </w:pPr>
          </w:p>
          <w:p w14:paraId="318AACDB">
            <w:pPr>
              <w:jc w:val="center"/>
              <w:rPr>
                <w:rFonts w:ascii="Times New Roman" w:hAnsi="Times New Roman" w:eastAsia="宋体" w:cs="Times New Roman"/>
                <w:b/>
                <w:szCs w:val="21"/>
              </w:rPr>
            </w:pPr>
          </w:p>
          <w:p w14:paraId="30162CDE">
            <w:pPr>
              <w:jc w:val="center"/>
              <w:rPr>
                <w:rFonts w:ascii="Times New Roman" w:hAnsi="Times New Roman" w:eastAsia="宋体" w:cs="Times New Roman"/>
                <w:b/>
                <w:szCs w:val="21"/>
              </w:rPr>
            </w:pPr>
          </w:p>
          <w:p w14:paraId="5DC41C49">
            <w:pPr>
              <w:jc w:val="center"/>
              <w:rPr>
                <w:rFonts w:ascii="Times New Roman" w:hAnsi="Times New Roman" w:eastAsia="宋体" w:cs="Times New Roman"/>
                <w:b/>
                <w:szCs w:val="21"/>
              </w:rPr>
            </w:pPr>
          </w:p>
          <w:p w14:paraId="477DFBFA">
            <w:pPr>
              <w:jc w:val="center"/>
              <w:rPr>
                <w:rFonts w:ascii="Times New Roman" w:hAnsi="Times New Roman" w:eastAsia="宋体" w:cs="Times New Roman"/>
                <w:b/>
                <w:szCs w:val="21"/>
              </w:rPr>
            </w:pPr>
          </w:p>
          <w:p w14:paraId="47388F65">
            <w:pPr>
              <w:jc w:val="center"/>
              <w:rPr>
                <w:rFonts w:ascii="Times New Roman" w:hAnsi="Times New Roman" w:eastAsia="宋体" w:cs="Times New Roman"/>
                <w:b/>
                <w:szCs w:val="21"/>
              </w:rPr>
            </w:pPr>
          </w:p>
          <w:p w14:paraId="5FE1ECE8">
            <w:pPr>
              <w:jc w:val="center"/>
              <w:rPr>
                <w:rFonts w:ascii="Times New Roman" w:hAnsi="Times New Roman" w:eastAsia="宋体" w:cs="Times New Roman"/>
                <w:b/>
                <w:szCs w:val="21"/>
              </w:rPr>
            </w:pPr>
          </w:p>
          <w:p w14:paraId="794A6A9A">
            <w:pPr>
              <w:jc w:val="center"/>
              <w:rPr>
                <w:rFonts w:ascii="Times New Roman" w:hAnsi="Times New Roman" w:eastAsia="宋体" w:cs="Times New Roman"/>
                <w:b/>
                <w:szCs w:val="21"/>
              </w:rPr>
            </w:pPr>
          </w:p>
          <w:p w14:paraId="36E88C7C">
            <w:pPr>
              <w:jc w:val="center"/>
              <w:rPr>
                <w:rFonts w:ascii="Times New Roman" w:hAnsi="Times New Roman" w:eastAsia="宋体" w:cs="Times New Roman"/>
                <w:b/>
                <w:szCs w:val="21"/>
              </w:rPr>
            </w:pPr>
          </w:p>
          <w:p w14:paraId="12623250">
            <w:pPr>
              <w:jc w:val="center"/>
              <w:rPr>
                <w:rFonts w:ascii="Times New Roman" w:hAnsi="Times New Roman" w:eastAsia="宋体" w:cs="Times New Roman"/>
                <w:b/>
                <w:szCs w:val="21"/>
              </w:rPr>
            </w:pPr>
          </w:p>
          <w:p w14:paraId="5C30E28E">
            <w:pPr>
              <w:jc w:val="center"/>
              <w:rPr>
                <w:rFonts w:ascii="Times New Roman" w:hAnsi="Times New Roman" w:eastAsia="宋体" w:cs="Times New Roman"/>
                <w:b/>
                <w:szCs w:val="21"/>
              </w:rPr>
            </w:pPr>
          </w:p>
          <w:p w14:paraId="5A7043F7">
            <w:pPr>
              <w:jc w:val="center"/>
              <w:rPr>
                <w:rFonts w:ascii="Times New Roman" w:hAnsi="Times New Roman" w:eastAsia="宋体" w:cs="Times New Roman"/>
                <w:b/>
                <w:szCs w:val="21"/>
              </w:rPr>
            </w:pPr>
          </w:p>
          <w:p w14:paraId="1FEC4787">
            <w:pPr>
              <w:jc w:val="center"/>
              <w:rPr>
                <w:rFonts w:ascii="Times New Roman" w:hAnsi="Times New Roman" w:eastAsia="宋体" w:cs="Times New Roman"/>
                <w:b/>
                <w:szCs w:val="21"/>
              </w:rPr>
            </w:pPr>
          </w:p>
          <w:p w14:paraId="4680D5FE">
            <w:pPr>
              <w:jc w:val="center"/>
              <w:rPr>
                <w:rFonts w:ascii="Times New Roman" w:hAnsi="Times New Roman" w:eastAsia="宋体" w:cs="Times New Roman"/>
                <w:b/>
                <w:szCs w:val="21"/>
              </w:rPr>
            </w:pPr>
          </w:p>
          <w:p w14:paraId="579E43D8">
            <w:pPr>
              <w:jc w:val="center"/>
              <w:rPr>
                <w:rFonts w:ascii="Times New Roman" w:hAnsi="Times New Roman" w:eastAsia="宋体" w:cs="Times New Roman"/>
                <w:b/>
                <w:szCs w:val="20"/>
              </w:rPr>
            </w:pPr>
          </w:p>
        </w:tc>
      </w:tr>
      <w:tr w14:paraId="56841F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186D040">
            <w:pPr>
              <w:jc w:val="center"/>
              <w:rPr>
                <w:rFonts w:hint="eastAsia" w:ascii="Times New Roman" w:hAnsi="Times New Roman" w:eastAsia="宋体" w:cs="Times New Roman"/>
                <w:b/>
                <w:szCs w:val="20"/>
                <w:lang w:eastAsia="zh-CN"/>
              </w:rPr>
            </w:pPr>
          </w:p>
        </w:tc>
        <w:tc>
          <w:tcPr>
            <w:tcW w:w="2875" w:type="dxa"/>
            <w:tcBorders>
              <w:top w:val="single" w:color="auto" w:sz="4" w:space="0"/>
              <w:left w:val="single" w:color="auto" w:sz="4" w:space="0"/>
              <w:bottom w:val="single" w:color="auto" w:sz="4" w:space="0"/>
              <w:right w:val="single" w:color="auto" w:sz="4" w:space="0"/>
            </w:tcBorders>
            <w:vAlign w:val="center"/>
          </w:tcPr>
          <w:p w14:paraId="3BEFF780">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7FF6B194">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360770EE">
            <w:pPr>
              <w:jc w:val="center"/>
              <w:rPr>
                <w:rFonts w:ascii="Times New Roman" w:hAnsi="Times New Roman" w:eastAsia="宋体" w:cs="Times New Roman"/>
                <w:b/>
                <w:szCs w:val="20"/>
              </w:rPr>
            </w:pPr>
          </w:p>
        </w:tc>
      </w:tr>
    </w:tbl>
    <w:p w14:paraId="25ACA4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6B20D12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2EFA0245">
      <w:pPr>
        <w:spacing w:line="360" w:lineRule="auto"/>
        <w:ind w:firstLine="480" w:firstLineChars="200"/>
        <w:rPr>
          <w:rFonts w:hint="eastAsia" w:ascii="宋体" w:hAnsi="宋体" w:eastAsia="宋体" w:cs="Times New Roman"/>
          <w:color w:val="000000"/>
          <w:sz w:val="24"/>
          <w:szCs w:val="24"/>
        </w:rPr>
      </w:pPr>
    </w:p>
    <w:p w14:paraId="774D7720">
      <w:pPr>
        <w:spacing w:line="360" w:lineRule="auto"/>
        <w:ind w:firstLine="480" w:firstLineChars="200"/>
        <w:rPr>
          <w:rFonts w:hint="eastAsia" w:ascii="宋体" w:hAnsi="宋体" w:eastAsia="宋体" w:cs="Times New Roman"/>
          <w:color w:val="000000"/>
          <w:sz w:val="24"/>
          <w:szCs w:val="24"/>
        </w:rPr>
      </w:pPr>
    </w:p>
    <w:p w14:paraId="260F5977">
      <w:pPr>
        <w:spacing w:line="360" w:lineRule="auto"/>
        <w:ind w:firstLine="480" w:firstLineChars="200"/>
        <w:rPr>
          <w:rFonts w:hint="eastAsia" w:ascii="宋体" w:hAnsi="宋体" w:eastAsia="宋体" w:cs="Times New Roman"/>
          <w:color w:val="000000"/>
          <w:sz w:val="24"/>
          <w:szCs w:val="24"/>
        </w:rPr>
      </w:pPr>
    </w:p>
    <w:p w14:paraId="1082A98A">
      <w:pPr>
        <w:spacing w:line="360" w:lineRule="auto"/>
        <w:ind w:firstLine="480" w:firstLineChars="200"/>
        <w:rPr>
          <w:rFonts w:hint="eastAsia" w:ascii="宋体" w:hAnsi="宋体" w:eastAsia="宋体" w:cs="Times New Roman"/>
          <w:color w:val="000000"/>
          <w:sz w:val="24"/>
          <w:szCs w:val="24"/>
        </w:rPr>
      </w:pPr>
    </w:p>
    <w:p w14:paraId="0150A13A">
      <w:pPr>
        <w:spacing w:line="360" w:lineRule="auto"/>
        <w:ind w:firstLine="480" w:firstLineChars="200"/>
        <w:rPr>
          <w:rFonts w:hint="eastAsia" w:ascii="宋体" w:hAnsi="宋体" w:eastAsia="宋体" w:cs="Times New Roman"/>
          <w:color w:val="000000"/>
          <w:sz w:val="24"/>
          <w:szCs w:val="24"/>
        </w:rPr>
      </w:pPr>
    </w:p>
    <w:p w14:paraId="3303F46A">
      <w:pPr>
        <w:spacing w:line="360" w:lineRule="auto"/>
        <w:ind w:firstLine="480" w:firstLineChars="200"/>
        <w:rPr>
          <w:rFonts w:hint="eastAsia" w:ascii="宋体" w:hAnsi="宋体" w:eastAsia="宋体" w:cs="Times New Roman"/>
          <w:color w:val="000000"/>
          <w:sz w:val="24"/>
          <w:szCs w:val="24"/>
        </w:rPr>
      </w:pPr>
    </w:p>
    <w:p w14:paraId="64DEF86A">
      <w:pPr>
        <w:spacing w:before="110" w:line="227" w:lineRule="auto"/>
        <w:ind w:left="29"/>
        <w:outlineLvl w:val="2"/>
        <w:rPr>
          <w:rFonts w:hint="eastAsia" w:cs="Times New Roman"/>
          <w:b/>
          <w:bCs/>
          <w:color w:val="000000"/>
          <w:sz w:val="24"/>
          <w:szCs w:val="24"/>
          <w:highlight w:val="none"/>
          <w:lang w:val="en-US" w:eastAsia="zh-CN"/>
        </w:rPr>
      </w:pPr>
      <w:r>
        <w:rPr>
          <w:rFonts w:hint="eastAsia" w:ascii="Times New Roman" w:hAnsi="Times New Roman" w:eastAsia="宋体" w:cs="Times New Roman"/>
          <w:b/>
          <w:bCs/>
          <w:color w:val="000000"/>
          <w:sz w:val="24"/>
          <w:szCs w:val="24"/>
          <w:highlight w:val="none"/>
        </w:rPr>
        <w:t>附件</w:t>
      </w:r>
      <w:r>
        <w:rPr>
          <w:rFonts w:hint="eastAsia" w:cs="Times New Roman"/>
          <w:b/>
          <w:bCs/>
          <w:color w:val="000000"/>
          <w:sz w:val="24"/>
          <w:szCs w:val="24"/>
          <w:highlight w:val="none"/>
          <w:lang w:val="en-US" w:eastAsia="zh-CN"/>
        </w:rPr>
        <w:t>5</w:t>
      </w:r>
      <w:r>
        <w:rPr>
          <w:rFonts w:hint="eastAsia" w:ascii="Times New Roman" w:hAnsi="Times New Roman" w:eastAsia="宋体" w:cs="Times New Roman"/>
          <w:b/>
          <w:bCs/>
          <w:color w:val="000000"/>
          <w:sz w:val="24"/>
          <w:szCs w:val="24"/>
          <w:highlight w:val="none"/>
        </w:rPr>
        <w:t xml:space="preserve"> </w:t>
      </w:r>
      <w:r>
        <w:rPr>
          <w:rFonts w:hint="eastAsia" w:cs="Times New Roman"/>
          <w:b/>
          <w:bCs/>
          <w:color w:val="000000"/>
          <w:sz w:val="24"/>
          <w:szCs w:val="24"/>
          <w:highlight w:val="none"/>
          <w:lang w:val="en-US" w:eastAsia="zh-CN"/>
        </w:rPr>
        <w:t>项目报价单</w:t>
      </w:r>
    </w:p>
    <w:p w14:paraId="434B7FC8">
      <w:pPr>
        <w:bidi w:val="0"/>
        <w:rPr>
          <w:rFonts w:hint="eastAsia"/>
          <w:lang w:val="en-US" w:eastAsia="zh-CN"/>
        </w:rPr>
      </w:pPr>
    </w:p>
    <w:tbl>
      <w:tblPr>
        <w:tblStyle w:val="30"/>
        <w:tblW w:w="8504"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21"/>
        <w:gridCol w:w="1356"/>
        <w:gridCol w:w="1420"/>
        <w:gridCol w:w="1069"/>
        <w:gridCol w:w="1343"/>
        <w:gridCol w:w="1343"/>
        <w:gridCol w:w="1069"/>
        <w:gridCol w:w="1069"/>
      </w:tblGrid>
      <w:tr w14:paraId="6A0396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15422"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072AA">
            <w:pPr>
              <w:keepNext w:val="0"/>
              <w:keepLines w:val="0"/>
              <w:widowControl/>
              <w:suppressLineNumbers w:val="0"/>
              <w:jc w:val="center"/>
              <w:textAlignment w:val="center"/>
              <w:rPr>
                <w:rFonts w:ascii="方正小标宋简体" w:hAnsi="方正小标宋简体" w:eastAsia="方正小标宋简体" w:cs="方正小标宋简体"/>
                <w:i w:val="0"/>
                <w:iCs w:val="0"/>
                <w:color w:val="000000"/>
                <w:sz w:val="36"/>
                <w:szCs w:val="36"/>
                <w:u w:val="none"/>
              </w:rPr>
            </w:pPr>
            <w:r>
              <w:rPr>
                <w:rFonts w:hint="eastAsia" w:ascii="方正小标宋简体" w:hAnsi="方正小标宋简体" w:eastAsia="方正小标宋简体" w:cs="方正小标宋简体"/>
                <w:i w:val="0"/>
                <w:iCs w:val="0"/>
                <w:color w:val="000000"/>
                <w:kern w:val="0"/>
                <w:sz w:val="36"/>
                <w:szCs w:val="36"/>
                <w:u w:val="none"/>
                <w:lang w:val="en-US" w:eastAsia="zh-CN" w:bidi="ar"/>
              </w:rPr>
              <w:t>A包 Viken耳夹式蓝牙耳机 报价表</w:t>
            </w:r>
          </w:p>
        </w:tc>
      </w:tr>
      <w:tr w14:paraId="0FB5BC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7B2EA">
            <w:pPr>
              <w:keepNext w:val="0"/>
              <w:keepLines w:val="0"/>
              <w:widowControl/>
              <w:suppressLineNumbers w:val="0"/>
              <w:jc w:val="center"/>
              <w:textAlignment w:val="center"/>
              <w:rPr>
                <w:rFonts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BC85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076D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规格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35D5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计划需求数量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2D8E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单价报价（未税）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168D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单价报价（含税）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8286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总价（未税）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D8AB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总价（含税）</w:t>
            </w:r>
          </w:p>
        </w:tc>
      </w:tr>
      <w:tr w14:paraId="5F03E2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582D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c>
          <w:tcPr>
            <w:tcW w:w="2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0397B">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Viken耳夹式蓝牙耳机</w:t>
            </w:r>
          </w:p>
        </w:tc>
        <w:tc>
          <w:tcPr>
            <w:tcW w:w="30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6D4E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型号：i113，Hi-Res Audio音质认证，礼盒装包装形式，维W-47主机机型，</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IPX5防水等级，支持打印重汽logo，支持：手机、平板电脑、笔记本等无线设备。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739E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59B5D">
            <w:pPr>
              <w:jc w:val="center"/>
              <w:rPr>
                <w:rFonts w:hint="eastAsia" w:ascii="等线" w:hAnsi="等线" w:eastAsia="等线" w:cs="等线"/>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2D215">
            <w:pPr>
              <w:jc w:val="center"/>
              <w:rPr>
                <w:rFonts w:hint="eastAsia" w:ascii="等线" w:hAnsi="等线" w:eastAsia="等线" w:cs="等线"/>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A008A">
            <w:pPr>
              <w:jc w:val="center"/>
              <w:rPr>
                <w:rFonts w:hint="eastAsia" w:ascii="等线" w:hAnsi="等线" w:eastAsia="等线" w:cs="等线"/>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25868">
            <w:pPr>
              <w:jc w:val="center"/>
              <w:rPr>
                <w:rFonts w:hint="eastAsia" w:ascii="等线" w:hAnsi="等线" w:eastAsia="等线" w:cs="等线"/>
                <w:i w:val="0"/>
                <w:iCs w:val="0"/>
                <w:color w:val="FF0000"/>
                <w:sz w:val="20"/>
                <w:szCs w:val="20"/>
                <w:u w:val="none"/>
              </w:rPr>
            </w:pPr>
          </w:p>
        </w:tc>
      </w:tr>
      <w:tr w14:paraId="55E1B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A46E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4BF90">
            <w:pPr>
              <w:jc w:val="center"/>
              <w:rPr>
                <w:rFonts w:hint="eastAsia" w:ascii="等线" w:hAnsi="等线" w:eastAsia="等线" w:cs="等线"/>
                <w:b/>
                <w:bCs/>
                <w:i w:val="0"/>
                <w:iCs w:val="0"/>
                <w:color w:val="FF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BE345">
            <w:pPr>
              <w:jc w:val="center"/>
              <w:rPr>
                <w:rFonts w:hint="eastAsia" w:ascii="等线" w:hAnsi="等线" w:eastAsia="等线" w:cs="等线"/>
                <w:b/>
                <w:bCs/>
                <w:i w:val="0"/>
                <w:iCs w:val="0"/>
                <w:color w:val="FF0000"/>
                <w:sz w:val="20"/>
                <w:szCs w:val="20"/>
                <w:u w:val="none"/>
              </w:rPr>
            </w:pPr>
          </w:p>
        </w:tc>
      </w:tr>
    </w:tbl>
    <w:p w14:paraId="12AE852C">
      <w:pPr>
        <w:bidi w:val="0"/>
        <w:rPr>
          <w:rFonts w:hint="eastAsia"/>
          <w:lang w:val="en-US" w:eastAsia="zh-CN"/>
        </w:rPr>
      </w:pPr>
    </w:p>
    <w:p w14:paraId="027C765D">
      <w:pPr>
        <w:bidi w:val="0"/>
        <w:rPr>
          <w:rFonts w:hint="eastAsia"/>
          <w:lang w:val="en-US" w:eastAsia="zh-CN"/>
        </w:rPr>
      </w:pPr>
    </w:p>
    <w:p w14:paraId="19648D4E">
      <w:pPr>
        <w:bidi w:val="0"/>
        <w:rPr>
          <w:rFonts w:hint="eastAsia"/>
          <w:lang w:val="en-US" w:eastAsia="zh-CN"/>
        </w:rPr>
      </w:pPr>
    </w:p>
    <w:p w14:paraId="2206F19E">
      <w:pPr>
        <w:bidi w:val="0"/>
        <w:rPr>
          <w:rFonts w:hint="eastAsia"/>
          <w:lang w:val="en-US" w:eastAsia="zh-CN"/>
        </w:rPr>
      </w:pPr>
    </w:p>
    <w:p w14:paraId="0BCD6D40">
      <w:pPr>
        <w:bidi w:val="0"/>
        <w:rPr>
          <w:rFonts w:hint="eastAsia"/>
          <w:lang w:val="en-US" w:eastAsia="zh-CN"/>
        </w:rPr>
      </w:pPr>
    </w:p>
    <w:p w14:paraId="57C67198">
      <w:pPr>
        <w:bidi w:val="0"/>
        <w:rPr>
          <w:rFonts w:hint="eastAsia"/>
          <w:lang w:val="en-US" w:eastAsia="zh-CN"/>
        </w:rPr>
      </w:pPr>
    </w:p>
    <w:p w14:paraId="68007BC3">
      <w:pPr>
        <w:bidi w:val="0"/>
        <w:rPr>
          <w:rFonts w:hint="eastAsia"/>
          <w:lang w:val="en-US" w:eastAsia="zh-CN"/>
        </w:rPr>
      </w:pPr>
    </w:p>
    <w:p w14:paraId="616FA907">
      <w:pPr>
        <w:bidi w:val="0"/>
        <w:rPr>
          <w:rFonts w:hint="eastAsia"/>
          <w:lang w:val="en-US" w:eastAsia="zh-CN"/>
        </w:rPr>
      </w:pPr>
    </w:p>
    <w:p w14:paraId="79EA70A8">
      <w:pPr>
        <w:bidi w:val="0"/>
        <w:rPr>
          <w:rFonts w:hint="eastAsia"/>
          <w:lang w:val="en-US" w:eastAsia="zh-CN"/>
        </w:rPr>
      </w:pPr>
    </w:p>
    <w:p w14:paraId="0DC195D9">
      <w:pPr>
        <w:bidi w:val="0"/>
        <w:rPr>
          <w:rFonts w:hint="eastAsia"/>
          <w:lang w:val="en-US" w:eastAsia="zh-CN"/>
        </w:rPr>
      </w:pPr>
    </w:p>
    <w:p w14:paraId="3D3B17E6">
      <w:pPr>
        <w:bidi w:val="0"/>
        <w:rPr>
          <w:rFonts w:hint="eastAsia"/>
          <w:lang w:val="en-US" w:eastAsia="zh-CN"/>
        </w:rPr>
      </w:pPr>
    </w:p>
    <w:p w14:paraId="3D8B274A">
      <w:pPr>
        <w:bidi w:val="0"/>
        <w:rPr>
          <w:rFonts w:hint="eastAsia"/>
          <w:lang w:val="en-US" w:eastAsia="zh-CN"/>
        </w:rPr>
      </w:pPr>
    </w:p>
    <w:p w14:paraId="3EA5ADDA">
      <w:pPr>
        <w:bidi w:val="0"/>
        <w:rPr>
          <w:rFonts w:hint="eastAsia"/>
          <w:lang w:val="en-US" w:eastAsia="zh-CN"/>
        </w:rPr>
      </w:pPr>
    </w:p>
    <w:p w14:paraId="37C28859">
      <w:pPr>
        <w:bidi w:val="0"/>
        <w:rPr>
          <w:rFonts w:hint="eastAsia"/>
          <w:lang w:val="en-US" w:eastAsia="zh-CN"/>
        </w:rPr>
      </w:pPr>
    </w:p>
    <w:p w14:paraId="68801219">
      <w:pPr>
        <w:bidi w:val="0"/>
        <w:rPr>
          <w:rFonts w:hint="eastAsia"/>
          <w:lang w:val="en-US" w:eastAsia="zh-CN"/>
        </w:rPr>
      </w:pPr>
    </w:p>
    <w:p w14:paraId="33D7C088">
      <w:pPr>
        <w:bidi w:val="0"/>
        <w:rPr>
          <w:rFonts w:hint="eastAsia"/>
          <w:lang w:val="en-US" w:eastAsia="zh-CN"/>
        </w:rPr>
      </w:pPr>
    </w:p>
    <w:p w14:paraId="69C68AC3">
      <w:pPr>
        <w:bidi w:val="0"/>
        <w:rPr>
          <w:rFonts w:hint="eastAsia"/>
          <w:lang w:val="en-US" w:eastAsia="zh-CN"/>
        </w:rPr>
      </w:pPr>
    </w:p>
    <w:p w14:paraId="5EE89FDF">
      <w:pPr>
        <w:bidi w:val="0"/>
        <w:rPr>
          <w:rFonts w:hint="eastAsia"/>
          <w:lang w:val="en-US" w:eastAsia="zh-CN"/>
        </w:rPr>
      </w:pPr>
    </w:p>
    <w:p w14:paraId="547677DE">
      <w:pPr>
        <w:bidi w:val="0"/>
        <w:rPr>
          <w:rFonts w:hint="eastAsia"/>
          <w:lang w:val="en-US" w:eastAsia="zh-CN"/>
        </w:rPr>
      </w:pPr>
    </w:p>
    <w:p w14:paraId="432489FA">
      <w:pPr>
        <w:bidi w:val="0"/>
        <w:rPr>
          <w:rFonts w:hint="eastAsia"/>
          <w:lang w:val="en-US" w:eastAsia="zh-CN"/>
        </w:rPr>
      </w:pPr>
    </w:p>
    <w:p w14:paraId="36C0D022">
      <w:pPr>
        <w:bidi w:val="0"/>
        <w:rPr>
          <w:rFonts w:hint="eastAsia"/>
          <w:lang w:val="en-US" w:eastAsia="zh-CN"/>
        </w:rPr>
      </w:pPr>
    </w:p>
    <w:tbl>
      <w:tblPr>
        <w:tblStyle w:val="30"/>
        <w:tblW w:w="8504"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10"/>
        <w:gridCol w:w="1387"/>
        <w:gridCol w:w="1554"/>
        <w:gridCol w:w="1042"/>
        <w:gridCol w:w="1307"/>
        <w:gridCol w:w="1307"/>
        <w:gridCol w:w="1042"/>
        <w:gridCol w:w="1041"/>
      </w:tblGrid>
      <w:tr w14:paraId="659626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15945"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88E82">
            <w:pPr>
              <w:keepNext w:val="0"/>
              <w:keepLines w:val="0"/>
              <w:widowControl/>
              <w:suppressLineNumbers w:val="0"/>
              <w:jc w:val="center"/>
              <w:textAlignment w:val="center"/>
              <w:rPr>
                <w:rFonts w:ascii="方正小标宋简体" w:hAnsi="方正小标宋简体" w:eastAsia="方正小标宋简体" w:cs="方正小标宋简体"/>
                <w:i w:val="0"/>
                <w:iCs w:val="0"/>
                <w:color w:val="000000"/>
                <w:sz w:val="36"/>
                <w:szCs w:val="36"/>
                <w:u w:val="none"/>
              </w:rPr>
            </w:pPr>
            <w:r>
              <w:rPr>
                <w:rFonts w:hint="eastAsia" w:ascii="方正小标宋简体" w:hAnsi="方正小标宋简体" w:eastAsia="方正小标宋简体" w:cs="方正小标宋简体"/>
                <w:i w:val="0"/>
                <w:iCs w:val="0"/>
                <w:color w:val="000000"/>
                <w:kern w:val="0"/>
                <w:sz w:val="36"/>
                <w:szCs w:val="36"/>
                <w:u w:val="none"/>
                <w:lang w:val="en-US" w:eastAsia="zh-CN" w:bidi="ar"/>
              </w:rPr>
              <w:t>B包 PARKER钢笔XL威雅钢杆金夹墨水商务礼盒  报价表</w:t>
            </w:r>
          </w:p>
        </w:tc>
      </w:tr>
      <w:tr w14:paraId="1411EB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F5ACD">
            <w:pPr>
              <w:keepNext w:val="0"/>
              <w:keepLines w:val="0"/>
              <w:widowControl/>
              <w:suppressLineNumbers w:val="0"/>
              <w:jc w:val="center"/>
              <w:textAlignment w:val="center"/>
              <w:rPr>
                <w:rFonts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E264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C100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规格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5C54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计划需求数量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09BE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单价报价（未税）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3E2D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单价报价（含税）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5C2D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总价（未税）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76B0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总价（含税）</w:t>
            </w:r>
          </w:p>
        </w:tc>
      </w:tr>
      <w:tr w14:paraId="695861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3573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c>
          <w:tcPr>
            <w:tcW w:w="2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714F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PARKER钢笔XL威雅钢杆金夹墨水商务礼盒</w:t>
            </w:r>
          </w:p>
        </w:tc>
        <w:tc>
          <w:tcPr>
            <w:tcW w:w="35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BFE6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笔身纹理：光面，笔尖材质：不锈钢，材质：铜质笔杆，PVD镀金笔夹，ABS笔基</w:t>
            </w:r>
            <w:r>
              <w:rPr>
                <w:rFonts w:hint="eastAsia" w:ascii="等线" w:hAnsi="等线" w:eastAsia="等线" w:cs="等线"/>
                <w:i w:val="0"/>
                <w:iCs w:val="0"/>
                <w:color w:val="000000"/>
                <w:kern w:val="0"/>
                <w:sz w:val="20"/>
                <w:szCs w:val="20"/>
                <w:u w:val="none"/>
                <w:lang w:val="en-US" w:eastAsia="zh-CN" w:bidi="ar"/>
              </w:rPr>
              <w:br w:type="textWrapping"/>
            </w:r>
            <w:r>
              <w:rPr>
                <w:rFonts w:hint="eastAsia" w:ascii="等线" w:hAnsi="等线" w:eastAsia="等线" w:cs="等线"/>
                <w:i w:val="0"/>
                <w:iCs w:val="0"/>
                <w:color w:val="000000"/>
                <w:kern w:val="0"/>
                <w:sz w:val="20"/>
                <w:szCs w:val="20"/>
                <w:u w:val="none"/>
                <w:lang w:val="en-US" w:eastAsia="zh-CN" w:bidi="ar"/>
              </w:rPr>
              <w:t>上墨方式：活塞上墨，墨囊，标配礼盒，支持刻印重汽logo。</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6853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62436">
            <w:pPr>
              <w:jc w:val="center"/>
              <w:rPr>
                <w:rFonts w:hint="eastAsia" w:ascii="等线" w:hAnsi="等线" w:eastAsia="等线" w:cs="等线"/>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A7954">
            <w:pPr>
              <w:jc w:val="center"/>
              <w:rPr>
                <w:rFonts w:hint="eastAsia" w:ascii="等线" w:hAnsi="等线" w:eastAsia="等线" w:cs="等线"/>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320FE">
            <w:pPr>
              <w:jc w:val="center"/>
              <w:rPr>
                <w:rFonts w:hint="eastAsia" w:ascii="等线" w:hAnsi="等线" w:eastAsia="等线" w:cs="等线"/>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7EB83">
            <w:pPr>
              <w:jc w:val="center"/>
              <w:rPr>
                <w:rFonts w:hint="eastAsia" w:ascii="等线" w:hAnsi="等线" w:eastAsia="等线" w:cs="等线"/>
                <w:i w:val="0"/>
                <w:iCs w:val="0"/>
                <w:color w:val="FF0000"/>
                <w:sz w:val="20"/>
                <w:szCs w:val="20"/>
                <w:u w:val="none"/>
              </w:rPr>
            </w:pPr>
          </w:p>
        </w:tc>
      </w:tr>
      <w:tr w14:paraId="036E56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0" w:type="auto"/>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4C84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B21A0">
            <w:pPr>
              <w:jc w:val="center"/>
              <w:rPr>
                <w:rFonts w:hint="eastAsia" w:ascii="等线" w:hAnsi="等线" w:eastAsia="等线" w:cs="等线"/>
                <w:b/>
                <w:bCs/>
                <w:i w:val="0"/>
                <w:iCs w:val="0"/>
                <w:color w:val="FF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EB94A">
            <w:pPr>
              <w:jc w:val="center"/>
              <w:rPr>
                <w:rFonts w:hint="eastAsia" w:ascii="等线" w:hAnsi="等线" w:eastAsia="等线" w:cs="等线"/>
                <w:b/>
                <w:bCs/>
                <w:i w:val="0"/>
                <w:iCs w:val="0"/>
                <w:color w:val="FF0000"/>
                <w:sz w:val="20"/>
                <w:szCs w:val="20"/>
                <w:u w:val="none"/>
              </w:rPr>
            </w:pPr>
          </w:p>
        </w:tc>
      </w:tr>
    </w:tbl>
    <w:p w14:paraId="2EF2F410">
      <w:pPr>
        <w:bidi w:val="0"/>
        <w:rPr>
          <w:rFonts w:hint="eastAsia"/>
          <w:lang w:val="en-US" w:eastAsia="zh-CN"/>
        </w:rPr>
      </w:pPr>
    </w:p>
    <w:p w14:paraId="3472751D">
      <w:pPr>
        <w:bidi w:val="0"/>
        <w:rPr>
          <w:rFonts w:hint="eastAsia"/>
          <w:lang w:val="en-US" w:eastAsia="zh-CN"/>
        </w:rPr>
      </w:pPr>
    </w:p>
    <w:p w14:paraId="416FF315">
      <w:pPr>
        <w:bidi w:val="0"/>
        <w:rPr>
          <w:rFonts w:hint="eastAsia"/>
          <w:lang w:val="en-US" w:eastAsia="zh-CN"/>
        </w:rPr>
      </w:pPr>
    </w:p>
    <w:tbl>
      <w:tblPr>
        <w:tblStyle w:val="30"/>
        <w:tblW w:w="8504"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07"/>
        <w:gridCol w:w="1283"/>
        <w:gridCol w:w="1714"/>
        <w:gridCol w:w="1032"/>
        <w:gridCol w:w="1295"/>
        <w:gridCol w:w="1295"/>
        <w:gridCol w:w="1032"/>
        <w:gridCol w:w="1032"/>
      </w:tblGrid>
      <w:tr w14:paraId="272BDE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16133"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8DCA3">
            <w:pPr>
              <w:keepNext w:val="0"/>
              <w:keepLines w:val="0"/>
              <w:widowControl/>
              <w:suppressLineNumbers w:val="0"/>
              <w:jc w:val="center"/>
              <w:textAlignment w:val="center"/>
              <w:rPr>
                <w:rFonts w:ascii="方正小标宋简体" w:hAnsi="方正小标宋简体" w:eastAsia="方正小标宋简体" w:cs="方正小标宋简体"/>
                <w:i w:val="0"/>
                <w:iCs w:val="0"/>
                <w:color w:val="000000"/>
                <w:sz w:val="36"/>
                <w:szCs w:val="36"/>
                <w:u w:val="none"/>
              </w:rPr>
            </w:pPr>
            <w:r>
              <w:rPr>
                <w:rFonts w:hint="eastAsia" w:ascii="方正小标宋简体" w:hAnsi="方正小标宋简体" w:eastAsia="方正小标宋简体" w:cs="方正小标宋简体"/>
                <w:i w:val="0"/>
                <w:iCs w:val="0"/>
                <w:color w:val="000000"/>
                <w:kern w:val="0"/>
                <w:sz w:val="36"/>
                <w:szCs w:val="36"/>
                <w:u w:val="none"/>
                <w:lang w:val="en-US" w:eastAsia="zh-CN" w:bidi="ar"/>
              </w:rPr>
              <w:t>C包 倍思三合一充电宝  报价表</w:t>
            </w:r>
          </w:p>
        </w:tc>
      </w:tr>
      <w:tr w14:paraId="473E2E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F242D">
            <w:pPr>
              <w:keepNext w:val="0"/>
              <w:keepLines w:val="0"/>
              <w:widowControl/>
              <w:suppressLineNumbers w:val="0"/>
              <w:jc w:val="center"/>
              <w:textAlignment w:val="center"/>
              <w:rPr>
                <w:rFonts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4D01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0585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规格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156D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计划需求数量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8558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单价报价（未税）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7A3A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单价报价（含税）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F416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总价（未税）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B4DE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总价（含税）</w:t>
            </w:r>
          </w:p>
        </w:tc>
      </w:tr>
      <w:tr w14:paraId="78C5E8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74B8B">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c>
          <w:tcPr>
            <w:tcW w:w="2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E5EB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倍思三合一充电宝</w:t>
            </w:r>
          </w:p>
        </w:tc>
        <w:tc>
          <w:tcPr>
            <w:tcW w:w="37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0E7A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CN-倍思 Nomos NT11 自带线，可上飞机，带插头超能充数显移动电源 10000mAh 67W，3C认证，可以充笔记本电脑，礼盒装包装形式，支持打印重汽logo。。</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2C83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800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FF343">
            <w:pPr>
              <w:jc w:val="center"/>
              <w:rPr>
                <w:rFonts w:hint="eastAsia" w:ascii="等线" w:hAnsi="等线" w:eastAsia="等线" w:cs="等线"/>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667D7">
            <w:pPr>
              <w:jc w:val="center"/>
              <w:rPr>
                <w:rFonts w:hint="eastAsia" w:ascii="等线" w:hAnsi="等线" w:eastAsia="等线" w:cs="等线"/>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D2B49">
            <w:pPr>
              <w:jc w:val="center"/>
              <w:rPr>
                <w:rFonts w:hint="eastAsia" w:ascii="等线" w:hAnsi="等线" w:eastAsia="等线" w:cs="等线"/>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03B4F">
            <w:pPr>
              <w:jc w:val="center"/>
              <w:rPr>
                <w:rFonts w:hint="eastAsia" w:ascii="等线" w:hAnsi="等线" w:eastAsia="等线" w:cs="等线"/>
                <w:i w:val="0"/>
                <w:iCs w:val="0"/>
                <w:color w:val="FF0000"/>
                <w:sz w:val="20"/>
                <w:szCs w:val="20"/>
                <w:u w:val="none"/>
              </w:rPr>
            </w:pPr>
          </w:p>
        </w:tc>
      </w:tr>
      <w:tr w14:paraId="58B3EC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F3051">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50F62">
            <w:pPr>
              <w:jc w:val="center"/>
              <w:rPr>
                <w:rFonts w:hint="eastAsia" w:ascii="等线" w:hAnsi="等线" w:eastAsia="等线" w:cs="等线"/>
                <w:b/>
                <w:bCs/>
                <w:i w:val="0"/>
                <w:iCs w:val="0"/>
                <w:color w:val="FF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B1C7C">
            <w:pPr>
              <w:jc w:val="center"/>
              <w:rPr>
                <w:rFonts w:hint="eastAsia" w:ascii="等线" w:hAnsi="等线" w:eastAsia="等线" w:cs="等线"/>
                <w:b/>
                <w:bCs/>
                <w:i w:val="0"/>
                <w:iCs w:val="0"/>
                <w:color w:val="FF0000"/>
                <w:sz w:val="20"/>
                <w:szCs w:val="20"/>
                <w:u w:val="none"/>
              </w:rPr>
            </w:pPr>
          </w:p>
        </w:tc>
      </w:tr>
    </w:tbl>
    <w:p w14:paraId="3B1A052D">
      <w:pPr>
        <w:bidi w:val="0"/>
        <w:rPr>
          <w:rFonts w:hint="eastAsia"/>
          <w:lang w:val="en-US" w:eastAsia="zh-CN"/>
        </w:rPr>
      </w:pPr>
    </w:p>
    <w:p w14:paraId="61ABBC01">
      <w:pPr>
        <w:bidi w:val="0"/>
        <w:rPr>
          <w:rFonts w:hint="eastAsia"/>
          <w:lang w:val="en-US" w:eastAsia="zh-CN"/>
        </w:rPr>
      </w:pPr>
    </w:p>
    <w:p w14:paraId="7D99C750">
      <w:pPr>
        <w:bidi w:val="0"/>
        <w:rPr>
          <w:rFonts w:hint="eastAsia"/>
          <w:lang w:val="en-US" w:eastAsia="zh-CN"/>
        </w:rPr>
      </w:pPr>
    </w:p>
    <w:p w14:paraId="390A626A">
      <w:pPr>
        <w:bidi w:val="0"/>
        <w:rPr>
          <w:rFonts w:hint="eastAsia"/>
          <w:lang w:val="en-US" w:eastAsia="zh-CN"/>
        </w:rPr>
      </w:pPr>
    </w:p>
    <w:p w14:paraId="540E0787">
      <w:pPr>
        <w:bidi w:val="0"/>
        <w:rPr>
          <w:rFonts w:hint="eastAsia"/>
          <w:lang w:val="en-US" w:eastAsia="zh-CN"/>
        </w:rPr>
      </w:pPr>
    </w:p>
    <w:tbl>
      <w:tblPr>
        <w:tblStyle w:val="30"/>
        <w:tblW w:w="8504"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14"/>
        <w:gridCol w:w="1200"/>
        <w:gridCol w:w="1654"/>
        <w:gridCol w:w="1056"/>
        <w:gridCol w:w="1327"/>
        <w:gridCol w:w="1327"/>
        <w:gridCol w:w="1056"/>
        <w:gridCol w:w="1056"/>
      </w:tblGrid>
      <w:tr w14:paraId="5C0190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15160"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6ADE9">
            <w:pPr>
              <w:keepNext w:val="0"/>
              <w:keepLines w:val="0"/>
              <w:widowControl/>
              <w:suppressLineNumbers w:val="0"/>
              <w:jc w:val="center"/>
              <w:textAlignment w:val="center"/>
              <w:rPr>
                <w:rFonts w:ascii="方正小标宋简体" w:hAnsi="方正小标宋简体" w:eastAsia="方正小标宋简体" w:cs="方正小标宋简体"/>
                <w:i w:val="0"/>
                <w:iCs w:val="0"/>
                <w:color w:val="000000"/>
                <w:sz w:val="36"/>
                <w:szCs w:val="36"/>
                <w:u w:val="none"/>
              </w:rPr>
            </w:pPr>
            <w:r>
              <w:rPr>
                <w:rFonts w:hint="eastAsia" w:ascii="方正小标宋简体" w:hAnsi="方正小标宋简体" w:eastAsia="方正小标宋简体" w:cs="方正小标宋简体"/>
                <w:i w:val="0"/>
                <w:iCs w:val="0"/>
                <w:color w:val="000000"/>
                <w:kern w:val="0"/>
                <w:sz w:val="36"/>
                <w:szCs w:val="36"/>
                <w:u w:val="none"/>
                <w:lang w:val="en-US" w:eastAsia="zh-CN" w:bidi="ar"/>
              </w:rPr>
              <w:t>D包 黑陶手绘看盘  报价汇总表</w:t>
            </w:r>
          </w:p>
        </w:tc>
      </w:tr>
      <w:tr w14:paraId="04CF9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4601F">
            <w:pPr>
              <w:keepNext w:val="0"/>
              <w:keepLines w:val="0"/>
              <w:widowControl/>
              <w:suppressLineNumbers w:val="0"/>
              <w:jc w:val="center"/>
              <w:textAlignment w:val="center"/>
              <w:rPr>
                <w:rFonts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D9FD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688D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规格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FDF3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计划需求数量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B85F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单价报价（未税）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D626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单价报价（含税）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73FC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总价（未税）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FDEC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总价（含税）</w:t>
            </w:r>
          </w:p>
        </w:tc>
      </w:tr>
      <w:tr w14:paraId="2764CE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973B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1</w:t>
            </w:r>
          </w:p>
        </w:tc>
        <w:tc>
          <w:tcPr>
            <w:tcW w:w="2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113E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黑陶手绘看盘</w:t>
            </w:r>
          </w:p>
        </w:tc>
        <w:tc>
          <w:tcPr>
            <w:tcW w:w="3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66DC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 xml:space="preserve">材质：黑陶，看盘内容：提现济南地区特色，看盘直径：27.5cm，包装盒：31*30.6*6.6cm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1C94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6832B">
            <w:pPr>
              <w:jc w:val="center"/>
              <w:rPr>
                <w:rFonts w:hint="eastAsia" w:ascii="等线" w:hAnsi="等线" w:eastAsia="等线" w:cs="等线"/>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C849C">
            <w:pPr>
              <w:jc w:val="center"/>
              <w:rPr>
                <w:rFonts w:hint="eastAsia" w:ascii="等线" w:hAnsi="等线" w:eastAsia="等线" w:cs="等线"/>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82628">
            <w:pPr>
              <w:jc w:val="center"/>
              <w:rPr>
                <w:rFonts w:hint="eastAsia" w:ascii="等线" w:hAnsi="等线" w:eastAsia="等线" w:cs="等线"/>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755CF">
            <w:pPr>
              <w:jc w:val="center"/>
              <w:rPr>
                <w:rFonts w:hint="eastAsia" w:ascii="等线" w:hAnsi="等线" w:eastAsia="等线" w:cs="等线"/>
                <w:i w:val="0"/>
                <w:iCs w:val="0"/>
                <w:color w:val="FF0000"/>
                <w:sz w:val="20"/>
                <w:szCs w:val="20"/>
                <w:u w:val="none"/>
              </w:rPr>
            </w:pPr>
          </w:p>
        </w:tc>
      </w:tr>
      <w:tr w14:paraId="314A03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0" w:type="auto"/>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4EEF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0"/>
                <w:szCs w:val="20"/>
                <w:u w:val="none"/>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96F9E">
            <w:pPr>
              <w:jc w:val="center"/>
              <w:rPr>
                <w:rFonts w:hint="eastAsia" w:ascii="等线" w:hAnsi="等线" w:eastAsia="等线" w:cs="等线"/>
                <w:b/>
                <w:bCs/>
                <w:i w:val="0"/>
                <w:iCs w:val="0"/>
                <w:color w:val="FF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FB1F6">
            <w:pPr>
              <w:jc w:val="center"/>
              <w:rPr>
                <w:rFonts w:hint="eastAsia" w:ascii="等线" w:hAnsi="等线" w:eastAsia="等线" w:cs="等线"/>
                <w:b/>
                <w:bCs/>
                <w:i w:val="0"/>
                <w:iCs w:val="0"/>
                <w:color w:val="FF0000"/>
                <w:sz w:val="20"/>
                <w:szCs w:val="20"/>
                <w:u w:val="none"/>
              </w:rPr>
            </w:pPr>
          </w:p>
        </w:tc>
      </w:tr>
    </w:tbl>
    <w:p w14:paraId="611DC494">
      <w:pPr>
        <w:bidi w:val="0"/>
        <w:rPr>
          <w:rFonts w:hint="eastAsia"/>
          <w:lang w:val="en-US" w:eastAsia="zh-CN"/>
        </w:rPr>
      </w:pPr>
    </w:p>
    <w:p w14:paraId="684E686C">
      <w:pPr>
        <w:bidi w:val="0"/>
        <w:rPr>
          <w:rFonts w:hint="eastAsia"/>
          <w:lang w:val="en-US" w:eastAsia="zh-CN"/>
        </w:rPr>
      </w:pPr>
    </w:p>
    <w:p w14:paraId="657A499E">
      <w:pPr>
        <w:bidi w:val="0"/>
        <w:rPr>
          <w:rFonts w:hint="eastAsia"/>
          <w:lang w:val="en-US" w:eastAsia="zh-CN"/>
        </w:rPr>
      </w:pPr>
    </w:p>
    <w:p w14:paraId="7D0AFEA8">
      <w:pPr>
        <w:bidi w:val="0"/>
        <w:rPr>
          <w:rFonts w:hint="eastAsia"/>
          <w:lang w:val="en-US" w:eastAsia="zh-CN"/>
        </w:rPr>
      </w:pPr>
    </w:p>
    <w:p w14:paraId="323E62F4">
      <w:pPr>
        <w:bidi w:val="0"/>
        <w:rPr>
          <w:rFonts w:hint="eastAsia"/>
          <w:lang w:val="en-US" w:eastAsia="zh-CN"/>
        </w:rPr>
      </w:pPr>
    </w:p>
    <w:p w14:paraId="6D7DC020">
      <w:pPr>
        <w:bidi w:val="0"/>
        <w:rPr>
          <w:rFonts w:hint="eastAsia"/>
          <w:lang w:val="en-US" w:eastAsia="zh-CN"/>
        </w:rPr>
      </w:pPr>
    </w:p>
    <w:p w14:paraId="12437741">
      <w:pPr>
        <w:bidi w:val="0"/>
        <w:rPr>
          <w:rFonts w:hint="eastAsia"/>
          <w:lang w:val="en-US" w:eastAsia="zh-CN"/>
        </w:rPr>
      </w:pPr>
    </w:p>
    <w:p w14:paraId="321EF603">
      <w:pPr>
        <w:bidi w:val="0"/>
        <w:rPr>
          <w:rFonts w:hint="eastAsia"/>
          <w:lang w:val="en-US" w:eastAsia="zh-CN"/>
        </w:rPr>
      </w:pPr>
    </w:p>
    <w:p w14:paraId="0AF6E811">
      <w:pPr>
        <w:bidi w:val="0"/>
        <w:rPr>
          <w:rFonts w:hint="eastAsia"/>
          <w:lang w:val="en-US" w:eastAsia="zh-CN"/>
        </w:rPr>
      </w:pPr>
    </w:p>
    <w:p w14:paraId="65C30B33">
      <w:pPr>
        <w:bidi w:val="0"/>
        <w:rPr>
          <w:rFonts w:hint="eastAsia"/>
          <w:lang w:val="en-US" w:eastAsia="zh-CN"/>
        </w:rPr>
      </w:pPr>
    </w:p>
    <w:p w14:paraId="11008A3F">
      <w:pPr>
        <w:bidi w:val="0"/>
        <w:rPr>
          <w:rFonts w:hint="eastAsia"/>
          <w:lang w:val="en-US" w:eastAsia="zh-CN"/>
        </w:rPr>
      </w:pPr>
    </w:p>
    <w:p w14:paraId="1F6AB83D">
      <w:pPr>
        <w:bidi w:val="0"/>
        <w:rPr>
          <w:rFonts w:hint="eastAsia"/>
          <w:lang w:val="en-US" w:eastAsia="zh-CN"/>
        </w:rPr>
      </w:pPr>
    </w:p>
    <w:p w14:paraId="71EC887F">
      <w:pPr>
        <w:bidi w:val="0"/>
        <w:rPr>
          <w:rFonts w:hint="eastAsia"/>
          <w:lang w:val="en-US" w:eastAsia="zh-CN"/>
        </w:rPr>
      </w:pPr>
    </w:p>
    <w:p w14:paraId="42121980">
      <w:pPr>
        <w:bidi w:val="0"/>
        <w:rPr>
          <w:rFonts w:hint="eastAsia"/>
          <w:lang w:val="en-US" w:eastAsia="zh-CN"/>
        </w:rPr>
      </w:pPr>
    </w:p>
    <w:p w14:paraId="1AEE8B40">
      <w:pPr>
        <w:bidi w:val="0"/>
        <w:rPr>
          <w:rFonts w:hint="eastAsia"/>
          <w:lang w:val="en-US" w:eastAsia="zh-CN"/>
        </w:rPr>
      </w:pPr>
    </w:p>
    <w:p w14:paraId="3DD1992A">
      <w:pPr>
        <w:bidi w:val="0"/>
        <w:rPr>
          <w:rFonts w:hint="eastAsia"/>
          <w:lang w:val="en-US" w:eastAsia="zh-CN"/>
        </w:rPr>
      </w:pPr>
    </w:p>
    <w:p w14:paraId="112C5BAE">
      <w:pPr>
        <w:bidi w:val="0"/>
        <w:rPr>
          <w:rFonts w:hint="eastAsia"/>
          <w:lang w:val="en-US" w:eastAsia="zh-CN"/>
        </w:rPr>
      </w:pPr>
    </w:p>
    <w:p w14:paraId="22D3C73A">
      <w:pPr>
        <w:bidi w:val="0"/>
        <w:rPr>
          <w:rFonts w:hint="eastAsia"/>
          <w:lang w:val="en-US" w:eastAsia="zh-CN"/>
        </w:rPr>
      </w:pPr>
    </w:p>
    <w:p w14:paraId="4B90712C">
      <w:pPr>
        <w:bidi w:val="0"/>
        <w:rPr>
          <w:rFonts w:hint="eastAsia"/>
          <w:lang w:val="en-US" w:eastAsia="zh-CN"/>
        </w:rPr>
      </w:pPr>
    </w:p>
    <w:p w14:paraId="44FA6BC3">
      <w:pPr>
        <w:bidi w:val="0"/>
        <w:rPr>
          <w:rFonts w:hint="eastAsia"/>
          <w:lang w:val="en-US" w:eastAsia="zh-CN"/>
        </w:rPr>
      </w:pPr>
    </w:p>
    <w:p w14:paraId="65817D48">
      <w:pPr>
        <w:bidi w:val="0"/>
        <w:rPr>
          <w:rFonts w:hint="eastAsia"/>
          <w:lang w:val="en-US" w:eastAsia="zh-CN"/>
        </w:rPr>
      </w:pPr>
    </w:p>
    <w:p w14:paraId="4AA481BC">
      <w:pPr>
        <w:bidi w:val="0"/>
        <w:rPr>
          <w:rFonts w:hint="eastAsia"/>
          <w:lang w:val="en-US" w:eastAsia="zh-CN"/>
        </w:rPr>
      </w:pPr>
    </w:p>
    <w:p w14:paraId="4DFA81C8">
      <w:pPr>
        <w:bidi w:val="0"/>
        <w:rPr>
          <w:rFonts w:hint="eastAsia"/>
          <w:lang w:val="en-US" w:eastAsia="zh-CN"/>
        </w:rPr>
      </w:pPr>
    </w:p>
    <w:p w14:paraId="5CA67E2D">
      <w:pPr>
        <w:bidi w:val="0"/>
        <w:rPr>
          <w:rFonts w:hint="eastAsia"/>
          <w:lang w:val="en-US" w:eastAsia="zh-CN"/>
        </w:rPr>
      </w:pPr>
    </w:p>
    <w:p w14:paraId="5385B342">
      <w:pPr>
        <w:bidi w:val="0"/>
        <w:rPr>
          <w:rFonts w:hint="eastAsia"/>
          <w:lang w:val="en-US" w:eastAsia="zh-CN"/>
        </w:rPr>
      </w:pPr>
    </w:p>
    <w:p w14:paraId="393A4410">
      <w:pPr>
        <w:bidi w:val="0"/>
        <w:rPr>
          <w:rFonts w:hint="eastAsia"/>
          <w:lang w:val="en-US" w:eastAsia="zh-CN"/>
        </w:rPr>
      </w:pPr>
    </w:p>
    <w:p w14:paraId="7602A36F">
      <w:pPr>
        <w:bidi w:val="0"/>
        <w:rPr>
          <w:rFonts w:hint="eastAsia"/>
          <w:lang w:val="en-US" w:eastAsia="zh-CN"/>
        </w:rPr>
      </w:pPr>
    </w:p>
    <w:p w14:paraId="6B925F9E">
      <w:pPr>
        <w:bidi w:val="0"/>
        <w:rPr>
          <w:rFonts w:hint="eastAsia"/>
          <w:lang w:val="en-US" w:eastAsia="zh-CN"/>
        </w:rPr>
      </w:pPr>
    </w:p>
    <w:p w14:paraId="0D530BA4">
      <w:pPr>
        <w:bidi w:val="0"/>
        <w:rPr>
          <w:rFonts w:hint="eastAsia"/>
          <w:lang w:val="en-US" w:eastAsia="zh-CN"/>
        </w:rPr>
      </w:pPr>
    </w:p>
    <w:p w14:paraId="20204994">
      <w:pPr>
        <w:bidi w:val="0"/>
        <w:rPr>
          <w:rFonts w:hint="eastAsia"/>
          <w:lang w:val="en-US" w:eastAsia="zh-CN"/>
        </w:rPr>
      </w:pPr>
    </w:p>
    <w:p w14:paraId="3DA54890">
      <w:pPr>
        <w:bidi w:val="0"/>
        <w:rPr>
          <w:rFonts w:hint="eastAsia"/>
          <w:lang w:val="en-US" w:eastAsia="zh-CN"/>
        </w:rPr>
      </w:pPr>
    </w:p>
    <w:p w14:paraId="591B6DF1">
      <w:pPr>
        <w:spacing w:before="110" w:line="227" w:lineRule="auto"/>
        <w:ind w:left="29"/>
        <w:outlineLvl w:val="2"/>
        <w:rPr>
          <w:rFonts w:hint="default" w:cs="Times New Roman"/>
          <w:b/>
          <w:bCs/>
          <w:color w:val="000000"/>
          <w:sz w:val="24"/>
          <w:szCs w:val="24"/>
          <w:highlight w:val="none"/>
          <w:lang w:val="en-US" w:eastAsia="zh-CN"/>
        </w:rPr>
      </w:pPr>
      <w:r>
        <w:rPr>
          <w:rFonts w:hint="eastAsia" w:cs="Times New Roman"/>
          <w:b/>
          <w:bCs/>
          <w:color w:val="000000"/>
          <w:sz w:val="24"/>
          <w:szCs w:val="24"/>
          <w:highlight w:val="none"/>
          <w:lang w:val="en-US" w:eastAsia="zh-CN"/>
        </w:rPr>
        <w:t>附件6 企业情况、从业经历一览表</w:t>
      </w:r>
    </w:p>
    <w:p w14:paraId="0FCE4D24">
      <w:pPr>
        <w:rPr>
          <w:rFonts w:hint="eastAsia" w:ascii="宋体" w:hAnsi="宋体"/>
        </w:rPr>
      </w:pPr>
    </w:p>
    <w:p w14:paraId="4C82D018">
      <w:pPr>
        <w:rPr>
          <w:rFonts w:ascii="宋体" w:hAnsi="宋体"/>
        </w:rPr>
      </w:pPr>
      <w:r>
        <w:rPr>
          <w:rFonts w:hint="eastAsia" w:ascii="宋体" w:hAnsi="宋体"/>
        </w:rPr>
        <w:t>项目名称：</w:t>
      </w:r>
      <w:r>
        <w:rPr>
          <w:rFonts w:hint="eastAsia"/>
        </w:rPr>
        <w:t>中国重汽集团</w:t>
      </w:r>
      <w:r>
        <w:rPr>
          <w:rFonts w:hint="eastAsia"/>
          <w:lang w:eastAsia="zh-CN"/>
        </w:rPr>
        <w:t>2025年</w:t>
      </w:r>
      <w:r>
        <w:rPr>
          <w:rFonts w:hint="eastAsia"/>
        </w:rPr>
        <w:t>办公室宣传纪念品招标采购项目</w:t>
      </w:r>
    </w:p>
    <w:p w14:paraId="3E6B5BFB">
      <w:pPr>
        <w:pStyle w:val="14"/>
        <w:spacing w:line="360" w:lineRule="auto"/>
        <w:ind w:left="885" w:leftChars="-6" w:hanging="898" w:hangingChars="428"/>
        <w:rPr>
          <w:rFonts w:hAnsi="宋体"/>
          <w:szCs w:val="21"/>
        </w:rPr>
      </w:pPr>
      <w:r>
        <w:rPr>
          <w:rFonts w:hint="eastAsia" w:hAnsi="宋体"/>
          <w:szCs w:val="21"/>
        </w:rPr>
        <w:t>日期：  年   月   日</w:t>
      </w:r>
    </w:p>
    <w:p w14:paraId="4AEFBF70">
      <w:pPr>
        <w:jc w:val="center"/>
        <w:rPr>
          <w:rFonts w:ascii="黑体" w:eastAsia="黑体"/>
          <w:sz w:val="30"/>
        </w:rPr>
      </w:pPr>
      <w:r>
        <w:rPr>
          <w:rFonts w:hint="eastAsia" w:eastAsia="黑体"/>
          <w:b/>
          <w:bCs/>
          <w:sz w:val="28"/>
        </w:rPr>
        <w:t>企业情况、从业经历一览表</w:t>
      </w:r>
    </w:p>
    <w:tbl>
      <w:tblPr>
        <w:tblStyle w:val="30"/>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993"/>
        <w:gridCol w:w="1276"/>
        <w:gridCol w:w="708"/>
        <w:gridCol w:w="568"/>
        <w:gridCol w:w="1400"/>
        <w:gridCol w:w="1293"/>
        <w:gridCol w:w="709"/>
        <w:gridCol w:w="1554"/>
      </w:tblGrid>
      <w:tr w14:paraId="2F9C6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9"/>
            <w:noWrap w:val="0"/>
            <w:vAlign w:val="center"/>
          </w:tcPr>
          <w:p w14:paraId="0A633316">
            <w:pPr>
              <w:jc w:val="center"/>
              <w:rPr>
                <w:rFonts w:ascii="宋体" w:hAnsi="宋体"/>
                <w:sz w:val="24"/>
              </w:rPr>
            </w:pPr>
            <w:r>
              <w:rPr>
                <w:rFonts w:hint="eastAsia" w:ascii="宋体" w:hAnsi="宋体"/>
                <w:sz w:val="24"/>
              </w:rPr>
              <w:t>企业情况</w:t>
            </w:r>
          </w:p>
        </w:tc>
      </w:tr>
      <w:tr w14:paraId="358FE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noWrap w:val="0"/>
            <w:vAlign w:val="center"/>
          </w:tcPr>
          <w:p w14:paraId="5B8528D6">
            <w:pPr>
              <w:jc w:val="center"/>
              <w:rPr>
                <w:rFonts w:ascii="宋体" w:hAnsi="宋体"/>
                <w:sz w:val="24"/>
              </w:rPr>
            </w:pPr>
            <w:r>
              <w:rPr>
                <w:rFonts w:hint="eastAsia" w:ascii="宋体" w:hAnsi="宋体"/>
                <w:sz w:val="24"/>
              </w:rPr>
              <w:t>公司名称</w:t>
            </w:r>
          </w:p>
        </w:tc>
        <w:tc>
          <w:tcPr>
            <w:tcW w:w="2269" w:type="dxa"/>
            <w:gridSpan w:val="2"/>
            <w:noWrap w:val="0"/>
            <w:vAlign w:val="center"/>
          </w:tcPr>
          <w:p w14:paraId="59C95982">
            <w:pPr>
              <w:jc w:val="center"/>
              <w:rPr>
                <w:rFonts w:ascii="宋体" w:hAnsi="宋体"/>
                <w:sz w:val="24"/>
              </w:rPr>
            </w:pPr>
          </w:p>
        </w:tc>
        <w:tc>
          <w:tcPr>
            <w:tcW w:w="1276" w:type="dxa"/>
            <w:gridSpan w:val="2"/>
            <w:noWrap w:val="0"/>
            <w:vAlign w:val="center"/>
          </w:tcPr>
          <w:p w14:paraId="33D969A2">
            <w:pPr>
              <w:rPr>
                <w:rFonts w:ascii="宋体" w:hAnsi="宋体"/>
                <w:sz w:val="24"/>
              </w:rPr>
            </w:pPr>
            <w:r>
              <w:rPr>
                <w:rFonts w:hint="eastAsia" w:ascii="宋体" w:hAnsi="宋体"/>
                <w:sz w:val="24"/>
              </w:rPr>
              <w:t>成立时间</w:t>
            </w:r>
          </w:p>
        </w:tc>
        <w:tc>
          <w:tcPr>
            <w:tcW w:w="1400" w:type="dxa"/>
            <w:noWrap w:val="0"/>
            <w:vAlign w:val="center"/>
          </w:tcPr>
          <w:p w14:paraId="6FEF3E0E">
            <w:pPr>
              <w:rPr>
                <w:rFonts w:ascii="宋体" w:hAnsi="宋体"/>
                <w:sz w:val="24"/>
              </w:rPr>
            </w:pPr>
          </w:p>
        </w:tc>
        <w:tc>
          <w:tcPr>
            <w:tcW w:w="1293" w:type="dxa"/>
            <w:noWrap w:val="0"/>
            <w:vAlign w:val="center"/>
          </w:tcPr>
          <w:p w14:paraId="7E1FB4E2">
            <w:pPr>
              <w:rPr>
                <w:rFonts w:ascii="宋体" w:hAnsi="宋体"/>
                <w:sz w:val="24"/>
              </w:rPr>
            </w:pPr>
            <w:r>
              <w:rPr>
                <w:rFonts w:hint="eastAsia" w:ascii="宋体" w:hAnsi="宋体"/>
                <w:sz w:val="24"/>
              </w:rPr>
              <w:t>注册资本</w:t>
            </w:r>
          </w:p>
        </w:tc>
        <w:tc>
          <w:tcPr>
            <w:tcW w:w="2263" w:type="dxa"/>
            <w:gridSpan w:val="2"/>
            <w:noWrap w:val="0"/>
            <w:vAlign w:val="center"/>
          </w:tcPr>
          <w:p w14:paraId="6523A13B">
            <w:pPr>
              <w:jc w:val="right"/>
              <w:rPr>
                <w:rFonts w:ascii="宋体" w:hAnsi="宋体"/>
                <w:sz w:val="24"/>
              </w:rPr>
            </w:pPr>
            <w:r>
              <w:rPr>
                <w:rFonts w:hint="eastAsia" w:ascii="宋体" w:hAnsi="宋体"/>
                <w:sz w:val="24"/>
              </w:rPr>
              <w:t>万元</w:t>
            </w:r>
          </w:p>
        </w:tc>
      </w:tr>
      <w:tr w14:paraId="0FF47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08" w:type="dxa"/>
            <w:gridSpan w:val="2"/>
            <w:noWrap w:val="0"/>
            <w:vAlign w:val="center"/>
          </w:tcPr>
          <w:p w14:paraId="138287D1">
            <w:pPr>
              <w:jc w:val="left"/>
              <w:rPr>
                <w:rFonts w:ascii="宋体" w:hAnsi="宋体"/>
                <w:sz w:val="24"/>
              </w:rPr>
            </w:pPr>
            <w:r>
              <w:rPr>
                <w:rFonts w:hint="eastAsia" w:ascii="宋体" w:hAnsi="宋体"/>
                <w:sz w:val="24"/>
              </w:rPr>
              <w:t>公司在册员工人数</w:t>
            </w:r>
          </w:p>
        </w:tc>
        <w:tc>
          <w:tcPr>
            <w:tcW w:w="1984" w:type="dxa"/>
            <w:gridSpan w:val="2"/>
            <w:noWrap w:val="0"/>
            <w:vAlign w:val="center"/>
          </w:tcPr>
          <w:p w14:paraId="6A4814C3">
            <w:pPr>
              <w:jc w:val="right"/>
              <w:rPr>
                <w:rFonts w:ascii="宋体" w:hAnsi="宋体"/>
                <w:sz w:val="24"/>
              </w:rPr>
            </w:pPr>
            <w:r>
              <w:rPr>
                <w:rFonts w:hint="eastAsia" w:ascii="宋体" w:hAnsi="宋体"/>
                <w:sz w:val="24"/>
              </w:rPr>
              <w:t>人</w:t>
            </w:r>
          </w:p>
        </w:tc>
        <w:tc>
          <w:tcPr>
            <w:tcW w:w="3970" w:type="dxa"/>
            <w:gridSpan w:val="4"/>
            <w:noWrap w:val="0"/>
            <w:vAlign w:val="center"/>
          </w:tcPr>
          <w:p w14:paraId="319C1156">
            <w:pPr>
              <w:rPr>
                <w:rFonts w:ascii="宋体" w:hAnsi="宋体"/>
                <w:sz w:val="24"/>
              </w:rPr>
            </w:pPr>
            <w:r>
              <w:rPr>
                <w:rFonts w:hint="eastAsia" w:ascii="宋体" w:hAnsi="宋体"/>
                <w:sz w:val="24"/>
              </w:rPr>
              <w:t>专业从事车模相关的员工人数</w:t>
            </w:r>
          </w:p>
        </w:tc>
        <w:tc>
          <w:tcPr>
            <w:tcW w:w="1554" w:type="dxa"/>
            <w:noWrap w:val="0"/>
            <w:vAlign w:val="center"/>
          </w:tcPr>
          <w:p w14:paraId="762178B3">
            <w:pPr>
              <w:jc w:val="right"/>
              <w:rPr>
                <w:rFonts w:ascii="宋体" w:hAnsi="宋体"/>
                <w:sz w:val="24"/>
              </w:rPr>
            </w:pPr>
            <w:r>
              <w:rPr>
                <w:rFonts w:hint="eastAsia" w:ascii="宋体" w:hAnsi="宋体"/>
                <w:sz w:val="24"/>
              </w:rPr>
              <w:t>人</w:t>
            </w:r>
          </w:p>
        </w:tc>
      </w:tr>
      <w:tr w14:paraId="39FC4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08" w:type="dxa"/>
            <w:gridSpan w:val="2"/>
            <w:noWrap w:val="0"/>
            <w:vAlign w:val="center"/>
          </w:tcPr>
          <w:p w14:paraId="72EFC092">
            <w:pPr>
              <w:jc w:val="center"/>
              <w:rPr>
                <w:rFonts w:ascii="宋体" w:hAnsi="宋体"/>
                <w:sz w:val="24"/>
              </w:rPr>
            </w:pPr>
            <w:r>
              <w:rPr>
                <w:rFonts w:hint="eastAsia" w:ascii="宋体" w:hAnsi="宋体"/>
                <w:sz w:val="24"/>
              </w:rPr>
              <w:t>公司现有主要业务</w:t>
            </w:r>
          </w:p>
        </w:tc>
        <w:tc>
          <w:tcPr>
            <w:tcW w:w="7508" w:type="dxa"/>
            <w:gridSpan w:val="7"/>
            <w:noWrap w:val="0"/>
            <w:vAlign w:val="center"/>
          </w:tcPr>
          <w:p w14:paraId="7F8A701C">
            <w:pPr>
              <w:rPr>
                <w:rFonts w:ascii="宋体" w:hAnsi="宋体"/>
                <w:sz w:val="24"/>
              </w:rPr>
            </w:pPr>
          </w:p>
        </w:tc>
      </w:tr>
      <w:tr w14:paraId="66D1F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08" w:type="dxa"/>
            <w:gridSpan w:val="2"/>
            <w:noWrap w:val="0"/>
            <w:vAlign w:val="center"/>
          </w:tcPr>
          <w:p w14:paraId="0F2740FD">
            <w:pPr>
              <w:jc w:val="center"/>
              <w:rPr>
                <w:rFonts w:ascii="宋体" w:hAnsi="宋体"/>
                <w:sz w:val="24"/>
              </w:rPr>
            </w:pPr>
            <w:r>
              <w:rPr>
                <w:rFonts w:hint="eastAsia" w:ascii="宋体" w:hAnsi="宋体"/>
                <w:sz w:val="24"/>
              </w:rPr>
              <w:t>企业简介</w:t>
            </w:r>
          </w:p>
        </w:tc>
        <w:tc>
          <w:tcPr>
            <w:tcW w:w="7508" w:type="dxa"/>
            <w:gridSpan w:val="7"/>
            <w:noWrap w:val="0"/>
            <w:vAlign w:val="center"/>
          </w:tcPr>
          <w:p w14:paraId="5E25458B">
            <w:pPr>
              <w:rPr>
                <w:rFonts w:ascii="宋体" w:hAnsi="宋体"/>
                <w:sz w:val="24"/>
              </w:rPr>
            </w:pPr>
          </w:p>
        </w:tc>
      </w:tr>
    </w:tbl>
    <w:p w14:paraId="2699376B">
      <w:pPr>
        <w:pStyle w:val="14"/>
        <w:spacing w:line="360" w:lineRule="auto"/>
        <w:ind w:firstLine="240" w:firstLineChars="100"/>
        <w:rPr>
          <w:rFonts w:hAnsi="宋体"/>
          <w:b/>
          <w:sz w:val="24"/>
          <w:szCs w:val="24"/>
        </w:rPr>
      </w:pPr>
      <w:r>
        <w:rPr>
          <w:rFonts w:hint="eastAsia" w:ascii="仿宋_GB2312" w:hAnsi="宋体" w:eastAsia="仿宋_GB2312"/>
          <w:sz w:val="24"/>
        </w:rPr>
        <w:t>投标人名称（盖章）：              法定代表人或授权代表签字：</w:t>
      </w:r>
    </w:p>
    <w:p w14:paraId="305062CE">
      <w:pPr>
        <w:pStyle w:val="14"/>
        <w:spacing w:line="360" w:lineRule="auto"/>
        <w:ind w:left="708" w:leftChars="115" w:hanging="467" w:hangingChars="194"/>
        <w:rPr>
          <w:rFonts w:hAnsi="宋体"/>
          <w:sz w:val="24"/>
        </w:rPr>
      </w:pPr>
      <w:r>
        <w:rPr>
          <w:rFonts w:hint="eastAsia" w:hAnsi="宋体"/>
          <w:b/>
          <w:sz w:val="24"/>
        </w:rPr>
        <w:t>注：</w:t>
      </w:r>
      <w:r>
        <w:rPr>
          <w:rFonts w:hint="eastAsia" w:hAnsi="宋体"/>
          <w:sz w:val="24"/>
        </w:rPr>
        <w:t>1.投标人为满足本招标项目之需，需实际配置的、包含但不限于上述设备、人员及其他条目；</w:t>
      </w:r>
    </w:p>
    <w:p w14:paraId="667BA051">
      <w:pPr>
        <w:pStyle w:val="14"/>
        <w:spacing w:line="360" w:lineRule="auto"/>
        <w:ind w:left="661" w:leftChars="315"/>
        <w:rPr>
          <w:rFonts w:hAnsi="宋体"/>
          <w:sz w:val="24"/>
        </w:rPr>
      </w:pPr>
      <w:r>
        <w:rPr>
          <w:rFonts w:hint="eastAsia" w:hAnsi="宋体"/>
          <w:sz w:val="24"/>
        </w:rPr>
        <w:t>2.投标人可在上表内容基础上，酌情自行增加相关条目，以便更好的满足项目开展之需要。</w:t>
      </w:r>
    </w:p>
    <w:p w14:paraId="5DFA8154">
      <w:pPr>
        <w:bidi w:val="0"/>
        <w:rPr>
          <w:rFonts w:hint="eastAsia"/>
          <w:lang w:val="en-US" w:eastAsia="zh-CN"/>
        </w:rPr>
      </w:pPr>
    </w:p>
    <w:p w14:paraId="5CA746DA">
      <w:pPr>
        <w:bidi w:val="0"/>
        <w:rPr>
          <w:rFonts w:hint="eastAsia"/>
          <w:lang w:val="en-US" w:eastAsia="zh-CN"/>
        </w:rPr>
      </w:pPr>
    </w:p>
    <w:p w14:paraId="632E771C">
      <w:pPr>
        <w:bidi w:val="0"/>
        <w:rPr>
          <w:rFonts w:hint="eastAsia"/>
          <w:lang w:val="en-US" w:eastAsia="zh-CN"/>
        </w:rPr>
      </w:pPr>
    </w:p>
    <w:p w14:paraId="4696D406">
      <w:pPr>
        <w:bidi w:val="0"/>
        <w:rPr>
          <w:rFonts w:hint="eastAsia"/>
          <w:lang w:val="en-US" w:eastAsia="zh-CN"/>
        </w:rPr>
      </w:pPr>
    </w:p>
    <w:p w14:paraId="755A6DFE">
      <w:pPr>
        <w:bidi w:val="0"/>
        <w:rPr>
          <w:rFonts w:hint="eastAsia"/>
          <w:lang w:val="en-US" w:eastAsia="zh-CN"/>
        </w:rPr>
      </w:pPr>
    </w:p>
    <w:p w14:paraId="3B92A3E1">
      <w:pPr>
        <w:bidi w:val="0"/>
        <w:rPr>
          <w:rFonts w:hint="eastAsia"/>
          <w:lang w:val="en-US" w:eastAsia="zh-CN"/>
        </w:rPr>
      </w:pPr>
    </w:p>
    <w:p w14:paraId="54D7378F">
      <w:pPr>
        <w:bidi w:val="0"/>
        <w:rPr>
          <w:rFonts w:hint="eastAsia"/>
          <w:lang w:val="en-US" w:eastAsia="zh-CN"/>
        </w:rPr>
      </w:pPr>
    </w:p>
    <w:p w14:paraId="6DE44FE3">
      <w:pPr>
        <w:bidi w:val="0"/>
        <w:rPr>
          <w:rFonts w:hint="eastAsia"/>
          <w:lang w:val="en-US" w:eastAsia="zh-CN"/>
        </w:rPr>
      </w:pPr>
    </w:p>
    <w:p w14:paraId="58E7FC3E">
      <w:pPr>
        <w:bidi w:val="0"/>
        <w:rPr>
          <w:rFonts w:hint="eastAsia"/>
          <w:lang w:val="en-US" w:eastAsia="zh-CN"/>
        </w:rPr>
      </w:pPr>
    </w:p>
    <w:p w14:paraId="08409BBE">
      <w:pPr>
        <w:bidi w:val="0"/>
        <w:rPr>
          <w:rFonts w:hint="eastAsia"/>
          <w:lang w:val="en-US" w:eastAsia="zh-CN"/>
        </w:rPr>
      </w:pPr>
    </w:p>
    <w:p w14:paraId="6866B3A4">
      <w:pPr>
        <w:bidi w:val="0"/>
        <w:rPr>
          <w:rFonts w:hint="eastAsia"/>
          <w:lang w:val="en-US" w:eastAsia="zh-CN"/>
        </w:rPr>
      </w:pPr>
    </w:p>
    <w:p w14:paraId="2B854455">
      <w:pPr>
        <w:bidi w:val="0"/>
        <w:rPr>
          <w:rFonts w:hint="eastAsia"/>
          <w:lang w:val="en-US" w:eastAsia="zh-CN"/>
        </w:rPr>
      </w:pPr>
    </w:p>
    <w:p w14:paraId="4996AF6C">
      <w:pPr>
        <w:bidi w:val="0"/>
        <w:rPr>
          <w:rFonts w:hint="eastAsia"/>
          <w:lang w:val="en-US" w:eastAsia="zh-CN"/>
        </w:rPr>
      </w:pPr>
    </w:p>
    <w:p w14:paraId="37EAF3CD">
      <w:pPr>
        <w:bidi w:val="0"/>
        <w:rPr>
          <w:rFonts w:hint="eastAsia"/>
          <w:lang w:val="en-US" w:eastAsia="zh-CN"/>
        </w:rPr>
      </w:pPr>
    </w:p>
    <w:p w14:paraId="4BDF595D">
      <w:pPr>
        <w:bidi w:val="0"/>
        <w:rPr>
          <w:rFonts w:hint="eastAsia"/>
          <w:lang w:val="en-US" w:eastAsia="zh-CN"/>
        </w:rPr>
      </w:pPr>
    </w:p>
    <w:p w14:paraId="578AFA66">
      <w:pPr>
        <w:bidi w:val="0"/>
        <w:rPr>
          <w:rFonts w:hint="eastAsia"/>
          <w:lang w:val="en-US" w:eastAsia="zh-CN"/>
        </w:rPr>
      </w:pPr>
    </w:p>
    <w:p w14:paraId="04F3DD46">
      <w:pPr>
        <w:bidi w:val="0"/>
        <w:rPr>
          <w:rFonts w:hint="eastAsia"/>
          <w:lang w:val="en-US" w:eastAsia="zh-CN"/>
        </w:rPr>
      </w:pPr>
    </w:p>
    <w:p w14:paraId="079AD763">
      <w:pPr>
        <w:bidi w:val="0"/>
        <w:rPr>
          <w:rFonts w:hint="eastAsia"/>
          <w:lang w:val="en-US" w:eastAsia="zh-CN"/>
        </w:rPr>
      </w:pPr>
    </w:p>
    <w:p w14:paraId="2DF9ED85">
      <w:pPr>
        <w:bidi w:val="0"/>
        <w:rPr>
          <w:rFonts w:hint="eastAsia"/>
          <w:lang w:val="en-US" w:eastAsia="zh-CN"/>
        </w:rPr>
      </w:pPr>
    </w:p>
    <w:p w14:paraId="1ACE423C">
      <w:pPr>
        <w:bidi w:val="0"/>
        <w:rPr>
          <w:rFonts w:hint="eastAsia"/>
          <w:lang w:val="en-US" w:eastAsia="zh-CN"/>
        </w:rPr>
      </w:pPr>
    </w:p>
    <w:p w14:paraId="1AE60385">
      <w:pPr>
        <w:bidi w:val="0"/>
        <w:rPr>
          <w:rFonts w:hint="eastAsia"/>
          <w:lang w:val="en-US" w:eastAsia="zh-CN"/>
        </w:rPr>
      </w:pPr>
    </w:p>
    <w:p w14:paraId="6DDBFD7A">
      <w:pPr>
        <w:bidi w:val="0"/>
        <w:rPr>
          <w:rFonts w:hint="eastAsia"/>
          <w:lang w:val="en-US" w:eastAsia="zh-CN"/>
        </w:rPr>
      </w:pPr>
    </w:p>
    <w:p w14:paraId="4D16F505">
      <w:pPr>
        <w:bidi w:val="0"/>
        <w:rPr>
          <w:rFonts w:hint="eastAsia"/>
          <w:lang w:val="en-US" w:eastAsia="zh-CN"/>
        </w:rPr>
      </w:pPr>
    </w:p>
    <w:p w14:paraId="5BE7A73F">
      <w:pPr>
        <w:bidi w:val="0"/>
        <w:rPr>
          <w:rFonts w:hint="eastAsia"/>
          <w:lang w:val="en-US" w:eastAsia="zh-CN"/>
        </w:rPr>
      </w:pPr>
    </w:p>
    <w:p w14:paraId="373CF0AA">
      <w:pPr>
        <w:spacing w:before="110" w:line="227" w:lineRule="auto"/>
        <w:outlineLvl w:val="2"/>
        <w:rPr>
          <w:rFonts w:hint="default" w:cs="Times New Roman"/>
          <w:b/>
          <w:bCs/>
          <w:color w:val="000000"/>
          <w:sz w:val="24"/>
          <w:szCs w:val="24"/>
          <w:highlight w:val="none"/>
          <w:lang w:val="en-US" w:eastAsia="zh-CN"/>
        </w:rPr>
      </w:pPr>
      <w:r>
        <w:rPr>
          <w:rFonts w:hint="eastAsia" w:cs="Times New Roman"/>
          <w:b/>
          <w:bCs/>
          <w:color w:val="000000"/>
          <w:sz w:val="24"/>
          <w:szCs w:val="24"/>
          <w:highlight w:val="none"/>
          <w:lang w:val="en-US" w:eastAsia="zh-CN"/>
        </w:rPr>
        <w:t>附件7 企业业绩一览表</w:t>
      </w:r>
    </w:p>
    <w:p w14:paraId="6F142ED3">
      <w:pPr>
        <w:bidi w:val="0"/>
        <w:rPr>
          <w:rFonts w:hint="eastAsia" w:eastAsia="宋体"/>
          <w:lang w:eastAsia="zh-CN"/>
        </w:rPr>
      </w:pPr>
    </w:p>
    <w:p w14:paraId="015BE588">
      <w:pPr>
        <w:rPr>
          <w:rFonts w:ascii="宋体" w:hAnsi="宋体"/>
        </w:rPr>
      </w:pPr>
      <w:r>
        <w:rPr>
          <w:rFonts w:hint="eastAsia" w:ascii="宋体" w:hAnsi="宋体"/>
        </w:rPr>
        <w:t>项目名称：</w:t>
      </w:r>
      <w:r>
        <w:rPr>
          <w:rFonts w:hint="eastAsia"/>
        </w:rPr>
        <w:t>中国重汽集团</w:t>
      </w:r>
      <w:r>
        <w:rPr>
          <w:rFonts w:hint="eastAsia"/>
          <w:lang w:eastAsia="zh-CN"/>
        </w:rPr>
        <w:t>2025年</w:t>
      </w:r>
      <w:r>
        <w:rPr>
          <w:rFonts w:hint="eastAsia"/>
        </w:rPr>
        <w:t>宣传纪念品招标采购项目</w:t>
      </w:r>
    </w:p>
    <w:p w14:paraId="2F8E8D6B">
      <w:pPr>
        <w:pStyle w:val="14"/>
        <w:spacing w:line="360" w:lineRule="auto"/>
        <w:ind w:left="885" w:leftChars="-6" w:hanging="898" w:hangingChars="428"/>
        <w:rPr>
          <w:rFonts w:hAnsi="宋体"/>
          <w:szCs w:val="21"/>
        </w:rPr>
      </w:pPr>
      <w:r>
        <w:rPr>
          <w:rFonts w:hint="eastAsia" w:hAnsi="宋体"/>
          <w:szCs w:val="21"/>
        </w:rPr>
        <w:t>日期：  年   月   日</w:t>
      </w:r>
    </w:p>
    <w:p w14:paraId="2D9AB8DC">
      <w:pPr>
        <w:jc w:val="center"/>
        <w:rPr>
          <w:rFonts w:eastAsia="黑体"/>
          <w:b/>
          <w:bCs/>
          <w:sz w:val="28"/>
        </w:rPr>
      </w:pPr>
      <w:r>
        <w:rPr>
          <w:rFonts w:hint="eastAsia" w:eastAsia="黑体"/>
          <w:b/>
          <w:bCs/>
          <w:sz w:val="28"/>
        </w:rPr>
        <w:t>企业业绩一览表</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7"/>
        <w:gridCol w:w="1822"/>
        <w:gridCol w:w="2268"/>
        <w:gridCol w:w="1842"/>
        <w:gridCol w:w="1560"/>
      </w:tblGrid>
      <w:tr w14:paraId="4FA2D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noWrap w:val="0"/>
            <w:vAlign w:val="top"/>
          </w:tcPr>
          <w:p w14:paraId="4312DE4A">
            <w:pPr>
              <w:jc w:val="center"/>
              <w:rPr>
                <w:rFonts w:ascii="黑体" w:eastAsia="黑体"/>
                <w:color w:val="0D0D0D"/>
                <w:sz w:val="28"/>
              </w:rPr>
            </w:pPr>
            <w:r>
              <w:rPr>
                <w:rFonts w:hint="eastAsia" w:ascii="黑体" w:eastAsia="黑体"/>
                <w:color w:val="0D0D0D"/>
                <w:sz w:val="28"/>
              </w:rPr>
              <w:t>序号</w:t>
            </w:r>
          </w:p>
        </w:tc>
        <w:tc>
          <w:tcPr>
            <w:tcW w:w="1822" w:type="dxa"/>
            <w:noWrap w:val="0"/>
            <w:vAlign w:val="top"/>
          </w:tcPr>
          <w:p w14:paraId="5960A20F">
            <w:pPr>
              <w:jc w:val="center"/>
              <w:rPr>
                <w:rFonts w:ascii="黑体" w:eastAsia="黑体"/>
                <w:color w:val="0D0D0D"/>
                <w:sz w:val="28"/>
              </w:rPr>
            </w:pPr>
            <w:r>
              <w:rPr>
                <w:rFonts w:hint="eastAsia" w:ascii="黑体" w:eastAsia="黑体"/>
                <w:color w:val="0D0D0D"/>
                <w:sz w:val="28"/>
              </w:rPr>
              <w:t>采购单位</w:t>
            </w:r>
          </w:p>
        </w:tc>
        <w:tc>
          <w:tcPr>
            <w:tcW w:w="2268" w:type="dxa"/>
            <w:noWrap w:val="0"/>
            <w:vAlign w:val="top"/>
          </w:tcPr>
          <w:p w14:paraId="21A7BF53">
            <w:pPr>
              <w:jc w:val="center"/>
              <w:rPr>
                <w:rFonts w:ascii="黑体" w:eastAsia="黑体"/>
                <w:color w:val="0D0D0D"/>
                <w:sz w:val="28"/>
              </w:rPr>
            </w:pPr>
            <w:r>
              <w:rPr>
                <w:rFonts w:hint="eastAsia" w:ascii="黑体" w:eastAsia="黑体"/>
                <w:color w:val="0D0D0D"/>
                <w:sz w:val="28"/>
              </w:rPr>
              <w:t>采购内容</w:t>
            </w:r>
          </w:p>
        </w:tc>
        <w:tc>
          <w:tcPr>
            <w:tcW w:w="1842" w:type="dxa"/>
            <w:noWrap w:val="0"/>
            <w:vAlign w:val="top"/>
          </w:tcPr>
          <w:p w14:paraId="563AFFA9">
            <w:pPr>
              <w:jc w:val="center"/>
              <w:rPr>
                <w:rFonts w:ascii="黑体" w:eastAsia="黑体"/>
                <w:color w:val="0D0D0D"/>
                <w:sz w:val="28"/>
              </w:rPr>
            </w:pPr>
            <w:r>
              <w:rPr>
                <w:rFonts w:hint="eastAsia" w:ascii="黑体" w:eastAsia="黑体"/>
                <w:color w:val="0D0D0D"/>
                <w:sz w:val="28"/>
              </w:rPr>
              <w:t>采购时间</w:t>
            </w:r>
          </w:p>
        </w:tc>
        <w:tc>
          <w:tcPr>
            <w:tcW w:w="1560" w:type="dxa"/>
            <w:noWrap w:val="0"/>
            <w:vAlign w:val="top"/>
          </w:tcPr>
          <w:p w14:paraId="0B586885">
            <w:pPr>
              <w:jc w:val="center"/>
              <w:rPr>
                <w:rFonts w:ascii="黑体" w:eastAsia="黑体"/>
                <w:color w:val="0D0D0D"/>
                <w:sz w:val="28"/>
              </w:rPr>
            </w:pPr>
            <w:r>
              <w:rPr>
                <w:rFonts w:hint="eastAsia" w:ascii="黑体" w:eastAsia="黑体"/>
                <w:color w:val="0D0D0D"/>
                <w:sz w:val="28"/>
              </w:rPr>
              <w:t>合同金额</w:t>
            </w:r>
          </w:p>
        </w:tc>
      </w:tr>
      <w:tr w14:paraId="2CA5D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noWrap w:val="0"/>
            <w:vAlign w:val="top"/>
          </w:tcPr>
          <w:p w14:paraId="445323A4">
            <w:pPr>
              <w:jc w:val="center"/>
              <w:rPr>
                <w:rFonts w:ascii="黑体" w:eastAsia="黑体"/>
                <w:color w:val="0D0D0D"/>
                <w:sz w:val="28"/>
              </w:rPr>
            </w:pPr>
            <w:r>
              <w:rPr>
                <w:rFonts w:hint="eastAsia" w:ascii="黑体" w:eastAsia="黑体"/>
                <w:color w:val="0D0D0D"/>
                <w:sz w:val="28"/>
              </w:rPr>
              <w:t>1</w:t>
            </w:r>
          </w:p>
        </w:tc>
        <w:tc>
          <w:tcPr>
            <w:tcW w:w="1822" w:type="dxa"/>
            <w:noWrap w:val="0"/>
            <w:vAlign w:val="top"/>
          </w:tcPr>
          <w:p w14:paraId="1B6352AB">
            <w:pPr>
              <w:jc w:val="center"/>
              <w:rPr>
                <w:rFonts w:ascii="黑体" w:eastAsia="黑体"/>
                <w:color w:val="0D0D0D"/>
                <w:sz w:val="28"/>
              </w:rPr>
            </w:pPr>
          </w:p>
        </w:tc>
        <w:tc>
          <w:tcPr>
            <w:tcW w:w="2268" w:type="dxa"/>
            <w:noWrap w:val="0"/>
            <w:vAlign w:val="top"/>
          </w:tcPr>
          <w:p w14:paraId="1A86324C">
            <w:pPr>
              <w:jc w:val="center"/>
              <w:rPr>
                <w:rFonts w:ascii="黑体" w:eastAsia="黑体"/>
                <w:color w:val="0D0D0D"/>
                <w:sz w:val="28"/>
              </w:rPr>
            </w:pPr>
          </w:p>
        </w:tc>
        <w:tc>
          <w:tcPr>
            <w:tcW w:w="1842" w:type="dxa"/>
            <w:noWrap w:val="0"/>
            <w:vAlign w:val="top"/>
          </w:tcPr>
          <w:p w14:paraId="3821EB86">
            <w:pPr>
              <w:jc w:val="center"/>
              <w:rPr>
                <w:rFonts w:ascii="黑体" w:eastAsia="黑体"/>
                <w:color w:val="0D0D0D"/>
                <w:sz w:val="28"/>
              </w:rPr>
            </w:pPr>
          </w:p>
        </w:tc>
        <w:tc>
          <w:tcPr>
            <w:tcW w:w="1560" w:type="dxa"/>
            <w:noWrap w:val="0"/>
            <w:vAlign w:val="top"/>
          </w:tcPr>
          <w:p w14:paraId="593DEA9C">
            <w:pPr>
              <w:jc w:val="center"/>
              <w:rPr>
                <w:rFonts w:ascii="黑体" w:eastAsia="黑体"/>
                <w:color w:val="0D0D0D"/>
                <w:sz w:val="28"/>
              </w:rPr>
            </w:pPr>
          </w:p>
        </w:tc>
      </w:tr>
      <w:tr w14:paraId="1A223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noWrap w:val="0"/>
            <w:vAlign w:val="top"/>
          </w:tcPr>
          <w:p w14:paraId="213C137E">
            <w:pPr>
              <w:jc w:val="center"/>
              <w:rPr>
                <w:rFonts w:ascii="黑体" w:eastAsia="黑体"/>
                <w:color w:val="0D0D0D"/>
                <w:sz w:val="28"/>
              </w:rPr>
            </w:pPr>
            <w:r>
              <w:rPr>
                <w:rFonts w:hint="eastAsia" w:ascii="黑体" w:eastAsia="黑体"/>
                <w:color w:val="0D0D0D"/>
                <w:sz w:val="28"/>
              </w:rPr>
              <w:t>2</w:t>
            </w:r>
          </w:p>
        </w:tc>
        <w:tc>
          <w:tcPr>
            <w:tcW w:w="1822" w:type="dxa"/>
            <w:noWrap w:val="0"/>
            <w:vAlign w:val="top"/>
          </w:tcPr>
          <w:p w14:paraId="300F3F96">
            <w:pPr>
              <w:jc w:val="center"/>
              <w:rPr>
                <w:rFonts w:ascii="黑体" w:eastAsia="黑体"/>
                <w:color w:val="0D0D0D"/>
                <w:sz w:val="28"/>
              </w:rPr>
            </w:pPr>
          </w:p>
        </w:tc>
        <w:tc>
          <w:tcPr>
            <w:tcW w:w="2268" w:type="dxa"/>
            <w:noWrap w:val="0"/>
            <w:vAlign w:val="top"/>
          </w:tcPr>
          <w:p w14:paraId="65A72C11">
            <w:pPr>
              <w:jc w:val="center"/>
              <w:rPr>
                <w:rFonts w:ascii="黑体" w:eastAsia="黑体"/>
                <w:color w:val="0D0D0D"/>
                <w:sz w:val="28"/>
              </w:rPr>
            </w:pPr>
          </w:p>
        </w:tc>
        <w:tc>
          <w:tcPr>
            <w:tcW w:w="1842" w:type="dxa"/>
            <w:noWrap w:val="0"/>
            <w:vAlign w:val="top"/>
          </w:tcPr>
          <w:p w14:paraId="63D245B7">
            <w:pPr>
              <w:jc w:val="center"/>
              <w:rPr>
                <w:rFonts w:ascii="黑体" w:eastAsia="黑体"/>
                <w:color w:val="0D0D0D"/>
                <w:sz w:val="28"/>
              </w:rPr>
            </w:pPr>
          </w:p>
        </w:tc>
        <w:tc>
          <w:tcPr>
            <w:tcW w:w="1560" w:type="dxa"/>
            <w:noWrap w:val="0"/>
            <w:vAlign w:val="top"/>
          </w:tcPr>
          <w:p w14:paraId="6746C072">
            <w:pPr>
              <w:jc w:val="center"/>
              <w:rPr>
                <w:rFonts w:ascii="黑体" w:eastAsia="黑体"/>
                <w:color w:val="0D0D0D"/>
                <w:sz w:val="28"/>
              </w:rPr>
            </w:pPr>
          </w:p>
        </w:tc>
      </w:tr>
      <w:tr w14:paraId="213D8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noWrap w:val="0"/>
            <w:vAlign w:val="top"/>
          </w:tcPr>
          <w:p w14:paraId="3928ADE1">
            <w:pPr>
              <w:jc w:val="center"/>
              <w:rPr>
                <w:rFonts w:ascii="黑体" w:eastAsia="黑体"/>
                <w:color w:val="0D0D0D"/>
                <w:sz w:val="28"/>
              </w:rPr>
            </w:pPr>
            <w:r>
              <w:rPr>
                <w:rFonts w:hint="eastAsia" w:ascii="黑体" w:eastAsia="黑体"/>
                <w:color w:val="0D0D0D"/>
                <w:sz w:val="28"/>
              </w:rPr>
              <w:t>3</w:t>
            </w:r>
          </w:p>
        </w:tc>
        <w:tc>
          <w:tcPr>
            <w:tcW w:w="1822" w:type="dxa"/>
            <w:noWrap w:val="0"/>
            <w:vAlign w:val="top"/>
          </w:tcPr>
          <w:p w14:paraId="3BB85110">
            <w:pPr>
              <w:jc w:val="center"/>
              <w:rPr>
                <w:rFonts w:ascii="黑体" w:eastAsia="黑体"/>
                <w:color w:val="0D0D0D"/>
                <w:sz w:val="28"/>
              </w:rPr>
            </w:pPr>
          </w:p>
        </w:tc>
        <w:tc>
          <w:tcPr>
            <w:tcW w:w="2268" w:type="dxa"/>
            <w:noWrap w:val="0"/>
            <w:vAlign w:val="top"/>
          </w:tcPr>
          <w:p w14:paraId="66142EBD">
            <w:pPr>
              <w:jc w:val="center"/>
              <w:rPr>
                <w:rFonts w:ascii="黑体" w:eastAsia="黑体"/>
                <w:color w:val="0D0D0D"/>
                <w:sz w:val="28"/>
              </w:rPr>
            </w:pPr>
          </w:p>
        </w:tc>
        <w:tc>
          <w:tcPr>
            <w:tcW w:w="1842" w:type="dxa"/>
            <w:noWrap w:val="0"/>
            <w:vAlign w:val="top"/>
          </w:tcPr>
          <w:p w14:paraId="6C17E4B6">
            <w:pPr>
              <w:jc w:val="center"/>
              <w:rPr>
                <w:rFonts w:ascii="黑体" w:eastAsia="黑体"/>
                <w:color w:val="0D0D0D"/>
                <w:sz w:val="28"/>
              </w:rPr>
            </w:pPr>
          </w:p>
        </w:tc>
        <w:tc>
          <w:tcPr>
            <w:tcW w:w="1560" w:type="dxa"/>
            <w:noWrap w:val="0"/>
            <w:vAlign w:val="top"/>
          </w:tcPr>
          <w:p w14:paraId="463AA0A7">
            <w:pPr>
              <w:jc w:val="center"/>
              <w:rPr>
                <w:rFonts w:ascii="黑体" w:eastAsia="黑体"/>
                <w:color w:val="0D0D0D"/>
                <w:sz w:val="28"/>
              </w:rPr>
            </w:pPr>
          </w:p>
        </w:tc>
      </w:tr>
      <w:tr w14:paraId="2B4A2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noWrap w:val="0"/>
            <w:vAlign w:val="top"/>
          </w:tcPr>
          <w:p w14:paraId="55536CA9">
            <w:pPr>
              <w:jc w:val="center"/>
              <w:rPr>
                <w:rFonts w:ascii="黑体" w:eastAsia="黑体"/>
                <w:color w:val="0D0D0D"/>
                <w:sz w:val="28"/>
              </w:rPr>
            </w:pPr>
            <w:r>
              <w:rPr>
                <w:rFonts w:hint="eastAsia" w:ascii="黑体" w:eastAsia="黑体"/>
                <w:color w:val="0D0D0D"/>
                <w:sz w:val="28"/>
              </w:rPr>
              <w:t>4</w:t>
            </w:r>
          </w:p>
        </w:tc>
        <w:tc>
          <w:tcPr>
            <w:tcW w:w="1822" w:type="dxa"/>
            <w:noWrap w:val="0"/>
            <w:vAlign w:val="top"/>
          </w:tcPr>
          <w:p w14:paraId="62CDA434">
            <w:pPr>
              <w:jc w:val="center"/>
              <w:rPr>
                <w:rFonts w:ascii="黑体" w:eastAsia="黑体"/>
                <w:color w:val="0D0D0D"/>
                <w:sz w:val="28"/>
              </w:rPr>
            </w:pPr>
          </w:p>
        </w:tc>
        <w:tc>
          <w:tcPr>
            <w:tcW w:w="2268" w:type="dxa"/>
            <w:noWrap w:val="0"/>
            <w:vAlign w:val="top"/>
          </w:tcPr>
          <w:p w14:paraId="6E3CF2C1">
            <w:pPr>
              <w:jc w:val="center"/>
              <w:rPr>
                <w:rFonts w:ascii="黑体" w:eastAsia="黑体"/>
                <w:color w:val="0D0D0D"/>
                <w:sz w:val="28"/>
              </w:rPr>
            </w:pPr>
          </w:p>
        </w:tc>
        <w:tc>
          <w:tcPr>
            <w:tcW w:w="1842" w:type="dxa"/>
            <w:noWrap w:val="0"/>
            <w:vAlign w:val="top"/>
          </w:tcPr>
          <w:p w14:paraId="79A50A7A">
            <w:pPr>
              <w:jc w:val="center"/>
              <w:rPr>
                <w:rFonts w:ascii="黑体" w:eastAsia="黑体"/>
                <w:color w:val="0D0D0D"/>
                <w:sz w:val="28"/>
              </w:rPr>
            </w:pPr>
          </w:p>
        </w:tc>
        <w:tc>
          <w:tcPr>
            <w:tcW w:w="1560" w:type="dxa"/>
            <w:noWrap w:val="0"/>
            <w:vAlign w:val="top"/>
          </w:tcPr>
          <w:p w14:paraId="0BFE717E">
            <w:pPr>
              <w:jc w:val="center"/>
              <w:rPr>
                <w:rFonts w:ascii="黑体" w:eastAsia="黑体"/>
                <w:color w:val="0D0D0D"/>
                <w:sz w:val="28"/>
              </w:rPr>
            </w:pPr>
          </w:p>
        </w:tc>
      </w:tr>
      <w:tr w14:paraId="58939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noWrap w:val="0"/>
            <w:vAlign w:val="top"/>
          </w:tcPr>
          <w:p w14:paraId="2009BA31">
            <w:pPr>
              <w:jc w:val="center"/>
              <w:rPr>
                <w:rFonts w:ascii="黑体" w:eastAsia="黑体"/>
                <w:color w:val="0D0D0D"/>
                <w:sz w:val="28"/>
              </w:rPr>
            </w:pPr>
            <w:r>
              <w:rPr>
                <w:rFonts w:hint="eastAsia" w:ascii="黑体" w:eastAsia="黑体"/>
                <w:color w:val="0D0D0D"/>
                <w:sz w:val="28"/>
              </w:rPr>
              <w:t>5</w:t>
            </w:r>
          </w:p>
        </w:tc>
        <w:tc>
          <w:tcPr>
            <w:tcW w:w="1822" w:type="dxa"/>
            <w:noWrap w:val="0"/>
            <w:vAlign w:val="top"/>
          </w:tcPr>
          <w:p w14:paraId="3EC9A3F9">
            <w:pPr>
              <w:jc w:val="center"/>
              <w:rPr>
                <w:rFonts w:ascii="黑体" w:eastAsia="黑体"/>
                <w:color w:val="0D0D0D"/>
                <w:sz w:val="28"/>
              </w:rPr>
            </w:pPr>
          </w:p>
        </w:tc>
        <w:tc>
          <w:tcPr>
            <w:tcW w:w="2268" w:type="dxa"/>
            <w:noWrap w:val="0"/>
            <w:vAlign w:val="top"/>
          </w:tcPr>
          <w:p w14:paraId="003027D7">
            <w:pPr>
              <w:jc w:val="center"/>
              <w:rPr>
                <w:rFonts w:ascii="黑体" w:eastAsia="黑体"/>
                <w:color w:val="0D0D0D"/>
                <w:sz w:val="28"/>
              </w:rPr>
            </w:pPr>
          </w:p>
        </w:tc>
        <w:tc>
          <w:tcPr>
            <w:tcW w:w="1842" w:type="dxa"/>
            <w:noWrap w:val="0"/>
            <w:vAlign w:val="top"/>
          </w:tcPr>
          <w:p w14:paraId="4DCD9D92">
            <w:pPr>
              <w:jc w:val="center"/>
              <w:rPr>
                <w:rFonts w:ascii="黑体" w:eastAsia="黑体"/>
                <w:color w:val="0D0D0D"/>
                <w:sz w:val="28"/>
              </w:rPr>
            </w:pPr>
          </w:p>
        </w:tc>
        <w:tc>
          <w:tcPr>
            <w:tcW w:w="1560" w:type="dxa"/>
            <w:noWrap w:val="0"/>
            <w:vAlign w:val="top"/>
          </w:tcPr>
          <w:p w14:paraId="34BC2640">
            <w:pPr>
              <w:jc w:val="center"/>
              <w:rPr>
                <w:rFonts w:ascii="黑体" w:eastAsia="黑体"/>
                <w:color w:val="0D0D0D"/>
                <w:sz w:val="28"/>
              </w:rPr>
            </w:pPr>
          </w:p>
        </w:tc>
      </w:tr>
      <w:tr w14:paraId="2B81A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noWrap w:val="0"/>
            <w:vAlign w:val="top"/>
          </w:tcPr>
          <w:p w14:paraId="45F796BA">
            <w:pPr>
              <w:jc w:val="center"/>
              <w:rPr>
                <w:rFonts w:ascii="黑体" w:eastAsia="黑体"/>
                <w:color w:val="0D0D0D"/>
                <w:sz w:val="28"/>
              </w:rPr>
            </w:pPr>
            <w:r>
              <w:rPr>
                <w:rFonts w:hint="eastAsia" w:ascii="黑体" w:eastAsia="黑体"/>
                <w:color w:val="0D0D0D"/>
                <w:sz w:val="28"/>
              </w:rPr>
              <w:t>6</w:t>
            </w:r>
          </w:p>
        </w:tc>
        <w:tc>
          <w:tcPr>
            <w:tcW w:w="1822" w:type="dxa"/>
            <w:noWrap w:val="0"/>
            <w:vAlign w:val="top"/>
          </w:tcPr>
          <w:p w14:paraId="745BBF8E">
            <w:pPr>
              <w:jc w:val="center"/>
              <w:rPr>
                <w:rFonts w:ascii="黑体" w:eastAsia="黑体"/>
                <w:color w:val="0D0D0D"/>
                <w:sz w:val="28"/>
              </w:rPr>
            </w:pPr>
          </w:p>
        </w:tc>
        <w:tc>
          <w:tcPr>
            <w:tcW w:w="2268" w:type="dxa"/>
            <w:noWrap w:val="0"/>
            <w:vAlign w:val="top"/>
          </w:tcPr>
          <w:p w14:paraId="02B713B9">
            <w:pPr>
              <w:jc w:val="center"/>
              <w:rPr>
                <w:rFonts w:ascii="黑体" w:eastAsia="黑体"/>
                <w:color w:val="0D0D0D"/>
                <w:sz w:val="28"/>
              </w:rPr>
            </w:pPr>
          </w:p>
        </w:tc>
        <w:tc>
          <w:tcPr>
            <w:tcW w:w="1842" w:type="dxa"/>
            <w:noWrap w:val="0"/>
            <w:vAlign w:val="top"/>
          </w:tcPr>
          <w:p w14:paraId="1D714381">
            <w:pPr>
              <w:jc w:val="center"/>
              <w:rPr>
                <w:rFonts w:ascii="黑体" w:eastAsia="黑体"/>
                <w:color w:val="0D0D0D"/>
                <w:sz w:val="28"/>
              </w:rPr>
            </w:pPr>
          </w:p>
        </w:tc>
        <w:tc>
          <w:tcPr>
            <w:tcW w:w="1560" w:type="dxa"/>
            <w:noWrap w:val="0"/>
            <w:vAlign w:val="top"/>
          </w:tcPr>
          <w:p w14:paraId="42E05C69">
            <w:pPr>
              <w:jc w:val="center"/>
              <w:rPr>
                <w:rFonts w:ascii="黑体" w:eastAsia="黑体"/>
                <w:color w:val="0D0D0D"/>
                <w:sz w:val="28"/>
              </w:rPr>
            </w:pPr>
          </w:p>
        </w:tc>
      </w:tr>
      <w:tr w14:paraId="5C01C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7" w:type="dxa"/>
            <w:noWrap w:val="0"/>
            <w:vAlign w:val="top"/>
          </w:tcPr>
          <w:p w14:paraId="6EC77A1E">
            <w:pPr>
              <w:jc w:val="center"/>
              <w:rPr>
                <w:rFonts w:ascii="黑体" w:eastAsia="黑体"/>
                <w:color w:val="0D0D0D"/>
                <w:sz w:val="28"/>
              </w:rPr>
            </w:pPr>
            <w:r>
              <w:rPr>
                <w:rFonts w:hint="eastAsia" w:ascii="黑体" w:eastAsia="黑体"/>
                <w:color w:val="0D0D0D"/>
                <w:sz w:val="28"/>
              </w:rPr>
              <w:t>7</w:t>
            </w:r>
          </w:p>
        </w:tc>
        <w:tc>
          <w:tcPr>
            <w:tcW w:w="1822" w:type="dxa"/>
            <w:noWrap w:val="0"/>
            <w:vAlign w:val="top"/>
          </w:tcPr>
          <w:p w14:paraId="762C80F4">
            <w:pPr>
              <w:jc w:val="center"/>
              <w:rPr>
                <w:rFonts w:ascii="黑体" w:eastAsia="黑体"/>
                <w:color w:val="0D0D0D"/>
                <w:sz w:val="28"/>
              </w:rPr>
            </w:pPr>
          </w:p>
        </w:tc>
        <w:tc>
          <w:tcPr>
            <w:tcW w:w="2268" w:type="dxa"/>
            <w:noWrap w:val="0"/>
            <w:vAlign w:val="top"/>
          </w:tcPr>
          <w:p w14:paraId="17928E92">
            <w:pPr>
              <w:jc w:val="center"/>
              <w:rPr>
                <w:rFonts w:ascii="黑体" w:eastAsia="黑体"/>
                <w:color w:val="0D0D0D"/>
                <w:sz w:val="28"/>
              </w:rPr>
            </w:pPr>
          </w:p>
        </w:tc>
        <w:tc>
          <w:tcPr>
            <w:tcW w:w="1842" w:type="dxa"/>
            <w:noWrap w:val="0"/>
            <w:vAlign w:val="top"/>
          </w:tcPr>
          <w:p w14:paraId="39CC6BC4">
            <w:pPr>
              <w:jc w:val="center"/>
              <w:rPr>
                <w:rFonts w:ascii="黑体" w:eastAsia="黑体"/>
                <w:color w:val="0D0D0D"/>
                <w:sz w:val="28"/>
              </w:rPr>
            </w:pPr>
          </w:p>
        </w:tc>
        <w:tc>
          <w:tcPr>
            <w:tcW w:w="1560" w:type="dxa"/>
            <w:noWrap w:val="0"/>
            <w:vAlign w:val="top"/>
          </w:tcPr>
          <w:p w14:paraId="69952AF5">
            <w:pPr>
              <w:jc w:val="center"/>
              <w:rPr>
                <w:rFonts w:ascii="黑体" w:eastAsia="黑体"/>
                <w:color w:val="0D0D0D"/>
                <w:sz w:val="28"/>
              </w:rPr>
            </w:pPr>
          </w:p>
        </w:tc>
      </w:tr>
    </w:tbl>
    <w:p w14:paraId="7999AC63">
      <w:pPr>
        <w:pStyle w:val="14"/>
        <w:spacing w:line="360" w:lineRule="auto"/>
        <w:ind w:firstLine="240" w:firstLineChars="100"/>
        <w:rPr>
          <w:rFonts w:ascii="仿宋_GB2312" w:hAnsi="宋体" w:eastAsia="仿宋_GB2312"/>
          <w:sz w:val="24"/>
        </w:rPr>
      </w:pPr>
    </w:p>
    <w:p w14:paraId="5A1560DE">
      <w:pPr>
        <w:pStyle w:val="14"/>
        <w:spacing w:line="360" w:lineRule="auto"/>
        <w:ind w:firstLine="240" w:firstLineChars="100"/>
        <w:rPr>
          <w:rFonts w:hAnsi="宋体"/>
          <w:b/>
          <w:sz w:val="24"/>
          <w:szCs w:val="24"/>
        </w:rPr>
      </w:pPr>
      <w:r>
        <w:rPr>
          <w:rFonts w:hint="eastAsia" w:ascii="仿宋_GB2312" w:hAnsi="宋体" w:eastAsia="仿宋_GB2312"/>
          <w:sz w:val="24"/>
        </w:rPr>
        <w:t>投标人名称（盖章）：              法定代表人或授权代表签字：</w:t>
      </w:r>
    </w:p>
    <w:p w14:paraId="00AC83E7">
      <w:pPr>
        <w:jc w:val="center"/>
        <w:rPr>
          <w:rFonts w:ascii="黑体" w:eastAsia="黑体"/>
          <w:color w:val="FF0000"/>
          <w:sz w:val="30"/>
        </w:rPr>
      </w:pPr>
    </w:p>
    <w:p w14:paraId="04FFAF1E">
      <w:pPr>
        <w:pStyle w:val="14"/>
        <w:spacing w:line="360" w:lineRule="auto"/>
        <w:ind w:left="706" w:leftChars="115" w:hanging="465" w:hangingChars="194"/>
        <w:rPr>
          <w:rFonts w:hint="eastAsia"/>
          <w:szCs w:val="22"/>
        </w:rPr>
      </w:pPr>
      <w:r>
        <w:rPr>
          <w:rFonts w:hint="eastAsia" w:hAnsi="宋体"/>
          <w:bCs/>
          <w:sz w:val="24"/>
        </w:rPr>
        <w:t>注：附件提供有效业绩合同复印件，</w:t>
      </w:r>
      <w:r>
        <w:rPr>
          <w:rFonts w:hint="eastAsia" w:hAnsi="宋体"/>
          <w:bCs/>
          <w:sz w:val="24"/>
          <w:highlight w:val="none"/>
        </w:rPr>
        <w:t>原件请带到现场已备复核。</w:t>
      </w:r>
    </w:p>
    <w:p w14:paraId="4438AED9">
      <w:pPr>
        <w:bidi w:val="0"/>
        <w:rPr>
          <w:rFonts w:hint="eastAsia" w:eastAsia="宋体"/>
          <w:lang w:eastAsia="zh-CN"/>
        </w:rPr>
      </w:pPr>
    </w:p>
    <w:p w14:paraId="0401DEE5">
      <w:pPr>
        <w:spacing w:line="360" w:lineRule="auto"/>
        <w:rPr>
          <w:rFonts w:hint="eastAsia" w:ascii="宋体" w:hAnsi="宋体" w:eastAsia="宋体" w:cs="Times New Roman"/>
          <w:color w:val="000000"/>
          <w:sz w:val="24"/>
          <w:szCs w:val="24"/>
        </w:rPr>
      </w:pPr>
    </w:p>
    <w:p w14:paraId="4A033D97">
      <w:pPr>
        <w:spacing w:line="360" w:lineRule="auto"/>
        <w:rPr>
          <w:rFonts w:hint="eastAsia" w:ascii="宋体" w:hAnsi="宋体" w:eastAsia="宋体" w:cs="Times New Roman"/>
          <w:color w:val="000000"/>
          <w:sz w:val="24"/>
          <w:szCs w:val="24"/>
        </w:rPr>
      </w:pPr>
    </w:p>
    <w:p w14:paraId="56436A56">
      <w:pPr>
        <w:spacing w:line="360" w:lineRule="auto"/>
        <w:rPr>
          <w:rFonts w:hint="eastAsia" w:ascii="宋体" w:hAnsi="宋体" w:eastAsia="宋体" w:cs="Times New Roman"/>
          <w:color w:val="000000"/>
          <w:sz w:val="24"/>
          <w:szCs w:val="24"/>
        </w:rPr>
      </w:pPr>
    </w:p>
    <w:p w14:paraId="746DB6F7">
      <w:pPr>
        <w:spacing w:line="360" w:lineRule="auto"/>
        <w:rPr>
          <w:rFonts w:hint="eastAsia" w:ascii="宋体" w:hAnsi="宋体" w:eastAsia="宋体" w:cs="Times New Roman"/>
          <w:color w:val="000000"/>
          <w:sz w:val="24"/>
          <w:szCs w:val="24"/>
        </w:rPr>
      </w:pPr>
    </w:p>
    <w:p w14:paraId="6F3B2699">
      <w:pPr>
        <w:spacing w:line="360" w:lineRule="auto"/>
        <w:rPr>
          <w:rFonts w:hint="eastAsia" w:ascii="宋体" w:hAnsi="宋体" w:eastAsia="宋体" w:cs="Times New Roman"/>
          <w:color w:val="000000"/>
          <w:sz w:val="24"/>
          <w:szCs w:val="24"/>
        </w:rPr>
      </w:pPr>
    </w:p>
    <w:p w14:paraId="6294313C">
      <w:pPr>
        <w:spacing w:line="360" w:lineRule="auto"/>
        <w:rPr>
          <w:rFonts w:hint="eastAsia" w:ascii="宋体" w:hAnsi="宋体" w:eastAsia="宋体" w:cs="Times New Roman"/>
          <w:color w:val="000000"/>
          <w:sz w:val="24"/>
          <w:szCs w:val="24"/>
        </w:rPr>
      </w:pPr>
    </w:p>
    <w:p w14:paraId="2A953C53">
      <w:pPr>
        <w:spacing w:line="360" w:lineRule="auto"/>
        <w:rPr>
          <w:rFonts w:hint="eastAsia" w:ascii="宋体" w:hAnsi="宋体" w:eastAsia="宋体" w:cs="Times New Roman"/>
          <w:color w:val="000000"/>
          <w:sz w:val="24"/>
          <w:szCs w:val="24"/>
        </w:rPr>
      </w:pPr>
    </w:p>
    <w:p w14:paraId="694C61AC">
      <w:pPr>
        <w:spacing w:line="360" w:lineRule="auto"/>
        <w:rPr>
          <w:rFonts w:hint="eastAsia" w:ascii="宋体" w:hAnsi="宋体" w:eastAsia="宋体" w:cs="Times New Roman"/>
          <w:color w:val="000000"/>
          <w:sz w:val="24"/>
          <w:szCs w:val="24"/>
        </w:rPr>
      </w:pPr>
    </w:p>
    <w:p w14:paraId="73D843B3">
      <w:pPr>
        <w:spacing w:line="360" w:lineRule="auto"/>
        <w:rPr>
          <w:rFonts w:hint="eastAsia" w:ascii="宋体" w:hAnsi="宋体" w:eastAsia="宋体" w:cs="Times New Roman"/>
          <w:color w:val="000000"/>
          <w:sz w:val="24"/>
          <w:szCs w:val="24"/>
        </w:rPr>
      </w:pPr>
    </w:p>
    <w:p w14:paraId="589E64C6">
      <w:pPr>
        <w:spacing w:line="360" w:lineRule="auto"/>
        <w:rPr>
          <w:rFonts w:hint="eastAsia" w:ascii="宋体" w:hAnsi="宋体" w:eastAsia="宋体" w:cs="Times New Roman"/>
          <w:color w:val="000000"/>
          <w:sz w:val="24"/>
          <w:szCs w:val="24"/>
        </w:rPr>
      </w:pPr>
    </w:p>
    <w:p w14:paraId="6AD07233">
      <w:pPr>
        <w:pStyle w:val="14"/>
        <w:outlineLvl w:val="2"/>
        <w:rPr>
          <w:rFonts w:hAnsi="宋体" w:eastAsia="宋体" w:cs="宋体"/>
          <w:b/>
          <w:bCs/>
          <w:color w:val="000000"/>
          <w:sz w:val="24"/>
          <w:szCs w:val="24"/>
          <w:highlight w:val="none"/>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8</w:t>
      </w:r>
      <w:r>
        <w:rPr>
          <w:rFonts w:hint="eastAsia" w:hAnsi="宋体" w:eastAsia="宋体" w:cs="宋体"/>
          <w:b/>
          <w:bCs/>
          <w:color w:val="000000"/>
          <w:sz w:val="24"/>
          <w:szCs w:val="24"/>
          <w:highlight w:val="none"/>
        </w:rPr>
        <w:t xml:space="preserve"> SRM非生产供应商注册操作手册</w:t>
      </w:r>
    </w:p>
    <w:p w14:paraId="59B9F5A1">
      <w:pPr>
        <w:pStyle w:val="14"/>
        <w:rPr>
          <w:rFonts w:eastAsia="宋体"/>
        </w:rPr>
      </w:pPr>
    </w:p>
    <w:p w14:paraId="4E10F8E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C2A9B53">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0995A954">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4D8DBDD4">
      <w:pPr>
        <w:snapToGrid w:val="0"/>
        <w:spacing w:line="312" w:lineRule="auto"/>
      </w:pPr>
      <w: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0"/>
                    <a:stretch>
                      <a:fillRect/>
                    </a:stretch>
                  </pic:blipFill>
                  <pic:spPr>
                    <a:xfrm>
                      <a:off x="0" y="0"/>
                      <a:ext cx="5760085" cy="2933377"/>
                    </a:xfrm>
                    <a:prstGeom prst="rect">
                      <a:avLst/>
                    </a:prstGeom>
                  </pic:spPr>
                </pic:pic>
              </a:graphicData>
            </a:graphic>
          </wp:inline>
        </w:drawing>
      </w:r>
    </w:p>
    <w:p w14:paraId="51B83E57">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243C5EA8">
      <w:pPr>
        <w:snapToGrid w:val="0"/>
        <w:spacing w:line="312" w:lineRule="auto"/>
      </w:pPr>
      <w: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1"/>
                    <a:stretch>
                      <a:fillRect/>
                    </a:stretch>
                  </pic:blipFill>
                  <pic:spPr>
                    <a:xfrm>
                      <a:off x="0" y="0"/>
                      <a:ext cx="5760085" cy="2766707"/>
                    </a:xfrm>
                    <a:prstGeom prst="rect">
                      <a:avLst/>
                    </a:prstGeom>
                  </pic:spPr>
                </pic:pic>
              </a:graphicData>
            </a:graphic>
          </wp:inline>
        </w:drawing>
      </w:r>
    </w:p>
    <w:p w14:paraId="3B081EB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18EF120">
      <w:pPr>
        <w:snapToGrid w:val="0"/>
        <w:spacing w:line="312" w:lineRule="auto"/>
      </w:pPr>
      <w: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2"/>
                    <a:stretch>
                      <a:fillRect/>
                    </a:stretch>
                  </pic:blipFill>
                  <pic:spPr>
                    <a:xfrm>
                      <a:off x="0" y="0"/>
                      <a:ext cx="5760085" cy="2870054"/>
                    </a:xfrm>
                    <a:prstGeom prst="rect">
                      <a:avLst/>
                    </a:prstGeom>
                  </pic:spPr>
                </pic:pic>
              </a:graphicData>
            </a:graphic>
          </wp:inline>
        </w:drawing>
      </w:r>
    </w:p>
    <w:p w14:paraId="23C53D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60DA1DA2">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3"/>
                    <a:stretch>
                      <a:fillRect/>
                    </a:stretch>
                  </pic:blipFill>
                  <pic:spPr>
                    <a:xfrm>
                      <a:off x="0" y="0"/>
                      <a:ext cx="5760085" cy="2853375"/>
                    </a:xfrm>
                    <a:prstGeom prst="rect">
                      <a:avLst/>
                    </a:prstGeom>
                  </pic:spPr>
                </pic:pic>
              </a:graphicData>
            </a:graphic>
          </wp:inline>
        </w:drawing>
      </w:r>
    </w:p>
    <w:p w14:paraId="2AAFA905">
      <w:pPr>
        <w:numPr>
          <w:ilvl w:val="0"/>
          <w:numId w:val="33"/>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4B6C7179">
      <w:pPr>
        <w:numPr>
          <w:ilvl w:val="0"/>
          <w:numId w:val="0"/>
        </w:numPr>
        <w:spacing w:line="360" w:lineRule="auto"/>
        <w:rPr>
          <w:rFonts w:hint="eastAsia" w:ascii="宋体" w:hAnsi="宋体" w:eastAsia="宋体" w:cs="宋体"/>
          <w:color w:val="000000"/>
          <w:sz w:val="24"/>
          <w:szCs w:val="28"/>
        </w:rPr>
      </w:pPr>
      <w:r>
        <w:rPr>
          <w:rFonts w:hint="eastAsia" w:ascii="宋体" w:hAnsi="宋体" w:eastAsia="宋体" w:cs="宋体"/>
          <w:color w:val="000000"/>
          <w:sz w:val="24"/>
          <w:szCs w:val="28"/>
        </w:rPr>
        <w:t>审批通过后，会发送短信，注意记录本单位的“供应商代码”，代码用于登录系统后应标。登录信息如下：</w:t>
      </w:r>
    </w:p>
    <w:p w14:paraId="7C0DDEDC">
      <w:pPr>
        <w:numPr>
          <w:ilvl w:val="0"/>
          <w:numId w:val="0"/>
        </w:numPr>
        <w:spacing w:line="360" w:lineRule="auto"/>
        <w:rPr>
          <w:rFonts w:ascii="宋体" w:hAnsi="宋体" w:eastAsia="宋体" w:cs="宋体"/>
          <w:color w:val="000000"/>
          <w:sz w:val="24"/>
          <w:szCs w:val="28"/>
        </w:rPr>
      </w:pPr>
      <w:r>
        <w:rPr>
          <w:rFonts w:hint="eastAsia" w:ascii="宋体" w:hAnsi="宋体" w:eastAsia="宋体" w:cs="宋体"/>
          <w:color w:val="000000"/>
          <w:sz w:val="24"/>
          <w:szCs w:val="28"/>
        </w:rPr>
        <w:t>用 户 名：gys+供应商代码</w:t>
      </w:r>
    </w:p>
    <w:p w14:paraId="2FF3DE23">
      <w:pPr>
        <w:pStyle w:val="14"/>
      </w:pPr>
    </w:p>
    <w:p w14:paraId="399DBCD5">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4"/>
                    <a:stretch>
                      <a:fillRect/>
                    </a:stretch>
                  </pic:blipFill>
                  <pic:spPr>
                    <a:xfrm>
                      <a:off x="0" y="0"/>
                      <a:ext cx="5760085" cy="2810122"/>
                    </a:xfrm>
                    <a:prstGeom prst="rect">
                      <a:avLst/>
                    </a:prstGeom>
                  </pic:spPr>
                </pic:pic>
              </a:graphicData>
            </a:graphic>
          </wp:inline>
        </w:drawing>
      </w:r>
    </w:p>
    <w:p w14:paraId="7362023B">
      <w:pPr>
        <w:pStyle w:val="14"/>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5"/>
                    <a:stretch>
                      <a:fillRect/>
                    </a:stretch>
                  </pic:blipFill>
                  <pic:spPr>
                    <a:xfrm>
                      <a:off x="0" y="0"/>
                      <a:ext cx="5760085" cy="2820042"/>
                    </a:xfrm>
                    <a:prstGeom prst="rect">
                      <a:avLst/>
                    </a:prstGeom>
                  </pic:spPr>
                </pic:pic>
              </a:graphicData>
            </a:graphic>
          </wp:inline>
        </w:drawing>
      </w:r>
    </w:p>
    <w:p w14:paraId="11FC7CE2">
      <w:pPr>
        <w:pStyle w:val="14"/>
      </w:pPr>
    </w:p>
    <w:p w14:paraId="1E4FAFDD">
      <w:pPr>
        <w:rPr>
          <w:rFonts w:ascii="宋体" w:hAnsi="宋体" w:eastAsia="宋体" w:cs="宋体"/>
          <w:b/>
          <w:bCs/>
          <w:color w:val="000000"/>
          <w:sz w:val="24"/>
          <w:szCs w:val="28"/>
        </w:rPr>
      </w:pPr>
      <w:r>
        <w:rPr>
          <w:rFonts w:hint="eastAsia" w:ascii="宋体" w:hAnsi="宋体" w:eastAsia="宋体" w:cs="宋体"/>
          <w:b/>
          <w:bCs/>
          <w:color w:val="000000"/>
          <w:sz w:val="24"/>
          <w:szCs w:val="28"/>
        </w:rPr>
        <w:t>注：</w:t>
      </w:r>
    </w:p>
    <w:p w14:paraId="721A68E1">
      <w:pPr>
        <w:rPr>
          <w:rFonts w:ascii="宋体" w:hAnsi="宋体" w:eastAsia="宋体" w:cs="宋体"/>
          <w:b/>
          <w:bCs/>
          <w:color w:val="000000"/>
          <w:sz w:val="24"/>
          <w:szCs w:val="28"/>
        </w:rPr>
      </w:pPr>
      <w:r>
        <w:rPr>
          <w:rFonts w:hint="eastAsia" w:ascii="宋体" w:hAnsi="宋体" w:eastAsia="宋体" w:cs="宋体"/>
          <w:b/>
          <w:bCs/>
          <w:color w:val="000000"/>
          <w:sz w:val="24"/>
          <w:szCs w:val="28"/>
        </w:rPr>
        <w:t>1.“项目名称”和“采购形式编号”见</w:t>
      </w:r>
      <w:r>
        <w:rPr>
          <w:rFonts w:hint="eastAsia" w:ascii="宋体" w:hAnsi="宋体" w:cs="宋体"/>
          <w:b/>
          <w:bCs/>
          <w:color w:val="000000"/>
          <w:sz w:val="24"/>
          <w:szCs w:val="28"/>
          <w:lang w:val="en-US" w:eastAsia="zh-CN"/>
        </w:rPr>
        <w:t>招标文件内容</w:t>
      </w:r>
      <w:r>
        <w:rPr>
          <w:rFonts w:hint="eastAsia" w:ascii="宋体" w:hAnsi="宋体" w:eastAsia="宋体" w:cs="宋体"/>
          <w:b/>
          <w:bCs/>
          <w:color w:val="000000"/>
          <w:sz w:val="24"/>
          <w:szCs w:val="28"/>
        </w:rPr>
        <w:t>；</w:t>
      </w:r>
    </w:p>
    <w:p w14:paraId="71CE9C8A">
      <w:pPr>
        <w:pStyle w:val="14"/>
        <w:sectPr>
          <w:pgSz w:w="11906" w:h="16838"/>
          <w:pgMar w:top="1588" w:right="1418" w:bottom="1134" w:left="1418" w:header="851" w:footer="992" w:gutter="0"/>
          <w:cols w:space="720" w:num="1"/>
          <w:titlePg/>
          <w:docGrid w:type="lines" w:linePitch="312" w:charSpace="0"/>
        </w:sectPr>
      </w:pPr>
      <w:r>
        <w:rPr>
          <w:rFonts w:hint="eastAsia" w:hAnsi="宋体" w:eastAsia="宋体" w:cs="宋体"/>
          <w:b/>
          <w:bCs/>
          <w:color w:val="000000"/>
          <w:sz w:val="24"/>
          <w:szCs w:val="28"/>
        </w:rPr>
        <w:t>2.配套能力“供货类别”填“</w:t>
      </w:r>
      <w:r>
        <w:rPr>
          <w:rFonts w:hint="eastAsia" w:hAnsi="宋体" w:cs="宋体"/>
          <w:b/>
          <w:bCs/>
          <w:color w:val="000000"/>
          <w:sz w:val="24"/>
          <w:szCs w:val="28"/>
          <w:highlight w:val="cyan"/>
          <w:lang w:val="en-US" w:eastAsia="zh-CN"/>
        </w:rPr>
        <w:t>直管单位非生产招标 / 服务 / 办公耗材</w:t>
      </w:r>
      <w:r>
        <w:rPr>
          <w:rFonts w:hint="eastAsia" w:hAnsi="宋体" w:eastAsia="宋体" w:cs="宋体"/>
          <w:b/>
          <w:bCs/>
          <w:color w:val="000000"/>
          <w:sz w:val="24"/>
          <w:szCs w:val="28"/>
        </w:rPr>
        <w:t>”，业务主管部门选择“</w:t>
      </w:r>
      <w:r>
        <w:rPr>
          <w:rFonts w:hint="eastAsia" w:hAnsi="宋体" w:eastAsia="宋体" w:cs="宋体"/>
          <w:b/>
          <w:bCs/>
          <w:color w:val="000000"/>
          <w:sz w:val="24"/>
          <w:szCs w:val="28"/>
          <w:highlight w:val="cyan"/>
          <w:lang w:val="en-US" w:eastAsia="zh-CN"/>
        </w:rPr>
        <w:t>办公室</w:t>
      </w:r>
      <w:r>
        <w:rPr>
          <w:rFonts w:hint="eastAsia" w:hAnsi="宋体" w:eastAsia="宋体" w:cs="宋体"/>
          <w:b/>
          <w:bCs/>
          <w:color w:val="000000"/>
          <w:sz w:val="24"/>
          <w:szCs w:val="28"/>
        </w:rPr>
        <w:t>”。</w:t>
      </w:r>
    </w:p>
    <w:p w14:paraId="3D581D81">
      <w:pPr>
        <w:pStyle w:val="14"/>
        <w:outlineLvl w:val="2"/>
        <w:rPr>
          <w:rFonts w:hint="eastAsia" w:hAnsi="宋体" w:eastAsia="宋体" w:cs="宋体"/>
          <w:b/>
          <w:bCs/>
          <w:color w:val="000000"/>
          <w:sz w:val="24"/>
          <w:szCs w:val="24"/>
        </w:rPr>
      </w:pPr>
    </w:p>
    <w:p w14:paraId="158AA682">
      <w:pPr>
        <w:pStyle w:val="14"/>
        <w:outlineLvl w:val="2"/>
        <w:rPr>
          <w:rFonts w:hAnsi="宋体" w:eastAsia="宋体" w:cs="Times New Roman"/>
          <w:b/>
          <w:color w:val="000000"/>
          <w:sz w:val="24"/>
          <w:szCs w:val="24"/>
          <w:highlight w:val="none"/>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9</w:t>
      </w:r>
      <w:r>
        <w:rPr>
          <w:rFonts w:hint="eastAsia" w:hAnsi="宋体" w:eastAsia="宋体" w:cs="宋体"/>
          <w:b/>
          <w:bCs/>
          <w:color w:val="000000"/>
          <w:sz w:val="24"/>
          <w:szCs w:val="24"/>
          <w:highlight w:val="none"/>
        </w:rPr>
        <w:t xml:space="preserve"> </w:t>
      </w:r>
      <w:r>
        <w:rPr>
          <w:rFonts w:hint="eastAsia" w:hAnsi="宋体" w:eastAsia="宋体" w:cs="Times New Roman"/>
          <w:b/>
          <w:color w:val="000000"/>
          <w:sz w:val="24"/>
          <w:szCs w:val="24"/>
          <w:highlight w:val="none"/>
        </w:rPr>
        <w:t>SRM系统供应商用户手册</w:t>
      </w:r>
    </w:p>
    <w:p w14:paraId="032295F5">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eastAsia="宋体" w:cs="宋体"/>
          <w:sz w:val="24"/>
          <w:szCs w:val="24"/>
        </w:rPr>
        <w:t>https://ecaitong.sinotruk.com:8012/</w:t>
      </w:r>
      <w:r>
        <w:rPr>
          <w:rStyle w:val="37"/>
          <w:rFonts w:hint="eastAsia" w:ascii="宋体" w:hAnsi="宋体" w:eastAsia="宋体" w:cs="宋体"/>
          <w:sz w:val="24"/>
          <w:szCs w:val="24"/>
        </w:rPr>
        <w:fldChar w:fldCharType="end"/>
      </w:r>
    </w:p>
    <w:p w14:paraId="7AF6BF5B">
      <w:pPr>
        <w:spacing w:line="360" w:lineRule="auto"/>
        <w:rPr>
          <w:rFonts w:hint="eastAsia" w:ascii="宋体" w:hAnsi="宋体" w:eastAsia="宋体" w:cs="宋体"/>
          <w:sz w:val="24"/>
          <w:szCs w:val="24"/>
          <w:highlight w:val="none"/>
          <w:lang w:eastAsia="zh-CN"/>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6717F673">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D56854D">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B44A78D">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33DC9820">
      <w: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6"/>
                    <a:stretch>
                      <a:fillRect/>
                    </a:stretch>
                  </pic:blipFill>
                  <pic:spPr>
                    <a:xfrm>
                      <a:off x="0" y="0"/>
                      <a:ext cx="5760085" cy="2269864"/>
                    </a:xfrm>
                    <a:prstGeom prst="rect">
                      <a:avLst/>
                    </a:prstGeom>
                  </pic:spPr>
                </pic:pic>
              </a:graphicData>
            </a:graphic>
          </wp:inline>
        </w:drawing>
      </w:r>
    </w:p>
    <w:p w14:paraId="30C4DD8A"/>
    <w:p w14:paraId="0B73CFC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4F6B432">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376BD721">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7"/>
                    <a:stretch>
                      <a:fillRect/>
                    </a:stretch>
                  </pic:blipFill>
                  <pic:spPr>
                    <a:xfrm>
                      <a:off x="0" y="0"/>
                      <a:ext cx="5760085" cy="2125673"/>
                    </a:xfrm>
                    <a:prstGeom prst="rect">
                      <a:avLst/>
                    </a:prstGeom>
                  </pic:spPr>
                </pic:pic>
              </a:graphicData>
            </a:graphic>
          </wp:inline>
        </w:drawing>
      </w:r>
    </w:p>
    <w:p w14:paraId="3F28D54B">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1C8B82F4">
      <w:pPr>
        <w:pStyle w:val="14"/>
      </w:pPr>
      <w:r>
        <w:rPr>
          <w:rFonts w:hint="eastAsia" w:hAnsi="宋体" w:eastAsia="宋体" w:cs="宋体"/>
          <w:color w:val="000000"/>
          <w:sz w:val="24"/>
          <w:szCs w:val="28"/>
        </w:rPr>
        <w:t>注意：系统内的投标报价单位为“万元”，如开标现场发现填错报价，即直接淘汰。</w:t>
      </w:r>
    </w:p>
    <w:p w14:paraId="2F2B82EA">
      <w:pPr>
        <w:pStyle w:val="5"/>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8"/>
                    <a:stretch>
                      <a:fillRect/>
                    </a:stretch>
                  </pic:blipFill>
                  <pic:spPr>
                    <a:xfrm>
                      <a:off x="0" y="0"/>
                      <a:ext cx="5490210" cy="2669498"/>
                    </a:xfrm>
                    <a:prstGeom prst="rect">
                      <a:avLst/>
                    </a:prstGeom>
                  </pic:spPr>
                </pic:pic>
              </a:graphicData>
            </a:graphic>
          </wp:inline>
        </w:drawing>
      </w:r>
    </w:p>
    <w:p w14:paraId="334A0E4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3B13316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A5C2F29">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4BD1B813">
      <w:pPr>
        <w:spacing w:line="360" w:lineRule="auto"/>
        <w:rPr>
          <w:rFonts w:ascii="宋体" w:hAnsi="宋体" w:eastAsia="宋体" w:cs="宋体"/>
          <w:color w:val="000000"/>
          <w:sz w:val="24"/>
          <w:szCs w:val="24"/>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p>
    <w:p w14:paraId="6D8A2ECE">
      <w:pPr>
        <w:spacing w:line="360" w:lineRule="auto"/>
        <w:rPr>
          <w:rFonts w:ascii="Arial" w:hAnsi="Arial" w:eastAsia="Arial" w:cs="Arial"/>
          <w:color w:val="000000"/>
          <w:sz w:val="28"/>
        </w:rPr>
      </w:pP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9"/>
                    <a:stretch>
                      <a:fillRect/>
                    </a:stretch>
                  </pic:blipFill>
                  <pic:spPr>
                    <a:xfrm>
                      <a:off x="0" y="0"/>
                      <a:ext cx="5490210" cy="1992743"/>
                    </a:xfrm>
                    <a:prstGeom prst="rect">
                      <a:avLst/>
                    </a:prstGeom>
                  </pic:spPr>
                </pic:pic>
              </a:graphicData>
            </a:graphic>
          </wp:inline>
        </w:drawing>
      </w:r>
    </w:p>
    <w:p w14:paraId="693278CA">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5050C33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455DC2B0">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3902AC2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36927828">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2C186E46">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404B41CE">
      <w:pPr>
        <w:pStyle w:val="5"/>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0"/>
                    <a:stretch>
                      <a:fillRect/>
                    </a:stretch>
                  </pic:blipFill>
                  <pic:spPr>
                    <a:xfrm>
                      <a:off x="0" y="0"/>
                      <a:ext cx="5490210" cy="2544669"/>
                    </a:xfrm>
                    <a:prstGeom prst="rect">
                      <a:avLst/>
                    </a:prstGeom>
                  </pic:spPr>
                </pic:pic>
              </a:graphicData>
            </a:graphic>
          </wp:inline>
        </w:drawing>
      </w:r>
    </w:p>
    <w:p w14:paraId="2228558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065DFC8">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5F46B6EC">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6E46F93">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1"/>
                    <a:stretch>
                      <a:fillRect/>
                    </a:stretch>
                  </pic:blipFill>
                  <pic:spPr>
                    <a:xfrm>
                      <a:off x="0" y="0"/>
                      <a:ext cx="5760085" cy="1956600"/>
                    </a:xfrm>
                    <a:prstGeom prst="rect">
                      <a:avLst/>
                    </a:prstGeom>
                  </pic:spPr>
                </pic:pic>
              </a:graphicData>
            </a:graphic>
          </wp:inline>
        </w:drawing>
      </w:r>
    </w:p>
    <w:p w14:paraId="5FCA31FB">
      <w:pPr>
        <w:pStyle w:val="14"/>
        <w:rPr>
          <w:rFonts w:hAnsi="宋体" w:eastAsia="宋体" w:cs="Times New Roman"/>
          <w:b/>
          <w:color w:val="000000"/>
          <w:sz w:val="24"/>
          <w:szCs w:val="24"/>
        </w:rPr>
        <w:sectPr>
          <w:pgSz w:w="11906" w:h="16838"/>
          <w:pgMar w:top="1588" w:right="1418" w:bottom="1134" w:left="1418" w:header="851" w:footer="992" w:gutter="0"/>
          <w:cols w:space="720" w:num="1"/>
          <w:titlePg/>
          <w:docGrid w:type="lines" w:linePitch="312" w:charSpace="0"/>
        </w:sectPr>
      </w:pPr>
    </w:p>
    <w:p w14:paraId="358FB386">
      <w:pPr>
        <w:pStyle w:val="14"/>
        <w:rPr>
          <w:rFonts w:hAnsi="宋体" w:eastAsia="宋体" w:cs="Times New Roman"/>
          <w:b/>
          <w:color w:val="000000"/>
          <w:sz w:val="24"/>
          <w:szCs w:val="24"/>
        </w:rPr>
      </w:pPr>
    </w:p>
    <w:p w14:paraId="2E8908EA">
      <w:pPr>
        <w:pStyle w:val="76"/>
        <w:rPr>
          <w:rFonts w:hint="default" w:ascii="宋体" w:hAnsi="宋体" w:eastAsia="宋体" w:cs="Times New Roman"/>
          <w:sz w:val="24"/>
          <w:szCs w:val="20"/>
          <w:lang w:val="en-US"/>
        </w:rPr>
      </w:pPr>
    </w:p>
    <w:p w14:paraId="2584A6A8">
      <w:pPr>
        <w:spacing w:line="360" w:lineRule="auto"/>
        <w:rPr>
          <w:rFonts w:hint="eastAsia" w:ascii="宋体" w:hAnsi="宋体" w:eastAsia="宋体" w:cs="Times New Roman"/>
          <w:color w:val="000000"/>
          <w:sz w:val="24"/>
          <w:szCs w:val="24"/>
        </w:rPr>
      </w:pPr>
    </w:p>
    <w:bookmarkEnd w:id="31"/>
    <w:bookmarkEnd w:id="32"/>
    <w:p w14:paraId="40B2C361">
      <w:pPr>
        <w:pStyle w:val="72"/>
        <w:numPr>
          <w:ilvl w:val="0"/>
          <w:numId w:val="0"/>
        </w:numPr>
        <w:ind w:leftChars="0"/>
      </w:pPr>
      <w:r>
        <w:t xml:space="preserve"> </w:t>
      </w:r>
    </w:p>
    <w:p w14:paraId="36B9F02A">
      <w:pPr>
        <w:pStyle w:val="72"/>
        <w:numPr>
          <w:ilvl w:val="0"/>
          <w:numId w:val="0"/>
        </w:numPr>
        <w:ind w:leftChars="0"/>
      </w:pPr>
    </w:p>
    <w:p w14:paraId="6E7F97B7">
      <w:pPr>
        <w:pStyle w:val="72"/>
        <w:numPr>
          <w:ilvl w:val="0"/>
          <w:numId w:val="0"/>
        </w:numPr>
        <w:ind w:leftChars="0"/>
      </w:pPr>
    </w:p>
    <w:p w14:paraId="3F830A7C">
      <w:pPr>
        <w:pStyle w:val="72"/>
        <w:numPr>
          <w:ilvl w:val="0"/>
          <w:numId w:val="0"/>
        </w:numPr>
        <w:ind w:leftChars="0"/>
      </w:pPr>
    </w:p>
    <w:p w14:paraId="391DF144">
      <w:pPr>
        <w:pStyle w:val="72"/>
        <w:numPr>
          <w:ilvl w:val="0"/>
          <w:numId w:val="0"/>
        </w:numPr>
        <w:ind w:leftChars="0"/>
      </w:pPr>
    </w:p>
    <w:p w14:paraId="4E421771">
      <w:pPr>
        <w:pStyle w:val="72"/>
        <w:numPr>
          <w:ilvl w:val="0"/>
          <w:numId w:val="0"/>
        </w:numPr>
        <w:ind w:leftChars="0"/>
      </w:pPr>
    </w:p>
    <w:p w14:paraId="0172BB9F">
      <w:pPr>
        <w:pStyle w:val="72"/>
        <w:numPr>
          <w:ilvl w:val="0"/>
          <w:numId w:val="0"/>
        </w:numPr>
        <w:ind w:leftChars="0"/>
      </w:pPr>
    </w:p>
    <w:p w14:paraId="1D8A3199">
      <w:pPr>
        <w:pStyle w:val="76"/>
        <w:ind w:firstLine="630" w:firstLineChars="300"/>
        <w:rPr>
          <w:rFonts w:hint="eastAsia"/>
        </w:rPr>
      </w:pPr>
    </w:p>
    <w:p w14:paraId="23E75332">
      <w:pPr>
        <w:pStyle w:val="76"/>
        <w:rPr>
          <w:rFonts w:hint="default" w:hAnsi="宋体"/>
          <w:sz w:val="24"/>
          <w:lang w:val="en-US"/>
        </w:rPr>
      </w:pPr>
    </w:p>
    <w:sectPr>
      <w:headerReference r:id="rId6" w:type="first"/>
      <w:footerReference r:id="rId7"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方正小标宋简体">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93852671"/>
    <w:multiLevelType w:val="singleLevel"/>
    <w:tmpl w:val="93852671"/>
    <w:lvl w:ilvl="0" w:tentative="0">
      <w:start w:val="1"/>
      <w:numFmt w:val="decimal"/>
      <w:lvlText w:val="%1."/>
      <w:lvlJc w:val="left"/>
      <w:pPr>
        <w:ind w:left="425" w:hanging="425"/>
      </w:pPr>
      <w:rPr>
        <w:rFonts w:hint="default"/>
      </w:rPr>
    </w:lvl>
  </w:abstractNum>
  <w:abstractNum w:abstractNumId="2">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3">
    <w:nsid w:val="A344C351"/>
    <w:multiLevelType w:val="singleLevel"/>
    <w:tmpl w:val="A344C351"/>
    <w:lvl w:ilvl="0" w:tentative="0">
      <w:start w:val="1"/>
      <w:numFmt w:val="decimal"/>
      <w:lvlText w:val="%1."/>
      <w:lvlJc w:val="left"/>
      <w:pPr>
        <w:tabs>
          <w:tab w:val="left" w:pos="312"/>
        </w:tabs>
      </w:pPr>
    </w:lvl>
  </w:abstractNum>
  <w:abstractNum w:abstractNumId="4">
    <w:nsid w:val="B0980F3B"/>
    <w:multiLevelType w:val="singleLevel"/>
    <w:tmpl w:val="B0980F3B"/>
    <w:lvl w:ilvl="0" w:tentative="0">
      <w:start w:val="3"/>
      <w:numFmt w:val="chineseCounting"/>
      <w:suff w:val="nothing"/>
      <w:lvlText w:val="第%1部分　"/>
      <w:lvlJc w:val="left"/>
      <w:rPr>
        <w:rFonts w:hint="eastAsia"/>
      </w:rPr>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D4C6742"/>
    <w:multiLevelType w:val="singleLevel"/>
    <w:tmpl w:val="BD4C6742"/>
    <w:lvl w:ilvl="0" w:tentative="0">
      <w:start w:val="1"/>
      <w:numFmt w:val="decimal"/>
      <w:lvlText w:val="%1."/>
      <w:lvlJc w:val="left"/>
      <w:pPr>
        <w:ind w:left="425" w:hanging="425"/>
      </w:pPr>
      <w:rPr>
        <w:rFonts w:hint="default"/>
      </w:rPr>
    </w:lvl>
  </w:abstractNum>
  <w:abstractNum w:abstractNumId="8">
    <w:nsid w:val="D9A4530E"/>
    <w:multiLevelType w:val="singleLevel"/>
    <w:tmpl w:val="D9A4530E"/>
    <w:lvl w:ilvl="0" w:tentative="0">
      <w:start w:val="1"/>
      <w:numFmt w:val="decimal"/>
      <w:lvlText w:val="(%1)"/>
      <w:lvlJc w:val="left"/>
      <w:pPr>
        <w:ind w:left="425" w:hanging="425"/>
      </w:pPr>
      <w:rPr>
        <w:rFonts w:hint="default"/>
      </w:rPr>
    </w:lvl>
  </w:abstractNum>
  <w:abstractNum w:abstractNumId="9">
    <w:nsid w:val="DC3F8C8B"/>
    <w:multiLevelType w:val="singleLevel"/>
    <w:tmpl w:val="DC3F8C8B"/>
    <w:lvl w:ilvl="0" w:tentative="0">
      <w:start w:val="1"/>
      <w:numFmt w:val="decimal"/>
      <w:lvlText w:val="%1."/>
      <w:lvlJc w:val="left"/>
      <w:pPr>
        <w:ind w:left="425" w:hanging="425"/>
      </w:pPr>
      <w:rPr>
        <w:rFonts w:hint="default"/>
      </w:rPr>
    </w:lvl>
  </w:abstractNum>
  <w:abstractNum w:abstractNumId="10">
    <w:nsid w:val="DE5A3B77"/>
    <w:multiLevelType w:val="singleLevel"/>
    <w:tmpl w:val="DE5A3B77"/>
    <w:lvl w:ilvl="0" w:tentative="0">
      <w:start w:val="2"/>
      <w:numFmt w:val="chineseCounting"/>
      <w:suff w:val="nothing"/>
      <w:lvlText w:val="第%1部分　"/>
      <w:lvlJc w:val="left"/>
      <w:rPr>
        <w:rFonts w:hint="eastAsia"/>
      </w:rPr>
    </w:lvl>
  </w:abstractNum>
  <w:abstractNum w:abstractNumId="11">
    <w:nsid w:val="F3D90F06"/>
    <w:multiLevelType w:val="singleLevel"/>
    <w:tmpl w:val="F3D90F06"/>
    <w:lvl w:ilvl="0" w:tentative="0">
      <w:start w:val="5"/>
      <w:numFmt w:val="decimal"/>
      <w:lvlText w:val="%1."/>
      <w:lvlJc w:val="left"/>
      <w:pPr>
        <w:tabs>
          <w:tab w:val="left" w:pos="312"/>
        </w:tabs>
      </w:pPr>
    </w:lvl>
  </w:abstractNum>
  <w:abstractNum w:abstractNumId="12">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3">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4">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5">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6">
    <w:nsid w:val="3954A2AD"/>
    <w:multiLevelType w:val="singleLevel"/>
    <w:tmpl w:val="3954A2AD"/>
    <w:lvl w:ilvl="0" w:tentative="0">
      <w:start w:val="1"/>
      <w:numFmt w:val="decimal"/>
      <w:suff w:val="nothing"/>
      <w:lvlText w:val="（%1）"/>
      <w:lvlJc w:val="left"/>
    </w:lvl>
  </w:abstractNum>
  <w:abstractNum w:abstractNumId="17">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18">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0">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1">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2">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3">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24">
    <w:nsid w:val="7CE20C09"/>
    <w:multiLevelType w:val="singleLevel"/>
    <w:tmpl w:val="7CE20C09"/>
    <w:lvl w:ilvl="0" w:tentative="0">
      <w:start w:val="1"/>
      <w:numFmt w:val="decimal"/>
      <w:lvlText w:val="%1."/>
      <w:lvlJc w:val="left"/>
      <w:pPr>
        <w:tabs>
          <w:tab w:val="left" w:pos="312"/>
        </w:tabs>
      </w:pPr>
    </w:lvl>
  </w:abstractNum>
  <w:num w:numId="1">
    <w:abstractNumId w:val="18"/>
  </w:num>
  <w:num w:numId="2">
    <w:abstractNumId w:val="22"/>
  </w:num>
  <w:num w:numId="3">
    <w:abstractNumId w:val="21"/>
  </w:num>
  <w:num w:numId="4">
    <w:abstractNumId w:val="19"/>
  </w:num>
  <w:num w:numId="5">
    <w:abstractNumId w:val="13"/>
  </w:num>
  <w:num w:numId="6">
    <w:abstractNumId w:val="14"/>
  </w:num>
  <w:num w:numId="7">
    <w:abstractNumId w:val="15"/>
  </w:num>
  <w:num w:numId="8">
    <w:abstractNumId w:val="20"/>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5"/>
  </w:num>
  <w:num w:numId="18">
    <w:abstractNumId w:val="0"/>
  </w:num>
  <w:num w:numId="19">
    <w:abstractNumId w:val="1"/>
  </w:num>
  <w:num w:numId="20">
    <w:abstractNumId w:val="16"/>
  </w:num>
  <w:num w:numId="21">
    <w:abstractNumId w:val="23"/>
  </w:num>
  <w:num w:numId="22">
    <w:abstractNumId w:val="8"/>
  </w:num>
  <w:num w:numId="23">
    <w:abstractNumId w:val="24"/>
  </w:num>
  <w:num w:numId="24">
    <w:abstractNumId w:val="2"/>
  </w:num>
  <w:num w:numId="25">
    <w:abstractNumId w:val="6"/>
  </w:num>
  <w:num w:numId="26">
    <w:abstractNumId w:val="3"/>
  </w:num>
  <w:num w:numId="27">
    <w:abstractNumId w:val="12"/>
  </w:num>
  <w:num w:numId="28">
    <w:abstractNumId w:val="9"/>
  </w:num>
  <w:num w:numId="29">
    <w:abstractNumId w:val="17"/>
  </w:num>
  <w:num w:numId="30">
    <w:abstractNumId w:val="10"/>
  </w:num>
  <w:num w:numId="31">
    <w:abstractNumId w:val="4"/>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0F7"/>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3C6C9C"/>
    <w:rsid w:val="02447828"/>
    <w:rsid w:val="0256755B"/>
    <w:rsid w:val="02CC3DCA"/>
    <w:rsid w:val="02FB2420"/>
    <w:rsid w:val="02FE76EF"/>
    <w:rsid w:val="03343D40"/>
    <w:rsid w:val="03BA1683"/>
    <w:rsid w:val="03E72B61"/>
    <w:rsid w:val="03F033B0"/>
    <w:rsid w:val="0402302E"/>
    <w:rsid w:val="04446205"/>
    <w:rsid w:val="04E62E18"/>
    <w:rsid w:val="0543236E"/>
    <w:rsid w:val="057C1D39"/>
    <w:rsid w:val="05891259"/>
    <w:rsid w:val="05A351AD"/>
    <w:rsid w:val="05E76E48"/>
    <w:rsid w:val="068F128E"/>
    <w:rsid w:val="0768220B"/>
    <w:rsid w:val="08633479"/>
    <w:rsid w:val="0BBA4FFF"/>
    <w:rsid w:val="0C525237"/>
    <w:rsid w:val="0CB51572"/>
    <w:rsid w:val="0CFB1178"/>
    <w:rsid w:val="0E4D31E3"/>
    <w:rsid w:val="0E76345F"/>
    <w:rsid w:val="0F7200CA"/>
    <w:rsid w:val="10DC2AA3"/>
    <w:rsid w:val="10FA7C8C"/>
    <w:rsid w:val="11D109C6"/>
    <w:rsid w:val="12EA7F78"/>
    <w:rsid w:val="130B198F"/>
    <w:rsid w:val="135A334F"/>
    <w:rsid w:val="145205A8"/>
    <w:rsid w:val="14D709D0"/>
    <w:rsid w:val="15FA2BC8"/>
    <w:rsid w:val="16A918E4"/>
    <w:rsid w:val="17D966D6"/>
    <w:rsid w:val="18842C1C"/>
    <w:rsid w:val="18952734"/>
    <w:rsid w:val="198C1722"/>
    <w:rsid w:val="1A11228E"/>
    <w:rsid w:val="1A381F10"/>
    <w:rsid w:val="1ABF7F3C"/>
    <w:rsid w:val="1B6603B7"/>
    <w:rsid w:val="1B824429"/>
    <w:rsid w:val="1BC71D3B"/>
    <w:rsid w:val="1C59115B"/>
    <w:rsid w:val="1C8C02F2"/>
    <w:rsid w:val="1CD00D9F"/>
    <w:rsid w:val="1F5E5F75"/>
    <w:rsid w:val="1F672950"/>
    <w:rsid w:val="1FB23E60"/>
    <w:rsid w:val="20E64474"/>
    <w:rsid w:val="21E96612"/>
    <w:rsid w:val="21F91F85"/>
    <w:rsid w:val="22A7378F"/>
    <w:rsid w:val="22C5630B"/>
    <w:rsid w:val="23C860B3"/>
    <w:rsid w:val="23EC0BA6"/>
    <w:rsid w:val="24701A48"/>
    <w:rsid w:val="25B508B9"/>
    <w:rsid w:val="25DC2738"/>
    <w:rsid w:val="268B0052"/>
    <w:rsid w:val="26FE1DEC"/>
    <w:rsid w:val="27743C90"/>
    <w:rsid w:val="27CC3FD4"/>
    <w:rsid w:val="286E4D4F"/>
    <w:rsid w:val="28F214DC"/>
    <w:rsid w:val="292673D8"/>
    <w:rsid w:val="29B844D4"/>
    <w:rsid w:val="29CA2459"/>
    <w:rsid w:val="2AC762F9"/>
    <w:rsid w:val="2ACD0453"/>
    <w:rsid w:val="2B0F6376"/>
    <w:rsid w:val="2B271A58"/>
    <w:rsid w:val="2B6304A7"/>
    <w:rsid w:val="2B8A0ED3"/>
    <w:rsid w:val="2BB138D1"/>
    <w:rsid w:val="2CD97042"/>
    <w:rsid w:val="2CDC2BCF"/>
    <w:rsid w:val="2CF6734C"/>
    <w:rsid w:val="2D2E5EBF"/>
    <w:rsid w:val="2D663463"/>
    <w:rsid w:val="2DEC2771"/>
    <w:rsid w:val="2E204D3E"/>
    <w:rsid w:val="2E4E18AB"/>
    <w:rsid w:val="2EF96EE4"/>
    <w:rsid w:val="2F032D4A"/>
    <w:rsid w:val="30006BD5"/>
    <w:rsid w:val="30B31E99"/>
    <w:rsid w:val="32146967"/>
    <w:rsid w:val="32886289"/>
    <w:rsid w:val="32C06917"/>
    <w:rsid w:val="32DA195F"/>
    <w:rsid w:val="33304827"/>
    <w:rsid w:val="337E22EA"/>
    <w:rsid w:val="34247EA3"/>
    <w:rsid w:val="344A041F"/>
    <w:rsid w:val="34572B3B"/>
    <w:rsid w:val="35926521"/>
    <w:rsid w:val="35CF7EC5"/>
    <w:rsid w:val="36254FE4"/>
    <w:rsid w:val="36A55DE0"/>
    <w:rsid w:val="372F61E0"/>
    <w:rsid w:val="39322FCA"/>
    <w:rsid w:val="394D1306"/>
    <w:rsid w:val="39B6488A"/>
    <w:rsid w:val="39DC4F34"/>
    <w:rsid w:val="3A4F3CA6"/>
    <w:rsid w:val="3AB90991"/>
    <w:rsid w:val="3ABB02C8"/>
    <w:rsid w:val="3AE74C19"/>
    <w:rsid w:val="3B706131"/>
    <w:rsid w:val="3C681D8A"/>
    <w:rsid w:val="3D2008B6"/>
    <w:rsid w:val="3D29776B"/>
    <w:rsid w:val="3DB14FBF"/>
    <w:rsid w:val="3DFB03D8"/>
    <w:rsid w:val="3E6F041E"/>
    <w:rsid w:val="3E8375FD"/>
    <w:rsid w:val="3FBB6674"/>
    <w:rsid w:val="3FCC6AD3"/>
    <w:rsid w:val="405D597D"/>
    <w:rsid w:val="4081341A"/>
    <w:rsid w:val="411C3143"/>
    <w:rsid w:val="41582A5C"/>
    <w:rsid w:val="41CC2DBB"/>
    <w:rsid w:val="4275481E"/>
    <w:rsid w:val="428B617A"/>
    <w:rsid w:val="433D7BDC"/>
    <w:rsid w:val="437E1813"/>
    <w:rsid w:val="43EF0FE2"/>
    <w:rsid w:val="44CA7C7F"/>
    <w:rsid w:val="45BD47FC"/>
    <w:rsid w:val="45CC5FB2"/>
    <w:rsid w:val="464529FA"/>
    <w:rsid w:val="46B75BA8"/>
    <w:rsid w:val="46DC75FC"/>
    <w:rsid w:val="47196A5D"/>
    <w:rsid w:val="487970CD"/>
    <w:rsid w:val="48C97955"/>
    <w:rsid w:val="48E24BBA"/>
    <w:rsid w:val="49184B37"/>
    <w:rsid w:val="494F67AB"/>
    <w:rsid w:val="49880C8F"/>
    <w:rsid w:val="4A4A6F73"/>
    <w:rsid w:val="4A8561FD"/>
    <w:rsid w:val="4A8835F7"/>
    <w:rsid w:val="4B592E71"/>
    <w:rsid w:val="4BEF2A13"/>
    <w:rsid w:val="4CE74F4D"/>
    <w:rsid w:val="4CF539DF"/>
    <w:rsid w:val="4D2E0486"/>
    <w:rsid w:val="4D371A30"/>
    <w:rsid w:val="4DD45540"/>
    <w:rsid w:val="4DDA060D"/>
    <w:rsid w:val="4EFB74B8"/>
    <w:rsid w:val="4EFF3BDB"/>
    <w:rsid w:val="4F195165"/>
    <w:rsid w:val="50615016"/>
    <w:rsid w:val="52650D16"/>
    <w:rsid w:val="526B3F2A"/>
    <w:rsid w:val="52B9239A"/>
    <w:rsid w:val="53346A12"/>
    <w:rsid w:val="53422EDD"/>
    <w:rsid w:val="539D6365"/>
    <w:rsid w:val="53C34BA7"/>
    <w:rsid w:val="54BD78FD"/>
    <w:rsid w:val="552D196B"/>
    <w:rsid w:val="5540344C"/>
    <w:rsid w:val="572A3CDF"/>
    <w:rsid w:val="580C557C"/>
    <w:rsid w:val="58A86DDE"/>
    <w:rsid w:val="58C6010C"/>
    <w:rsid w:val="59154AD7"/>
    <w:rsid w:val="593D49CE"/>
    <w:rsid w:val="598D0C2A"/>
    <w:rsid w:val="59CF4D9E"/>
    <w:rsid w:val="5A9A35FE"/>
    <w:rsid w:val="5ADF548D"/>
    <w:rsid w:val="5B791466"/>
    <w:rsid w:val="5C68504C"/>
    <w:rsid w:val="5C814A76"/>
    <w:rsid w:val="5CC42BB4"/>
    <w:rsid w:val="5D5C60B4"/>
    <w:rsid w:val="5E08087F"/>
    <w:rsid w:val="5E135BA1"/>
    <w:rsid w:val="5E5548EA"/>
    <w:rsid w:val="5FD316B9"/>
    <w:rsid w:val="60031C46"/>
    <w:rsid w:val="60DD58EC"/>
    <w:rsid w:val="61E36973"/>
    <w:rsid w:val="62873012"/>
    <w:rsid w:val="639826A5"/>
    <w:rsid w:val="63E1229E"/>
    <w:rsid w:val="63F04A69"/>
    <w:rsid w:val="642B176B"/>
    <w:rsid w:val="64DD4813"/>
    <w:rsid w:val="652561BA"/>
    <w:rsid w:val="652811A1"/>
    <w:rsid w:val="65B337C6"/>
    <w:rsid w:val="65BD2897"/>
    <w:rsid w:val="667C1E0A"/>
    <w:rsid w:val="66A50B1E"/>
    <w:rsid w:val="676C6322"/>
    <w:rsid w:val="67B2063C"/>
    <w:rsid w:val="67C97AC3"/>
    <w:rsid w:val="67E30EC1"/>
    <w:rsid w:val="68026D45"/>
    <w:rsid w:val="68534DEC"/>
    <w:rsid w:val="68CA77A4"/>
    <w:rsid w:val="68F3328F"/>
    <w:rsid w:val="695F613F"/>
    <w:rsid w:val="69620955"/>
    <w:rsid w:val="6A06480C"/>
    <w:rsid w:val="6A4E3B2B"/>
    <w:rsid w:val="6B481C3B"/>
    <w:rsid w:val="6B8E2D0B"/>
    <w:rsid w:val="6B99345E"/>
    <w:rsid w:val="6BF1329A"/>
    <w:rsid w:val="6C1331A3"/>
    <w:rsid w:val="6C337B42"/>
    <w:rsid w:val="6C465394"/>
    <w:rsid w:val="6CA84BC1"/>
    <w:rsid w:val="6D3E4756"/>
    <w:rsid w:val="6D940381"/>
    <w:rsid w:val="6EA91C0A"/>
    <w:rsid w:val="6F0E5A30"/>
    <w:rsid w:val="6FC523EB"/>
    <w:rsid w:val="6FE949B4"/>
    <w:rsid w:val="700532A9"/>
    <w:rsid w:val="714D0F73"/>
    <w:rsid w:val="72895F2E"/>
    <w:rsid w:val="72C02EBE"/>
    <w:rsid w:val="72C507AD"/>
    <w:rsid w:val="72D028D8"/>
    <w:rsid w:val="73100ED3"/>
    <w:rsid w:val="732E0930"/>
    <w:rsid w:val="745D47C3"/>
    <w:rsid w:val="75FD6751"/>
    <w:rsid w:val="766A6123"/>
    <w:rsid w:val="76AC3757"/>
    <w:rsid w:val="77E84083"/>
    <w:rsid w:val="78A51694"/>
    <w:rsid w:val="78E73A5B"/>
    <w:rsid w:val="79676168"/>
    <w:rsid w:val="7A0D5743"/>
    <w:rsid w:val="7B9A1258"/>
    <w:rsid w:val="7BB51BEE"/>
    <w:rsid w:val="7C2428D0"/>
    <w:rsid w:val="7CB93F8E"/>
    <w:rsid w:val="7CF66B46"/>
    <w:rsid w:val="7D1E1A15"/>
    <w:rsid w:val="7D276B1C"/>
    <w:rsid w:val="7D9341B1"/>
    <w:rsid w:val="7DBD28BA"/>
    <w:rsid w:val="7E755665"/>
    <w:rsid w:val="7F5F07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semiHidden="0"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qFormat/>
    <w:uiPriority w:val="98"/>
    <w:rPr>
      <w:rFonts w:ascii="仿宋_GB2312" w:eastAsia="仿宋_GB2312"/>
      <w:sz w:val="32"/>
    </w:r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Hewlett-Packard Company</Company>
  <Pages>32</Pages>
  <Words>11620</Words>
  <Characters>12486</Characters>
  <Lines>127</Lines>
  <Paragraphs>35</Paragraphs>
  <TotalTime>48</TotalTime>
  <ScaleCrop>false</ScaleCrop>
  <LinksUpToDate>false</LinksUpToDate>
  <CharactersWithSpaces>13200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wosyh</cp:lastModifiedBy>
  <cp:lastPrinted>2020-06-28T02:28:00Z</cp:lastPrinted>
  <dcterms:modified xsi:type="dcterms:W3CDTF">2025-11-28T06:38:52Z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C4E667CF26604F52AD561790FE42A8A8_13</vt:lpwstr>
  </property>
  <property fmtid="{D5CDD505-2E9C-101B-9397-08002B2CF9AE}" pid="4" name="KSOTemplateDocerSaveRecord">
    <vt:lpwstr>eyJoZGlkIjoiNDE1M2QwOGQyZTlkOTk1YTk3ZGYwNjRmMTMwNWQ1MjEiLCJ1c2VySWQiOiIyOTIxNzE2NzgifQ==</vt:lpwstr>
  </property>
</Properties>
</file>